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32"/>
        </w:rPr>
        <w:t>项目名称：</w:t>
      </w:r>
      <w:r>
        <w:rPr>
          <w:rFonts w:hint="eastAsia" w:ascii="宋体" w:hAnsi="宋体" w:eastAsia="宋体" w:cs="宋体"/>
          <w:b/>
          <w:bCs/>
          <w:color w:val="000000"/>
          <w:kern w:val="0"/>
          <w:sz w:val="32"/>
          <w:lang w:eastAsia="zh-CN"/>
        </w:rPr>
        <w:t>干部人事档案数字化制作服务比选采购</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干部人事档案数字化制作服务</w:t>
      </w:r>
    </w:p>
    <w:p>
      <w:pPr>
        <w:rPr>
          <w:rFonts w:hint="default"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w:t>
      </w:r>
      <w:r>
        <w:rPr>
          <w:rFonts w:hint="eastAsia" w:asciiTheme="minorEastAsia" w:hAnsiTheme="minorEastAsia"/>
          <w:sz w:val="24"/>
          <w:szCs w:val="24"/>
          <w:lang w:eastAsia="zh-CN"/>
        </w:rPr>
        <w:t>三</w:t>
      </w:r>
      <w:r>
        <w:rPr>
          <w:rFonts w:hint="eastAsia" w:asciiTheme="minorEastAsia" w:hAnsiTheme="minorEastAsia"/>
          <w:sz w:val="24"/>
          <w:szCs w:val="24"/>
        </w:rPr>
        <w:t>）</w:t>
      </w:r>
      <w:r>
        <w:rPr>
          <w:rFonts w:hint="eastAsia" w:asciiTheme="minorEastAsia" w:hAnsiTheme="minorEastAsia"/>
          <w:sz w:val="24"/>
          <w:szCs w:val="24"/>
          <w:lang w:eastAsia="zh-CN"/>
        </w:rPr>
        <w:t>份数</w:t>
      </w:r>
      <w:r>
        <w:rPr>
          <w:rFonts w:hint="eastAsia" w:asciiTheme="minorEastAsia" w:hAnsiTheme="minorEastAsia"/>
          <w:sz w:val="24"/>
          <w:szCs w:val="24"/>
        </w:rPr>
        <w:t>：</w:t>
      </w:r>
      <w:r>
        <w:rPr>
          <w:rFonts w:hint="eastAsia" w:asciiTheme="minorEastAsia" w:hAnsiTheme="minorEastAsia"/>
          <w:sz w:val="24"/>
          <w:szCs w:val="24"/>
          <w:lang w:val="en-US" w:eastAsia="zh-CN"/>
        </w:rPr>
        <w:t>150份</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w:t>
      </w:r>
      <w:r>
        <w:rPr>
          <w:rFonts w:hint="eastAsia" w:asciiTheme="minorEastAsia" w:hAnsiTheme="minorEastAsia"/>
          <w:sz w:val="24"/>
          <w:szCs w:val="24"/>
          <w:lang w:eastAsia="zh-CN"/>
        </w:rPr>
        <w:t>四</w:t>
      </w:r>
      <w:r>
        <w:rPr>
          <w:rFonts w:hint="eastAsia" w:asciiTheme="minorEastAsia" w:hAnsiTheme="minorEastAsia"/>
          <w:sz w:val="24"/>
          <w:szCs w:val="24"/>
        </w:rPr>
        <w:t>）预算金额：</w:t>
      </w:r>
      <w:r>
        <w:rPr>
          <w:rFonts w:hint="eastAsia" w:asciiTheme="minorEastAsia" w:hAnsiTheme="minorEastAsia"/>
          <w:sz w:val="24"/>
          <w:szCs w:val="24"/>
          <w:lang w:val="en-US" w:eastAsia="zh-CN"/>
        </w:rPr>
        <w:t>60000元</w:t>
      </w:r>
      <w:r>
        <w:rPr>
          <w:rFonts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ab/>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rPr>
          <w:rFonts w:hint="eastAsia" w:asciiTheme="minorEastAsia" w:hAnsiTheme="minorEastAsia"/>
          <w:bCs/>
          <w:sz w:val="24"/>
          <w:szCs w:val="24"/>
        </w:rPr>
      </w:pPr>
      <w:r>
        <w:rPr>
          <w:rFonts w:hint="eastAsia" w:asciiTheme="minorEastAsia" w:hAnsiTheme="minorEastAsia"/>
          <w:bCs/>
          <w:sz w:val="24"/>
          <w:szCs w:val="24"/>
        </w:rPr>
        <w:tab/>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一、招标一览表</w:t>
      </w:r>
    </w:p>
    <w:tbl>
      <w:tblPr>
        <w:tblStyle w:val="8"/>
        <w:tblW w:w="8771" w:type="dxa"/>
        <w:jc w:val="center"/>
        <w:tblLayout w:type="fixed"/>
        <w:tblCellMar>
          <w:top w:w="0" w:type="dxa"/>
          <w:left w:w="0" w:type="dxa"/>
          <w:bottom w:w="0" w:type="dxa"/>
          <w:right w:w="0" w:type="dxa"/>
        </w:tblCellMar>
      </w:tblPr>
      <w:tblGrid>
        <w:gridCol w:w="708"/>
        <w:gridCol w:w="3637"/>
        <w:gridCol w:w="885"/>
        <w:gridCol w:w="1145"/>
        <w:gridCol w:w="2396"/>
      </w:tblGrid>
      <w:tr>
        <w:tblPrEx>
          <w:tblCellMar>
            <w:top w:w="0" w:type="dxa"/>
            <w:left w:w="0" w:type="dxa"/>
            <w:bottom w:w="0" w:type="dxa"/>
            <w:right w:w="0" w:type="dxa"/>
          </w:tblCellMar>
        </w:tblPrEx>
        <w:trPr>
          <w:cantSplit/>
          <w:trHeight w:val="662" w:hRule="atLeast"/>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36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名称</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单位</w:t>
            </w:r>
          </w:p>
        </w:tc>
        <w:tc>
          <w:tcPr>
            <w:tcW w:w="11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预计数量</w:t>
            </w:r>
          </w:p>
        </w:tc>
        <w:tc>
          <w:tcPr>
            <w:tcW w:w="239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备注</w:t>
            </w:r>
          </w:p>
        </w:tc>
      </w:tr>
      <w:tr>
        <w:tblPrEx>
          <w:tblCellMar>
            <w:top w:w="0" w:type="dxa"/>
            <w:left w:w="0" w:type="dxa"/>
            <w:bottom w:w="0" w:type="dxa"/>
            <w:right w:w="0" w:type="dxa"/>
          </w:tblCellMar>
        </w:tblPrEx>
        <w:trPr>
          <w:cantSplit/>
          <w:trHeight w:val="1001" w:hRule="atLeast"/>
          <w:jc w:val="center"/>
        </w:trPr>
        <w:tc>
          <w:tcPr>
            <w:tcW w:w="7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1</w:t>
            </w:r>
          </w:p>
        </w:tc>
        <w:tc>
          <w:tcPr>
            <w:tcW w:w="36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lang w:eastAsia="zh-CN"/>
              </w:rPr>
            </w:pPr>
            <w:r>
              <w:rPr>
                <w:rFonts w:hint="eastAsia" w:ascii="新宋体" w:hAnsi="新宋体" w:eastAsia="新宋体" w:cs="新宋体"/>
                <w:sz w:val="22"/>
                <w:szCs w:val="22"/>
              </w:rPr>
              <w:t>温州市</w:t>
            </w:r>
            <w:r>
              <w:rPr>
                <w:rFonts w:hint="eastAsia" w:ascii="新宋体" w:hAnsi="新宋体" w:eastAsia="新宋体" w:cs="新宋体"/>
                <w:sz w:val="22"/>
                <w:szCs w:val="22"/>
                <w:lang w:val="en-US" w:eastAsia="zh-CN"/>
              </w:rPr>
              <w:t>第七人民</w:t>
            </w:r>
            <w:r>
              <w:rPr>
                <w:rFonts w:hint="eastAsia" w:ascii="新宋体" w:hAnsi="新宋体" w:eastAsia="新宋体" w:cs="新宋体"/>
                <w:sz w:val="22"/>
                <w:szCs w:val="22"/>
              </w:rPr>
              <w:t>医院干部人事档案数字化</w:t>
            </w:r>
            <w:r>
              <w:rPr>
                <w:rFonts w:hint="eastAsia" w:ascii="新宋体" w:hAnsi="新宋体" w:eastAsia="新宋体" w:cs="新宋体"/>
                <w:sz w:val="22"/>
                <w:szCs w:val="22"/>
                <w:lang w:eastAsia="zh-CN"/>
              </w:rPr>
              <w:t>制作服务</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卷</w:t>
            </w:r>
          </w:p>
        </w:tc>
        <w:tc>
          <w:tcPr>
            <w:tcW w:w="11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150</w:t>
            </w:r>
            <w:r>
              <w:rPr>
                <w:rFonts w:hint="eastAsia" w:ascii="新宋体" w:hAnsi="新宋体" w:eastAsia="新宋体" w:cs="新宋体"/>
                <w:sz w:val="22"/>
                <w:szCs w:val="22"/>
              </w:rPr>
              <w:t>卷</w:t>
            </w:r>
          </w:p>
        </w:tc>
        <w:tc>
          <w:tcPr>
            <w:tcW w:w="239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▲最高限价400元/卷</w:t>
            </w:r>
          </w:p>
        </w:tc>
      </w:tr>
      <w:tr>
        <w:tblPrEx>
          <w:tblCellMar>
            <w:top w:w="0" w:type="dxa"/>
            <w:left w:w="0" w:type="dxa"/>
            <w:bottom w:w="0" w:type="dxa"/>
            <w:right w:w="0" w:type="dxa"/>
          </w:tblCellMar>
        </w:tblPrEx>
        <w:trPr>
          <w:cantSplit/>
          <w:trHeight w:val="550" w:hRule="atLeast"/>
          <w:jc w:val="center"/>
        </w:trPr>
        <w:tc>
          <w:tcPr>
            <w:tcW w:w="8771"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60" w:lineRule="exact"/>
              <w:jc w:val="center"/>
              <w:rPr>
                <w:rFonts w:hint="eastAsia" w:ascii="新宋体" w:hAnsi="新宋体" w:eastAsia="新宋体" w:cs="新宋体"/>
                <w:sz w:val="22"/>
                <w:szCs w:val="22"/>
              </w:rPr>
            </w:pPr>
            <w:bookmarkStart w:id="0" w:name="_Toc4885"/>
            <w:r>
              <w:rPr>
                <w:rFonts w:hint="eastAsia" w:ascii="新宋体" w:hAnsi="新宋体" w:eastAsia="新宋体" w:cs="新宋体"/>
                <w:sz w:val="22"/>
                <w:szCs w:val="22"/>
              </w:rPr>
              <w:t>备注：最终</w:t>
            </w:r>
            <w:r>
              <w:rPr>
                <w:rFonts w:hint="eastAsia" w:ascii="新宋体" w:hAnsi="新宋体" w:eastAsia="新宋体" w:cs="新宋体"/>
                <w:sz w:val="22"/>
                <w:szCs w:val="22"/>
                <w:lang w:eastAsia="zh-CN"/>
              </w:rPr>
              <w:t>结算</w:t>
            </w:r>
            <w:r>
              <w:rPr>
                <w:rFonts w:hint="eastAsia" w:ascii="新宋体" w:hAnsi="新宋体" w:eastAsia="新宋体" w:cs="新宋体"/>
                <w:sz w:val="22"/>
                <w:szCs w:val="22"/>
              </w:rPr>
              <w:t>以实际</w:t>
            </w:r>
            <w:r>
              <w:rPr>
                <w:rFonts w:hint="eastAsia" w:ascii="新宋体" w:hAnsi="新宋体" w:eastAsia="新宋体" w:cs="新宋体"/>
                <w:sz w:val="22"/>
                <w:szCs w:val="22"/>
                <w:lang w:eastAsia="zh-CN"/>
              </w:rPr>
              <w:t>整理</w:t>
            </w:r>
            <w:r>
              <w:rPr>
                <w:rFonts w:hint="eastAsia" w:ascii="新宋体" w:hAnsi="新宋体" w:eastAsia="新宋体" w:cs="新宋体"/>
                <w:sz w:val="22"/>
                <w:szCs w:val="22"/>
              </w:rPr>
              <w:t>数量为准</w:t>
            </w:r>
            <w:r>
              <w:rPr>
                <w:rFonts w:hint="eastAsia" w:ascii="新宋体" w:hAnsi="新宋体" w:eastAsia="新宋体" w:cs="新宋体"/>
                <w:sz w:val="22"/>
                <w:szCs w:val="22"/>
                <w:lang w:eastAsia="zh-CN"/>
              </w:rPr>
              <w:t>，本工程包工包料，不得分包转包</w:t>
            </w:r>
            <w:r>
              <w:rPr>
                <w:rFonts w:hint="eastAsia" w:ascii="新宋体" w:hAnsi="新宋体" w:eastAsia="新宋体" w:cs="新宋体"/>
                <w:sz w:val="22"/>
                <w:szCs w:val="22"/>
              </w:rPr>
              <w:t>。</w:t>
            </w:r>
          </w:p>
        </w:tc>
      </w:tr>
    </w:tbl>
    <w:p>
      <w:pPr>
        <w:spacing w:line="460" w:lineRule="exact"/>
        <w:rPr>
          <w:rFonts w:hint="eastAsia" w:ascii="新宋体" w:hAnsi="新宋体" w:eastAsia="新宋体" w:cs="新宋体"/>
          <w:b/>
          <w:bCs/>
          <w:sz w:val="22"/>
          <w:szCs w:val="22"/>
        </w:rPr>
      </w:pPr>
      <w:r>
        <w:rPr>
          <w:rFonts w:hint="eastAsia" w:ascii="新宋体" w:hAnsi="新宋体" w:eastAsia="新宋体" w:cs="新宋体"/>
          <w:sz w:val="22"/>
          <w:szCs w:val="22"/>
        </w:rPr>
        <w:t>▲</w:t>
      </w:r>
      <w:r>
        <w:rPr>
          <w:rFonts w:hint="eastAsia" w:ascii="新宋体" w:hAnsi="新宋体" w:eastAsia="新宋体" w:cs="新宋体"/>
          <w:b/>
          <w:bCs/>
          <w:sz w:val="22"/>
          <w:szCs w:val="22"/>
        </w:rPr>
        <w:t>要求制作公司使用的软件，与中共中央组织部信息管理中心、北京航星永志科技有限公司开发的干部数字档案采集软件保持互通</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二、具体要求</w:t>
      </w:r>
      <w:bookmarkEnd w:id="0"/>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（一）工作内容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完成</w:t>
      </w:r>
      <w:r>
        <w:rPr>
          <w:rFonts w:hint="eastAsia" w:ascii="新宋体" w:hAnsi="新宋体" w:eastAsia="新宋体" w:cs="新宋体"/>
          <w:sz w:val="22"/>
          <w:szCs w:val="22"/>
          <w:lang w:val="en-US" w:eastAsia="zh-CN"/>
        </w:rPr>
        <w:t>150</w:t>
      </w:r>
      <w:r>
        <w:rPr>
          <w:rFonts w:hint="eastAsia" w:ascii="新宋体" w:hAnsi="新宋体" w:eastAsia="新宋体" w:cs="新宋体"/>
          <w:sz w:val="22"/>
          <w:szCs w:val="22"/>
        </w:rPr>
        <w:t>份干部人事档案审核整理及数字化加工工作。干部人事档案审核整理包括但不限于以下主要工作内容：参照《干部人事档案工作条例》、《干部人事档案数字化技术规范》、《档案数字化外包安全管理规范》等管理干部人事档案工作的规范要求，正确地完成每卷人事档案的材料鉴别、材料分类、材料排序与编目、目录打印、材料装订等干部人事档案审核整理工作；干部人事档案数字化加工工作包括：目录建库、档案扫描、图像处理、数据存储、数据备份等，形成准确完整的档案信息数据库，将其转化为可存储光盘、硬盘等存储介质上，并能被计算机识别，数字方式可信、可取和可用的数字图像。</w:t>
      </w:r>
      <w:r>
        <w:rPr>
          <w:rFonts w:hint="eastAsia" w:ascii="新宋体" w:hAnsi="新宋体" w:eastAsia="新宋体" w:cs="新宋体"/>
          <w:sz w:val="22"/>
          <w:szCs w:val="22"/>
          <w:lang w:val="en-US" w:eastAsia="zh-CN"/>
        </w:rPr>
        <w:t>要求干部数字档案采集软件与中共中央组织部信息管理中心、北京航星永志科技有限公司开发的软件</w:t>
      </w:r>
      <w:r>
        <w:rPr>
          <w:rFonts w:hint="eastAsia" w:ascii="新宋体" w:hAnsi="新宋体" w:eastAsia="新宋体" w:cs="新宋体"/>
          <w:sz w:val="22"/>
          <w:szCs w:val="22"/>
        </w:rPr>
        <w:t>保持互通。</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（二）工作要求</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1、 档案审核整理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档案审核整理严格按照《干部人事档案工作条例》、《干部档案整理工作细则》（组通字﹝1991﹞11号）、《干部人事档案材料收集归档规定》（中组发﹝2009﹞12号）、《关于做好文件改版涉及干部人事档案有关工作的通知》（组通字﹝2012﹞28号）和《关于完善干部人事档案材料的通知》(组通字﹝2017﹞25号）等有关规定实施。</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1.1 审核查缺</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对照《干部人事档案审核工作检查验收评分表》对干部人事档案进行审核，判定材料是否属于所管干部的材料及应归入干部档案的内容，审查材料是否齐全、完整，审查材料是否手续完备，逐页逐项地核对材料内容和有关信息，保证材料完整、齐全、真实，保证信息准确无误。对审核出的问题，要逐一进行登记，找出问题产生原因，并研究提出解决的措施和意见；对档案中缺少的主要材料要逐一登记，对不属于归档范围或重件的材料进行鉴别，审核后形成每卷干部人事档案的查缺明细清单，移交采购方。</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1.2档案复制及技术加工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干部档案整理工作细则》、《关于做好文件改版涉及干部人事档案有关工作的通知》文件要求，档案材料载体变质或自己褪色不清时，须进行抢救，抢救材料一般可采用修复、打印、抄写、复印等方法，凡打印、抄写的材料，必须认真细致、核对无误，注明复制单位和日期。对超出A4规格的档案材料，在不影响材料的完整和不损伤字迹的条件下，酌情进行裁剪，不能裁剪的材料，须进行折叠；对破损、卷脚、折皱和小于A4规格的档案材料，要进行裱糊，档案中原有小于A4纸型且已按照要求装订的档案材料，不需要重新打孔和裱糊；对过窄或破损未空出装订线的档案材料，须进行加边；拆除档案材料上的大头针、曲别针、订书钉等金属品，以防止氧化锈毁材料。</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1.3整理编码</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干部档案整理工作细则》文件要求，每类干部档案材料，都要根据材料内容的内在联系和材料之间的衔接或材料的形成时间排列顺序，档案材料排序完成后，用铅笔在每份材料首页编上类号和顺序号，并编写页码。</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1.4 目录录入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干部档案整理工作细则》文件要求，每卷干部档案必须有详细的档案材料目录，目录须按照类别排列顺序及档案材料目录格式，逐份逐项地进行填写；根据材料题目填写“材料名称”，无题目的材料应拟定题目，材料的题目过长可适当简化；“材料形成时间”，一般采用材料落款标明的最后时间；填写</w:t>
      </w:r>
      <w:bookmarkStart w:id="1" w:name="_GoBack"/>
      <w:bookmarkEnd w:id="1"/>
      <w:r>
        <w:rPr>
          <w:rFonts w:hint="eastAsia" w:ascii="新宋体" w:hAnsi="新宋体" w:eastAsia="新宋体" w:cs="新宋体"/>
          <w:sz w:val="22"/>
          <w:szCs w:val="22"/>
        </w:rPr>
        <w:t>“材料份数”，以每份完整的材料为一份（包括附件）；材料页数的计算，采用图书编页法，每面为一页，印有页码的材料、表格，应加数填写；书写目录要工整，正确清楚，美观，不得使用圆珠笔、铅笔、红色及纯蓝墨水书写目录。填写目录后，要检查核对，做到准确无误；书写目录时，每类目录之后，须留出适量的空格，供补充档案材料时使用。</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1.5 档案装订</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干部档案整理工作细则》、《关于做好文件改版涉及干部人事档案有关工作的通知》文件要求，每位干部的档案材料，必须装订成卷。装订后的档案，目录在卷首，材料排列顺序与目录相符；卷面整洁，全卷整齐、平坦，装订结实实用；将目录与材料核对无误；把全卷材料理齐，应做到四面整齐；材料左边应留有25 mm的装订边；A4纸型的干部人事档案材料和目录按照靠左下对齐的方式打3孔装订，中间孔距上、下孔（从孔中心算起）83mm，下孔距材料底边54mm，孔中心距左边沿12mm，孔直径为5mm。使用符合规定的标准干部人事档案卷盒。</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1.6 整理装盒</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根据《关于做好文件改版涉及干部人事档案有关工作的通知》文件要求，更换使用最新干部人事档案卷盒（A4纸型）；将整理好的干部人事档案材料装入卷盒中。</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2、数字化加工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数字化加工严格按照干部人事档案数字化技术规范国家标准（GB/T 33870-2017）实施,满足真实性、完整性、可用性、安全性特征，工作质量达到浙江省委组织部接收要求。</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2.1档案扫描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扫描仪应符合GB/T 18788的规定，亮度和对比度为中值，无偏移。扫描时档案摆放与扫描仪四角平行，不对档案原件造成破坏，保证档案扫描图像与原件一致、整洁、清晰；对拟扫描档案逐页进行检查，档案严重破损、污染和字迹褪变情况应在《扫描档案登记表》相应栏成交注清楚 “原件破损”、“原件模糊”、“原件残缺”等情况说明，影响扫描工作进行的档案，应在注意保护档案不受损害的情况下进行拆件；采用彩色单页jpg的存储格式，扫描分辨率不得低于300dpi，图片文件成品数据为24bit真彩JPG压缩格式；按照《干部档案整理工作细则》，每份档案须按十大类按顺序进行扫描操作；对年代较早、纸质较差、脆、薄的页必须使用平板扫描，不得使用高速扫描以免档案破损；对纸质较薄，透明的页必须垫白纸扫描，避免前后内容透视重叠；扫描完成后必须正确排列档案文件和页面顺序。</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2.2 原始图像制作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对档案扫描后的图像进行处理，图像的排列顺序与纸质档案排序要求完全一致；图像清晰，亮度适中，分辨率300DPI；无坏死文件，无黑屏；图像页码连续，无错页；图像须进行纠偏处理；图像偏斜每行首尾不超过1°，无折叠、遮字或缺损现象，保持图像的完整；扫描图像的画幅数与应扫描档案的画幅数一致，无漏扫、重扫或多扫；不能一次性完成扫描的A3（含A3）以上幅面档案，须采取分幅扫描而后拼接的方法获得单一图像，拼接后图像与档案原件在视觉上完全一致，无拼接痕迹。</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2.3 干部人事档案目录、原始图像数据审核</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图像处理中不得损坏原有档案信息的完整；目录数据库与图像文件挂接错误，档案目录不完全对应，或目录数据库、图像文件之一出现不完整、不清晰、有错误等质量问题时，抽检标记为"不合格"。档案装订：检查所有档案的装订还原情况，差错率≤1‰。扫描图像：漏扫率≤0.2‰。图像质量：图像质量情况完好率99%。图像文件命名：差错率≤1‰。目录核对、著录、完善、打印（含装订）：以卷为单位，关键字段正确率100%，其余字段录入错误率≤5‰，档案目录打印格式、内容准确无误。条目与图像挂接：挂接正确率100%。</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2.4 档案装订归库</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经核对无误的档案，按《干部档案整理细则》要求进行装订,不可有漏装掉页情况出现,也不可损害文件字符影响阅读,不能损毁档案原件。及时将装订完毕的档案上交采购方工作人员清点收入库并做好交接确认工作，交接需有相关的交接单。</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2.5 数据备份</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项目验收后，以硬盘提供数字档案成果刻录备份，一式3份，备份硬盘提交采购方后双方签字登记确认。</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3、安全保密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3.1 项目工作人员必须认真贯彻执行《中华人民共和国档案法》、《中华人民共和国保守国家秘密法》和干部人事档案工作的有关规定，严格遵守安全保密制度，保守党和国家的秘密。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3.2 项目工作人员须签订保密协议，加强对工作人员的保密教育。</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3.3 供应商负责对所有参加本项目的工作人员进行审查，确保社会关系清楚，历史清白，工作人员应签订保密责任书。身份证复印件、保密责任书、员工登记表等相关资料由采购方存档备案。</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3.4 供应商应指定专职档案交接员与采购方的专职档案交接员配合，负责原始档案的交接工作。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3.5采购方提供的全部文件资料，均属保密内容，凡以直接、间接、口头或书面等形式提供涉及保密内容的行为均属泄密，未经许可，任何档案材料不得带离工作区域。</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3.6供应商不得出现丢失、损坏、损毁人事档案或档案材料内容；泄露档案内容信息（包括档案实物内容信息和数字化数据信息）；私自圈划、涂改、复制、抽取或伪造档案材料；擅自处理或销毁档案材料等严重违反安全保密要求的行为。如发生以上情况，供应商须承担补救责任和损害赔偿责任，直至追究法律责任，有权解除合同。</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3.7 供应商应在工作现场设安全保密员，负责档案原件在整个整理和扫描流程中的安全管理和已扫描档案数据的安全保密工作。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3.8 不得在工作场所使用与工作无关的任何电器设备，包括手机、相机等有拍摄功能的设备，警告后仍未整改，采购方有权解除合同。</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3.9相关设备严禁连接互联网和不符合安全保密要求的其他网络。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3.10工作电脑在扫描工作完成前，未经同意，不得带离工作现场。</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 xml:space="preserve">3.11 USB端口封闭使用，已扫描和录入的数据除按规定刻制提交的光盘以外，只能存放在工作区的电脑上，承包单位工作人员不得携带任何移动数据存储介质进入工作现场，或将存储数据带离现场。 </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3.12分批验收进行数据移交时，工作电脑上的数据必须在采购方相关技术人员的现场监督下销毁。</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3.13 全部扫描工作完成并已通过验收后，工作电脑上的全部数据必须在采购方相关技术人员的监督下彻底销毁。</w:t>
      </w:r>
    </w:p>
    <w:p>
      <w:pPr>
        <w:ind w:firstLine="420" w:firstLineChars="0"/>
        <w:rPr>
          <w:rFonts w:asciiTheme="minorEastAsia" w:hAnsiTheme="minorEastAsia"/>
          <w:bCs/>
          <w:sz w:val="24"/>
          <w:szCs w:val="24"/>
          <w:highlight w:val="none"/>
        </w:rPr>
      </w:pPr>
      <w:r>
        <w:rPr>
          <w:rFonts w:hint="eastAsia" w:ascii="新宋体" w:hAnsi="新宋体" w:eastAsia="新宋体" w:cs="新宋体"/>
          <w:sz w:val="22"/>
          <w:szCs w:val="22"/>
        </w:rPr>
        <w:t>3.14</w:t>
      </w:r>
      <w:r>
        <w:rPr>
          <w:rFonts w:hint="eastAsia" w:ascii="新宋体" w:hAnsi="新宋体" w:eastAsia="新宋体" w:cs="新宋体"/>
          <w:sz w:val="22"/>
          <w:szCs w:val="22"/>
          <w:highlight w:val="none"/>
        </w:rPr>
        <w:t>服务工期：</w:t>
      </w:r>
      <w:r>
        <w:rPr>
          <w:rFonts w:hint="eastAsia" w:ascii="新宋体" w:hAnsi="新宋体" w:eastAsia="新宋体" w:cs="新宋体"/>
          <w:sz w:val="22"/>
          <w:szCs w:val="22"/>
          <w:highlight w:val="none"/>
          <w:u w:val="single"/>
        </w:rPr>
        <w:t xml:space="preserve">  2023年12月底前</w:t>
      </w:r>
      <w:r>
        <w:rPr>
          <w:rFonts w:hint="eastAsia" w:ascii="新宋体" w:hAnsi="新宋体" w:eastAsia="新宋体" w:cs="新宋体"/>
          <w:sz w:val="22"/>
          <w:szCs w:val="22"/>
          <w:highlight w:val="none"/>
        </w:rPr>
        <w:t>完成所有档案整理及数字化。</w:t>
      </w:r>
    </w:p>
    <w:p>
      <w:pPr>
        <w:rPr>
          <w:rFonts w:asciiTheme="minorEastAsia" w:hAnsiTheme="minorEastAsia"/>
          <w:bCs/>
          <w:sz w:val="24"/>
          <w:szCs w:val="24"/>
        </w:rPr>
      </w:pPr>
    </w:p>
    <w:p>
      <w:pPr>
        <w:rPr>
          <w:rFonts w:hint="eastAsia" w:asciiTheme="minorEastAsia" w:hAnsiTheme="minorEastAsia" w:eastAsiaTheme="minorEastAsia"/>
          <w:bCs/>
          <w:sz w:val="24"/>
          <w:szCs w:val="24"/>
          <w:lang w:eastAsia="zh-CN"/>
        </w:rPr>
      </w:pPr>
      <w:r>
        <w:rPr>
          <w:rFonts w:asciiTheme="minorEastAsia" w:hAnsiTheme="minorEastAsia"/>
          <w:bCs/>
          <w:sz w:val="24"/>
          <w:szCs w:val="24"/>
        </w:rPr>
        <w:t>★投标人可根据以上所列</w:t>
      </w:r>
      <w:r>
        <w:rPr>
          <w:rFonts w:hint="eastAsia" w:asciiTheme="minorEastAsia" w:hAnsiTheme="minorEastAsia"/>
          <w:bCs/>
          <w:sz w:val="24"/>
          <w:szCs w:val="24"/>
          <w:lang w:eastAsia="zh-CN"/>
        </w:rPr>
        <w:t>服务</w:t>
      </w:r>
      <w:r>
        <w:rPr>
          <w:rFonts w:asciiTheme="minorEastAsia" w:hAnsiTheme="minorEastAsia"/>
          <w:bCs/>
          <w:sz w:val="24"/>
          <w:szCs w:val="24"/>
        </w:rPr>
        <w:t>要求作为</w:t>
      </w:r>
      <w:r>
        <w:rPr>
          <w:rFonts w:hint="eastAsia" w:asciiTheme="minorEastAsia" w:hAnsiTheme="minorEastAsia"/>
          <w:bCs/>
          <w:sz w:val="24"/>
          <w:szCs w:val="24"/>
        </w:rPr>
        <w:t>提供</w:t>
      </w:r>
      <w:r>
        <w:rPr>
          <w:rFonts w:hint="eastAsia" w:asciiTheme="minorEastAsia" w:hAnsiTheme="minorEastAsia"/>
          <w:bCs/>
          <w:sz w:val="24"/>
          <w:szCs w:val="24"/>
          <w:lang w:eastAsia="zh-CN"/>
        </w:rPr>
        <w:t>服务</w:t>
      </w:r>
      <w:r>
        <w:rPr>
          <w:rFonts w:hint="eastAsia" w:asciiTheme="minorEastAsia" w:hAnsiTheme="minorEastAsia"/>
          <w:bCs/>
          <w:sz w:val="24"/>
          <w:szCs w:val="24"/>
        </w:rPr>
        <w:t>依据</w:t>
      </w:r>
      <w:r>
        <w:rPr>
          <w:rFonts w:asciiTheme="minorEastAsia" w:hAnsiTheme="minorEastAsia"/>
          <w:bCs/>
          <w:sz w:val="24"/>
          <w:szCs w:val="24"/>
        </w:rPr>
        <w:t>，但所</w:t>
      </w:r>
      <w:r>
        <w:rPr>
          <w:rFonts w:hint="eastAsia" w:asciiTheme="minorEastAsia" w:hAnsiTheme="minorEastAsia"/>
          <w:bCs/>
          <w:sz w:val="24"/>
          <w:szCs w:val="24"/>
        </w:rPr>
        <w:t>提供</w:t>
      </w:r>
      <w:r>
        <w:rPr>
          <w:rFonts w:hint="eastAsia" w:asciiTheme="minorEastAsia" w:hAnsiTheme="minorEastAsia"/>
          <w:bCs/>
          <w:sz w:val="24"/>
          <w:szCs w:val="24"/>
          <w:lang w:eastAsia="zh-CN"/>
        </w:rPr>
        <w:t>服务</w:t>
      </w:r>
      <w:r>
        <w:rPr>
          <w:rFonts w:asciiTheme="minorEastAsia" w:hAnsiTheme="minorEastAsia"/>
          <w:bCs/>
          <w:sz w:val="24"/>
          <w:szCs w:val="24"/>
        </w:rPr>
        <w:t>应相当于或高于招标文件要求，并满足采购需求，</w:t>
      </w:r>
      <w:r>
        <w:rPr>
          <w:rFonts w:hint="eastAsia" w:asciiTheme="minorEastAsia" w:hAnsiTheme="minorEastAsia"/>
          <w:bCs/>
          <w:sz w:val="24"/>
          <w:szCs w:val="24"/>
        </w:rPr>
        <w:t>否则将承担由此引起的一切后果。</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 xml:space="preserve">   （一）技术分的评定（</w:t>
      </w:r>
      <w:r>
        <w:rPr>
          <w:rFonts w:hint="eastAsia" w:asciiTheme="minorEastAsia" w:hAnsiTheme="minorEastAsia"/>
          <w:sz w:val="24"/>
          <w:szCs w:val="24"/>
          <w:lang w:val="en-US" w:eastAsia="zh-CN"/>
        </w:rPr>
        <w:t>8</w:t>
      </w:r>
      <w:r>
        <w:rPr>
          <w:rFonts w:hint="eastAsia" w:asciiTheme="minorEastAsia" w:hAnsiTheme="minorEastAsia"/>
          <w:sz w:val="24"/>
          <w:szCs w:val="24"/>
        </w:rPr>
        <w:t>0分）（权值</w:t>
      </w:r>
      <w:r>
        <w:rPr>
          <w:rFonts w:hint="eastAsia" w:asciiTheme="minorEastAsia" w:hAnsiTheme="minorEastAsia"/>
          <w:sz w:val="24"/>
          <w:szCs w:val="24"/>
          <w:lang w:val="en-US" w:eastAsia="zh-CN"/>
        </w:rPr>
        <w:t>8</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rPr>
          <w:rFonts w:asciiTheme="minorEastAsia" w:hAnsiTheme="minorEastAsia"/>
          <w:sz w:val="24"/>
          <w:szCs w:val="24"/>
        </w:rPr>
      </w:pPr>
    </w:p>
    <w:tbl>
      <w:tblPr>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1245"/>
        <w:gridCol w:w="7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940"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评分内容和标准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45"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供应商综合能力（10分）</w:t>
            </w: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1）具有ISO9001质量管理体系认证（认证范围包含档案数字化加工、档案整理）得2分）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2）具有ISO14001环境管理体系认证（认证范围包含档案数字化加工、档案整理）得2分）。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3）具有ISO27001信息安全管理体系认证证书（认证范围与档案服务相关）得2分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4）具有五星级售后服务认证证书（认证范围包含档案整理及数字化服务）得2分。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5）具有国家秘密载体印刷资质乙级或乙级以上的得2分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注：提供以上证书复印件，并加盖供应商单位公章。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45"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以往业绩(1分）</w:t>
            </w:r>
          </w:p>
        </w:tc>
        <w:tc>
          <w:tcPr>
            <w:tcW w:w="7095" w:type="dxa"/>
            <w:tcBorders>
              <w:top w:val="nil"/>
              <w:left w:val="single" w:color="000000" w:sz="8" w:space="0"/>
              <w:bottom w:val="nil"/>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具有2020年1月1日（含）以来承担过档案数字化加工案例，每个合同得1分，最高1分  （0-1）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说明：成功案例不重复计算并须提供合同复印件，加盖响应单位公章。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60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4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档案创新能力（6分）</w:t>
            </w:r>
          </w:p>
        </w:tc>
        <w:tc>
          <w:tcPr>
            <w:tcW w:w="70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拥有自主产权的档案管理平台系统软件著作权证书，2.拥有自主产权的档案数字化加工平台系统著作权证书，3.拥有自主产权的OCR批量识别与校验平台软件著作权证书，4.拥有自主产权的电子文件中心归档管理系统软件著作权证书，以上4个证书，每提供1个得1.5分，本项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0" w:type="dxa"/>
            <w:vMerge w:val="restart"/>
            <w:tcBorders>
              <w:top w:val="single" w:color="000000" w:sz="8" w:space="0"/>
              <w:left w:val="double" w:color="000000" w:sz="4"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项目技术方案和实施规划（32分）</w:t>
            </w: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加工流程整体设计方案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档案交接、扫描前处理、档案扫描、影像处理、目录建库、质检流程、装订还原等流程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①方案内容全面且描述清晰，充分理解本项目需求，方案有利于且充分保障本项目实施的，得</w:t>
            </w:r>
            <w:r>
              <w:rPr>
                <w:rStyle w:val="22"/>
                <w:rFonts w:eastAsia="宋体"/>
                <w:bdr w:val="none" w:color="auto" w:sz="0" w:space="0"/>
                <w:lang w:val="en-US" w:eastAsia="zh-CN" w:bidi="ar"/>
              </w:rPr>
              <w:t>4-5</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②方案内容比较完善，能够良好满足项目实施需要且无较大的缺陷的得</w:t>
            </w:r>
            <w:r>
              <w:rPr>
                <w:rStyle w:val="22"/>
                <w:rFonts w:eastAsia="宋体"/>
                <w:bdr w:val="none" w:color="auto" w:sz="0" w:space="0"/>
                <w:lang w:val="en-US" w:eastAsia="zh-CN" w:bidi="ar"/>
              </w:rPr>
              <w:t>2-4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③方案内容简单笼统，不能良好满足项目实施的得</w:t>
            </w:r>
            <w:r>
              <w:rPr>
                <w:rStyle w:val="22"/>
                <w:rFonts w:eastAsia="宋体"/>
                <w:bdr w:val="none" w:color="auto" w:sz="0" w:space="0"/>
                <w:lang w:val="en-US" w:eastAsia="zh-CN" w:bidi="ar"/>
              </w:rPr>
              <w:t>0-2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供应商针对本项目具体实施计划及工期安排，档案数字化产量及人员具体分工安排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供应商针对本项目施工现场组织机构图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）项目负责人：同时具有人社部门颁发的中级及以上档案职称证书，军工保密资格认证中心颁发的安全保密管理人员培训证书，档案服务项目经理高级研修班证书、档案修裱证书的得</w:t>
            </w:r>
            <w:r>
              <w:rPr>
                <w:rStyle w:val="22"/>
                <w:rFonts w:eastAsia="宋体"/>
                <w:bdr w:val="none" w:color="auto" w:sz="0" w:space="0"/>
                <w:lang w:val="en-US" w:eastAsia="zh-CN" w:bidi="ar"/>
              </w:rPr>
              <w:t>4</w:t>
            </w:r>
            <w:r>
              <w:rPr>
                <w:rFonts w:hint="eastAsia" w:ascii="宋体" w:hAnsi="宋体" w:eastAsia="宋体" w:cs="宋体"/>
                <w:i w:val="0"/>
                <w:iCs w:val="0"/>
                <w:color w:val="000000"/>
                <w:kern w:val="0"/>
                <w:sz w:val="22"/>
                <w:szCs w:val="22"/>
                <w:u w:val="none"/>
                <w:bdr w:val="none" w:color="auto" w:sz="0" w:space="0"/>
                <w:lang w:val="en-US" w:eastAsia="zh-CN" w:bidi="ar"/>
              </w:rPr>
              <w:t>分，缺一项不得分。（</w:t>
            </w:r>
            <w:r>
              <w:rPr>
                <w:rStyle w:val="22"/>
                <w:rFonts w:eastAsia="宋体"/>
                <w:bdr w:val="none" w:color="auto" w:sz="0" w:space="0"/>
                <w:lang w:val="en-US" w:eastAsia="zh-CN" w:bidi="ar"/>
              </w:rPr>
              <w:t>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2</w:t>
            </w:r>
            <w:r>
              <w:rPr>
                <w:rFonts w:hint="eastAsia" w:ascii="宋体" w:hAnsi="宋体" w:eastAsia="宋体" w:cs="宋体"/>
                <w:i w:val="0"/>
                <w:iCs w:val="0"/>
                <w:color w:val="000000"/>
                <w:kern w:val="0"/>
                <w:sz w:val="22"/>
                <w:szCs w:val="22"/>
                <w:u w:val="none"/>
                <w:bdr w:val="none" w:color="auto" w:sz="0" w:space="0"/>
                <w:lang w:val="en-US" w:eastAsia="zh-CN" w:bidi="ar"/>
              </w:rPr>
              <w:t>）项目组人员（除项目负责人外）：具有省级档案部门颁发的档案信息安全保密培训证书并参与过档案管理相关标准制定的，每满足一人得</w:t>
            </w:r>
            <w:r>
              <w:rPr>
                <w:rStyle w:val="22"/>
                <w:rFonts w:eastAsia="宋体"/>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分，最高得</w:t>
            </w:r>
            <w:r>
              <w:rPr>
                <w:rStyle w:val="22"/>
                <w:rFonts w:eastAsia="宋体"/>
                <w:bdr w:val="none" w:color="auto" w:sz="0" w:space="0"/>
                <w:lang w:val="en-US" w:eastAsia="zh-CN" w:bidi="ar"/>
              </w:rPr>
              <w:t>8</w:t>
            </w:r>
            <w:r>
              <w:rPr>
                <w:rFonts w:hint="eastAsia" w:ascii="宋体" w:hAnsi="宋体" w:eastAsia="宋体" w:cs="宋体"/>
                <w:i w:val="0"/>
                <w:iCs w:val="0"/>
                <w:color w:val="000000"/>
                <w:kern w:val="0"/>
                <w:sz w:val="22"/>
                <w:szCs w:val="22"/>
                <w:u w:val="none"/>
                <w:bdr w:val="none" w:color="auto" w:sz="0" w:space="0"/>
                <w:lang w:val="en-US" w:eastAsia="zh-CN" w:bidi="ar"/>
              </w:rPr>
              <w:t>分。（</w:t>
            </w:r>
            <w:r>
              <w:rPr>
                <w:rStyle w:val="22"/>
                <w:rFonts w:eastAsia="宋体"/>
                <w:bdr w:val="none" w:color="auto" w:sz="0" w:space="0"/>
                <w:lang w:val="en-US" w:eastAsia="zh-CN" w:bidi="ar"/>
              </w:rPr>
              <w:t>0-8</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以上提供人员资格证书复印件或证明材料及近</w:t>
            </w:r>
            <w:r>
              <w:rPr>
                <w:rStyle w:val="22"/>
                <w:rFonts w:eastAsia="宋体"/>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个月社保记录（需有社保部门盖章）；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明确加工场地规划，所配备的硬件数量及规格，软件和网络环境等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根据完成数字化加工后的档案信息入库，包括档案数据入库、目录建库、质量检查和数据挂接等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8" w:space="0"/>
              <w:left w:val="double" w:color="000000" w:sz="4"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保障措施（20分）</w:t>
            </w: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针对本项目提供合理、可行的保密安全方案，符合国家档案局文件要求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案内容全面且描述清晰，充分理解本项目需求，方案有利于且充分保障本项目实施的，得</w:t>
            </w:r>
            <w:r>
              <w:rPr>
                <w:rStyle w:val="22"/>
                <w:rFonts w:eastAsia="宋体"/>
                <w:bdr w:val="none" w:color="auto" w:sz="0" w:space="0"/>
                <w:lang w:val="en-US" w:eastAsia="zh-CN" w:bidi="ar"/>
              </w:rPr>
              <w:t>3-4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②方案内容比较完善，能够良好满足项目实施需要且无较大的缺陷的得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③方案内容简单笼统，不能良好满足项目实施的得</w:t>
            </w:r>
            <w:r>
              <w:rPr>
                <w:rStyle w:val="22"/>
                <w:rFonts w:eastAsia="宋体"/>
                <w:bdr w:val="none" w:color="auto" w:sz="0" w:space="0"/>
                <w:lang w:val="en-US" w:eastAsia="zh-CN" w:bidi="ar"/>
              </w:rPr>
              <w:t>0-2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针对本项目作业过程质量控制方案，包括作业质量预控，作业人员控制，作业设备质量控制，质量例会制度，质量记录等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①方案内容全面且描述清晰，充分理解本项目需求，方案有利于且充分保障本项目实施的，得</w:t>
            </w:r>
            <w:r>
              <w:rPr>
                <w:rStyle w:val="22"/>
                <w:rFonts w:eastAsia="宋体"/>
                <w:bdr w:val="none" w:color="auto" w:sz="0" w:space="0"/>
                <w:lang w:val="en-US" w:eastAsia="zh-CN" w:bidi="ar"/>
              </w:rPr>
              <w:t>4-5</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②方案内容比较完善，能够良好满足项目实施需要且无较大的缺陷的得</w:t>
            </w:r>
            <w:r>
              <w:rPr>
                <w:rStyle w:val="22"/>
                <w:rFonts w:eastAsia="宋体"/>
                <w:bdr w:val="none" w:color="auto" w:sz="0" w:space="0"/>
                <w:lang w:val="en-US" w:eastAsia="zh-CN" w:bidi="ar"/>
              </w:rPr>
              <w:t>2-4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③方案内容简单笼统，不能良好满足项目实施的得</w:t>
            </w:r>
            <w:r>
              <w:rPr>
                <w:rStyle w:val="22"/>
                <w:rFonts w:eastAsia="宋体"/>
                <w:bdr w:val="none" w:color="auto" w:sz="0" w:space="0"/>
                <w:lang w:val="en-US" w:eastAsia="zh-CN" w:bidi="ar"/>
              </w:rPr>
              <w:t>0-2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落实专人质检岗位并进行</w:t>
            </w:r>
            <w:r>
              <w:rPr>
                <w:rStyle w:val="22"/>
                <w:rFonts w:eastAsia="宋体"/>
                <w:bdr w:val="none" w:color="auto" w:sz="0" w:space="0"/>
                <w:lang w:val="en-US" w:eastAsia="zh-CN" w:bidi="ar"/>
              </w:rPr>
              <w:t>100%</w:t>
            </w:r>
            <w:r>
              <w:rPr>
                <w:rFonts w:hint="eastAsia" w:ascii="宋体" w:hAnsi="宋体" w:eastAsia="宋体" w:cs="宋体"/>
                <w:i w:val="0"/>
                <w:iCs w:val="0"/>
                <w:color w:val="000000"/>
                <w:kern w:val="0"/>
                <w:sz w:val="22"/>
                <w:szCs w:val="22"/>
                <w:u w:val="none"/>
                <w:bdr w:val="none" w:color="auto" w:sz="0" w:space="0"/>
                <w:lang w:val="en-US" w:eastAsia="zh-CN" w:bidi="ar"/>
              </w:rPr>
              <w:t>检查、保证各工序准确率；数字化加工时拥有电子数据检测及质量管理系统功能模块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①方案内容全面且描述清晰，充分理解本项目需求，方案有利于且充分保障本项目实施的，得</w:t>
            </w:r>
            <w:r>
              <w:rPr>
                <w:rStyle w:val="22"/>
                <w:rFonts w:eastAsia="宋体"/>
                <w:bdr w:val="none" w:color="auto" w:sz="0" w:space="0"/>
                <w:lang w:val="en-US" w:eastAsia="zh-CN" w:bidi="ar"/>
              </w:rPr>
              <w:t>4-5</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②方案内容比较完善，能够良好满足项目实施需要且无较大的缺陷的得</w:t>
            </w:r>
            <w:r>
              <w:rPr>
                <w:rStyle w:val="22"/>
                <w:rFonts w:eastAsia="宋体"/>
                <w:bdr w:val="none" w:color="auto" w:sz="0" w:space="0"/>
                <w:lang w:val="en-US" w:eastAsia="zh-CN" w:bidi="ar"/>
              </w:rPr>
              <w:t>2-4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③方案内容简单笼统，不能良好满足项目实施的得</w:t>
            </w:r>
            <w:r>
              <w:rPr>
                <w:rStyle w:val="22"/>
                <w:rFonts w:eastAsia="宋体"/>
                <w:bdr w:val="none" w:color="auto" w:sz="0" w:space="0"/>
                <w:lang w:val="en-US" w:eastAsia="zh-CN" w:bidi="ar"/>
              </w:rPr>
              <w:t>0-2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针对本项目的保密协议及严格的保密制度、现场管理制度（包括纪律、物品、卫生、操作、档案保护）、安全管理制度等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对本项目的应急预案措施，根据操作性，合理性等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restart"/>
            <w:tcBorders>
              <w:top w:val="single" w:color="000000" w:sz="8" w:space="0"/>
              <w:left w:val="double" w:color="000000" w:sz="4"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售后服务（8分）</w:t>
            </w: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提供售后服务方案，根据方案的完整性、内容描述详细、可行性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用户培训计划，数据迁移、系统升级服务，其他服务承诺或合理化建议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2-4</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000000" w:sz="8" w:space="0"/>
              <w:left w:val="double" w:color="000000" w:sz="4" w:space="0"/>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8" w:space="0"/>
              <w:left w:val="double" w:color="000000" w:sz="4" w:space="0"/>
              <w:bottom w:val="doub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w:t>
            </w:r>
          </w:p>
        </w:tc>
        <w:tc>
          <w:tcPr>
            <w:tcW w:w="1245" w:type="dxa"/>
            <w:vMerge w:val="restart"/>
            <w:tcBorders>
              <w:top w:val="single" w:color="000000" w:sz="8" w:space="0"/>
              <w:left w:val="single" w:color="000000" w:sz="8" w:space="0"/>
              <w:bottom w:val="doub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优惠承诺及合理化建议（3分）</w:t>
            </w:r>
          </w:p>
        </w:tc>
        <w:tc>
          <w:tcPr>
            <w:tcW w:w="7095"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供应商应结合本项目特点及实际工作过程中有可能涉及到的因素，提供优惠承诺与合理化建议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8" w:space="0"/>
              <w:left w:val="double" w:color="000000" w:sz="4" w:space="0"/>
              <w:bottom w:val="double" w:color="000000" w:sz="4"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doub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①技术方案完整清晰、合理，满足技术方案的先进性、功能性、可扩展性等要求的得</w:t>
            </w:r>
            <w:r>
              <w:rPr>
                <w:rStyle w:val="22"/>
                <w:rFonts w:eastAsia="宋体"/>
                <w:bdr w:val="none" w:color="auto" w:sz="0" w:space="0"/>
                <w:lang w:val="en-US" w:eastAsia="zh-CN" w:bidi="ar"/>
              </w:rPr>
              <w:t>2-3</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8" w:space="0"/>
              <w:left w:val="double" w:color="000000" w:sz="4" w:space="0"/>
              <w:bottom w:val="double" w:color="000000" w:sz="4"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doub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②技术方案比较完善，能够良好满足项目实施需要且无较大的缺陷的得</w:t>
            </w:r>
            <w:r>
              <w:rPr>
                <w:rStyle w:val="22"/>
                <w:rFonts w:eastAsia="宋体"/>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8" w:space="0"/>
              <w:left w:val="double" w:color="000000" w:sz="4" w:space="0"/>
              <w:bottom w:val="double" w:color="000000" w:sz="4"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1245" w:type="dxa"/>
            <w:vMerge w:val="continue"/>
            <w:tcBorders>
              <w:top w:val="single" w:color="000000" w:sz="8" w:space="0"/>
              <w:left w:val="single" w:color="000000" w:sz="8" w:space="0"/>
              <w:bottom w:val="doub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095" w:type="dxa"/>
            <w:tcBorders>
              <w:top w:val="nil"/>
              <w:left w:val="single" w:color="000000" w:sz="8" w:space="0"/>
              <w:bottom w:val="double" w:color="000000" w:sz="4"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③技术方案简单笼统，不能良好满足项目实施的得</w:t>
            </w:r>
            <w:r>
              <w:rPr>
                <w:rStyle w:val="22"/>
                <w:rFonts w:eastAsia="宋体"/>
                <w:bdr w:val="none" w:color="auto" w:sz="0" w:space="0"/>
                <w:lang w:val="en-US" w:eastAsia="zh-CN" w:bidi="ar"/>
              </w:rPr>
              <w:t>0-1</w:t>
            </w:r>
            <w:r>
              <w:rPr>
                <w:rFonts w:hint="eastAsia" w:ascii="宋体" w:hAnsi="宋体" w:eastAsia="宋体" w:cs="宋体"/>
                <w:i w:val="0"/>
                <w:iCs w:val="0"/>
                <w:color w:val="000000"/>
                <w:kern w:val="0"/>
                <w:sz w:val="22"/>
                <w:szCs w:val="22"/>
                <w:u w:val="none"/>
                <w:bdr w:val="none" w:color="auto" w:sz="0" w:space="0"/>
                <w:lang w:val="en-US" w:eastAsia="zh-CN" w:bidi="ar"/>
              </w:rPr>
              <w:t>分。</w:t>
            </w:r>
          </w:p>
        </w:tc>
      </w:tr>
    </w:tbl>
    <w:p>
      <w:pPr>
        <w:pStyle w:val="2"/>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w:t>
      </w:r>
      <w:r>
        <w:rPr>
          <w:rFonts w:hint="eastAsia" w:asciiTheme="minorEastAsia" w:hAnsiTheme="minorEastAsia"/>
          <w:sz w:val="24"/>
          <w:szCs w:val="24"/>
          <w:lang w:val="en-US" w:eastAsia="zh-CN"/>
        </w:rPr>
        <w:t>2</w:t>
      </w:r>
      <w:r>
        <w:rPr>
          <w:rFonts w:hint="eastAsia" w:asciiTheme="minorEastAsia" w:hAnsiTheme="minorEastAsia"/>
          <w:sz w:val="24"/>
          <w:szCs w:val="24"/>
        </w:rPr>
        <w:t>0分）（权值</w:t>
      </w:r>
      <w:r>
        <w:rPr>
          <w:rFonts w:hint="eastAsia" w:asciiTheme="minorEastAsia" w:hAnsiTheme="minorEastAsia"/>
          <w:sz w:val="24"/>
          <w:szCs w:val="24"/>
          <w:lang w:val="en-US" w:eastAsia="zh-CN"/>
        </w:rPr>
        <w:t>2</w:t>
      </w:r>
      <w:r>
        <w:rPr>
          <w:rFonts w:hint="eastAsia" w:asciiTheme="minorEastAsia" w:hAnsiTheme="minorEastAsia"/>
          <w:sz w:val="24"/>
          <w:szCs w:val="24"/>
        </w:rPr>
        <w:t>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w:t>
      </w:r>
      <w:r>
        <w:rPr>
          <w:rFonts w:hint="eastAsia" w:asciiTheme="minorEastAsia" w:hAnsiTheme="minorEastAsia"/>
          <w:sz w:val="24"/>
          <w:szCs w:val="24"/>
          <w:lang w:val="en-US" w:eastAsia="zh-CN"/>
        </w:rPr>
        <w:t>2</w:t>
      </w:r>
      <w:r>
        <w:rPr>
          <w:rFonts w:hint="eastAsia" w:asciiTheme="minorEastAsia" w:hAnsiTheme="minorEastAsia"/>
          <w:sz w:val="24"/>
          <w:szCs w:val="24"/>
        </w:rPr>
        <w:t>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投标报价得分=（评分基准价/投标人投标报价）×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8"/>
        <w:tblW w:w="79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2436"/>
        <w:gridCol w:w="1095"/>
        <w:gridCol w:w="1245"/>
        <w:gridCol w:w="1380"/>
        <w:gridCol w:w="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2436"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1095" w:type="dxa"/>
            <w:vAlign w:val="center"/>
          </w:tcPr>
          <w:p>
            <w:pPr>
              <w:spacing w:line="380" w:lineRule="exact"/>
              <w:jc w:val="center"/>
              <w:rPr>
                <w:rFonts w:hint="eastAsia" w:ascii="宋体" w:hAnsi="宋体" w:cs="hakuyoxingshu7000" w:eastAsiaTheme="minorEastAsia"/>
                <w:b/>
                <w:bCs/>
                <w:szCs w:val="21"/>
                <w:lang w:eastAsia="zh-CN"/>
              </w:rPr>
            </w:pPr>
            <w:r>
              <w:rPr>
                <w:rFonts w:hint="eastAsia" w:ascii="宋体" w:hAnsi="宋体" w:cs="hakuyoxingshu7000"/>
                <w:b/>
                <w:bCs/>
                <w:szCs w:val="21"/>
                <w:lang w:eastAsia="zh-CN"/>
              </w:rPr>
              <w:t>数量（份）</w:t>
            </w:r>
          </w:p>
        </w:tc>
        <w:tc>
          <w:tcPr>
            <w:tcW w:w="1245" w:type="dxa"/>
            <w:vAlign w:val="center"/>
          </w:tcPr>
          <w:p>
            <w:pPr>
              <w:spacing w:line="380" w:lineRule="exact"/>
              <w:jc w:val="center"/>
              <w:rPr>
                <w:rFonts w:hint="eastAsia" w:ascii="宋体" w:hAnsi="宋体" w:cs="hakuyoxingshu7000" w:eastAsiaTheme="minorEastAsia"/>
                <w:b/>
                <w:bCs/>
                <w:szCs w:val="21"/>
                <w:lang w:eastAsia="zh-CN"/>
              </w:rPr>
            </w:pPr>
            <w:r>
              <w:rPr>
                <w:rFonts w:hint="eastAsia" w:ascii="宋体" w:hAnsi="宋体" w:cs="hakuyoxingshu7000"/>
                <w:b/>
                <w:bCs/>
                <w:szCs w:val="21"/>
                <w:lang w:eastAsia="zh-CN"/>
              </w:rPr>
              <w:t>单价（元）</w:t>
            </w:r>
          </w:p>
        </w:tc>
        <w:tc>
          <w:tcPr>
            <w:tcW w:w="1380"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lang w:eastAsia="zh-CN"/>
              </w:rPr>
              <w:t>总价</w:t>
            </w:r>
            <w:r>
              <w:rPr>
                <w:rFonts w:hint="eastAsia" w:ascii="宋体" w:hAnsi="宋体" w:cs="hakuyoxingshu7000"/>
                <w:b/>
                <w:bCs/>
                <w:szCs w:val="21"/>
              </w:rPr>
              <w:t>（元）</w:t>
            </w:r>
          </w:p>
        </w:tc>
        <w:tc>
          <w:tcPr>
            <w:tcW w:w="990"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2436" w:type="dxa"/>
            <w:vAlign w:val="center"/>
          </w:tcPr>
          <w:p>
            <w:pPr>
              <w:spacing w:line="380" w:lineRule="exact"/>
              <w:jc w:val="center"/>
              <w:rPr>
                <w:rFonts w:hint="default" w:ascii="宋体" w:hAnsi="宋体" w:cs="hakuyoxingshu7000"/>
                <w:bCs/>
                <w:szCs w:val="21"/>
                <w:lang w:val="en-US" w:eastAsia="zh-CN"/>
              </w:rPr>
            </w:pPr>
          </w:p>
        </w:tc>
        <w:tc>
          <w:tcPr>
            <w:tcW w:w="1095" w:type="dxa"/>
            <w:vAlign w:val="center"/>
          </w:tcPr>
          <w:p>
            <w:pPr>
              <w:spacing w:line="380" w:lineRule="exact"/>
              <w:jc w:val="center"/>
              <w:rPr>
                <w:rFonts w:hint="default" w:ascii="宋体" w:hAnsi="宋体" w:cs="hakuyoxingshu7000" w:eastAsiaTheme="minorEastAsia"/>
                <w:bCs/>
                <w:szCs w:val="21"/>
                <w:lang w:val="en-US" w:eastAsia="zh-CN"/>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2436" w:type="dxa"/>
            <w:vAlign w:val="center"/>
          </w:tcPr>
          <w:p>
            <w:pPr>
              <w:spacing w:line="380" w:lineRule="exact"/>
              <w:jc w:val="center"/>
              <w:rPr>
                <w:rFonts w:hint="default" w:ascii="宋体" w:hAnsi="宋体" w:cs="hakuyoxingshu7000" w:eastAsiaTheme="minorEastAsia"/>
                <w:bCs/>
                <w:szCs w:val="21"/>
                <w:lang w:val="en-US" w:eastAsia="zh-CN"/>
              </w:rPr>
            </w:pPr>
          </w:p>
        </w:tc>
        <w:tc>
          <w:tcPr>
            <w:tcW w:w="1095" w:type="dxa"/>
            <w:vAlign w:val="center"/>
          </w:tcPr>
          <w:p>
            <w:pPr>
              <w:spacing w:line="380" w:lineRule="exact"/>
              <w:jc w:val="center"/>
              <w:rPr>
                <w:rFonts w:hint="default" w:ascii="宋体" w:hAnsi="宋体" w:cs="hakuyoxingshu7000" w:eastAsiaTheme="minorEastAsia"/>
                <w:bCs/>
                <w:szCs w:val="21"/>
                <w:lang w:val="en-US" w:eastAsia="zh-CN"/>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2436" w:type="dxa"/>
            <w:vAlign w:val="center"/>
          </w:tcPr>
          <w:p>
            <w:pPr>
              <w:spacing w:line="380" w:lineRule="exact"/>
              <w:rPr>
                <w:rFonts w:ascii="宋体" w:hAnsi="宋体" w:cs="hakuyoxingshu7000"/>
                <w:bCs/>
                <w:szCs w:val="21"/>
              </w:rPr>
            </w:pPr>
          </w:p>
        </w:tc>
        <w:tc>
          <w:tcPr>
            <w:tcW w:w="1095" w:type="dxa"/>
            <w:vAlign w:val="center"/>
          </w:tcPr>
          <w:p>
            <w:pPr>
              <w:spacing w:line="380" w:lineRule="exact"/>
              <w:rPr>
                <w:rFonts w:ascii="宋体" w:hAnsi="宋体" w:cs="hakuyoxingshu7000"/>
                <w:bCs/>
                <w:szCs w:val="21"/>
              </w:rPr>
            </w:pPr>
          </w:p>
        </w:tc>
        <w:tc>
          <w:tcPr>
            <w:tcW w:w="1245" w:type="dxa"/>
            <w:vAlign w:val="center"/>
          </w:tcPr>
          <w:p>
            <w:pPr>
              <w:spacing w:line="380" w:lineRule="exact"/>
              <w:rPr>
                <w:rFonts w:ascii="宋体" w:hAnsi="宋体" w:cs="hakuyoxingshu7000"/>
                <w:bCs/>
                <w:szCs w:val="21"/>
              </w:rPr>
            </w:pPr>
          </w:p>
        </w:tc>
        <w:tc>
          <w:tcPr>
            <w:tcW w:w="1380" w:type="dxa"/>
            <w:vAlign w:val="center"/>
          </w:tcPr>
          <w:p>
            <w:pPr>
              <w:spacing w:line="380" w:lineRule="exact"/>
              <w:rPr>
                <w:rFonts w:ascii="宋体" w:hAnsi="宋体" w:cs="hakuyoxingshu7000"/>
                <w:bCs/>
                <w:szCs w:val="21"/>
              </w:rPr>
            </w:pPr>
          </w:p>
        </w:tc>
        <w:tc>
          <w:tcPr>
            <w:tcW w:w="990"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903" w:type="dxa"/>
            <w:gridSpan w:val="6"/>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安装运输、调试培训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p>
    <w:p>
      <w:pPr>
        <w:widowControl/>
        <w:jc w:val="left"/>
      </w:pPr>
    </w:p>
    <w:p>
      <w:pPr>
        <w:widowControl/>
        <w:jc w:val="left"/>
      </w:pP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5MjAyMDEyMDljYjBjY2JlMjk1MzQ2Nzg3ZWE0ZjEifQ=="/>
  </w:docVars>
  <w:rsids>
    <w:rsidRoot w:val="00A04A0F"/>
    <w:rsid w:val="00005B27"/>
    <w:rsid w:val="000161F4"/>
    <w:rsid w:val="00071478"/>
    <w:rsid w:val="000868C2"/>
    <w:rsid w:val="00091CE1"/>
    <w:rsid w:val="000B00A1"/>
    <w:rsid w:val="000B3438"/>
    <w:rsid w:val="000F179B"/>
    <w:rsid w:val="00107030"/>
    <w:rsid w:val="001157F5"/>
    <w:rsid w:val="00175B6A"/>
    <w:rsid w:val="0018548B"/>
    <w:rsid w:val="001E2BB6"/>
    <w:rsid w:val="00207306"/>
    <w:rsid w:val="00210625"/>
    <w:rsid w:val="00221AB8"/>
    <w:rsid w:val="002454B5"/>
    <w:rsid w:val="003112C3"/>
    <w:rsid w:val="003132B7"/>
    <w:rsid w:val="003344E5"/>
    <w:rsid w:val="00401ADD"/>
    <w:rsid w:val="00412C00"/>
    <w:rsid w:val="0043359F"/>
    <w:rsid w:val="0044036F"/>
    <w:rsid w:val="00483E48"/>
    <w:rsid w:val="00484F6C"/>
    <w:rsid w:val="004D2233"/>
    <w:rsid w:val="0054104D"/>
    <w:rsid w:val="00545664"/>
    <w:rsid w:val="005B469D"/>
    <w:rsid w:val="005D6544"/>
    <w:rsid w:val="005E6192"/>
    <w:rsid w:val="005F7AC6"/>
    <w:rsid w:val="006962D9"/>
    <w:rsid w:val="006F4047"/>
    <w:rsid w:val="006F626D"/>
    <w:rsid w:val="006F729D"/>
    <w:rsid w:val="00734AF8"/>
    <w:rsid w:val="00791CDE"/>
    <w:rsid w:val="00797272"/>
    <w:rsid w:val="007A470E"/>
    <w:rsid w:val="00815DD0"/>
    <w:rsid w:val="00832DBF"/>
    <w:rsid w:val="00842665"/>
    <w:rsid w:val="008451C7"/>
    <w:rsid w:val="00855344"/>
    <w:rsid w:val="00862EBE"/>
    <w:rsid w:val="00864CF8"/>
    <w:rsid w:val="008672D6"/>
    <w:rsid w:val="008B0D14"/>
    <w:rsid w:val="008B2FB1"/>
    <w:rsid w:val="009029AD"/>
    <w:rsid w:val="00907A70"/>
    <w:rsid w:val="00917860"/>
    <w:rsid w:val="009824F2"/>
    <w:rsid w:val="009B65B9"/>
    <w:rsid w:val="009C30A8"/>
    <w:rsid w:val="00A04A0F"/>
    <w:rsid w:val="00A05839"/>
    <w:rsid w:val="00A3203F"/>
    <w:rsid w:val="00A43614"/>
    <w:rsid w:val="00B078A1"/>
    <w:rsid w:val="00B73693"/>
    <w:rsid w:val="00BB2EDC"/>
    <w:rsid w:val="00BC3089"/>
    <w:rsid w:val="00BE650D"/>
    <w:rsid w:val="00C35C0E"/>
    <w:rsid w:val="00C60FA1"/>
    <w:rsid w:val="00C76DB5"/>
    <w:rsid w:val="00CE7F39"/>
    <w:rsid w:val="00D21FD3"/>
    <w:rsid w:val="00DC7AD8"/>
    <w:rsid w:val="00DD5A36"/>
    <w:rsid w:val="00DF54C4"/>
    <w:rsid w:val="00E079B7"/>
    <w:rsid w:val="00E82CA2"/>
    <w:rsid w:val="00EA3077"/>
    <w:rsid w:val="00EF541C"/>
    <w:rsid w:val="00F0782A"/>
    <w:rsid w:val="00F113FC"/>
    <w:rsid w:val="00F4617D"/>
    <w:rsid w:val="00FA42D8"/>
    <w:rsid w:val="00FB6245"/>
    <w:rsid w:val="00FF2553"/>
    <w:rsid w:val="0482288A"/>
    <w:rsid w:val="07A515DE"/>
    <w:rsid w:val="1DC41623"/>
    <w:rsid w:val="2157362F"/>
    <w:rsid w:val="28515203"/>
    <w:rsid w:val="2E0C7862"/>
    <w:rsid w:val="363C2F28"/>
    <w:rsid w:val="39D72679"/>
    <w:rsid w:val="4188386E"/>
    <w:rsid w:val="4BC62C44"/>
    <w:rsid w:val="5075461D"/>
    <w:rsid w:val="50D509FB"/>
    <w:rsid w:val="58BB5724"/>
    <w:rsid w:val="61BE1566"/>
    <w:rsid w:val="682E182A"/>
    <w:rsid w:val="759B4B73"/>
    <w:rsid w:val="7BCF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Plain Text"/>
    <w:basedOn w:val="1"/>
    <w:link w:val="17"/>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owt-font1-timesnewroman"/>
    <w:basedOn w:val="10"/>
    <w:qFormat/>
    <w:uiPriority w:val="0"/>
  </w:style>
  <w:style w:type="character" w:customStyle="1" w:styleId="16">
    <w:name w:val="纯文本 Char1"/>
    <w:link w:val="4"/>
    <w:qFormat/>
    <w:uiPriority w:val="0"/>
    <w:rPr>
      <w:rFonts w:ascii="宋体" w:hAnsi="Courier New" w:eastAsia="宋体" w:cs="Times New Roman"/>
      <w:szCs w:val="21"/>
    </w:rPr>
  </w:style>
  <w:style w:type="character" w:customStyle="1" w:styleId="17">
    <w:name w:val="纯文本 Char"/>
    <w:basedOn w:val="10"/>
    <w:link w:val="4"/>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 w:type="paragraph" w:customStyle="1" w:styleId="19">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font11"/>
    <w:basedOn w:val="10"/>
    <w:qFormat/>
    <w:uiPriority w:val="0"/>
    <w:rPr>
      <w:rFonts w:hint="eastAsia" w:ascii="宋体" w:hAnsi="宋体" w:eastAsia="宋体" w:cs="宋体"/>
      <w:color w:val="000000"/>
      <w:sz w:val="22"/>
      <w:szCs w:val="22"/>
      <w:u w:val="none"/>
    </w:rPr>
  </w:style>
  <w:style w:type="character" w:customStyle="1" w:styleId="21">
    <w:name w:val="font01"/>
    <w:basedOn w:val="10"/>
    <w:qFormat/>
    <w:uiPriority w:val="0"/>
    <w:rPr>
      <w:rFonts w:hint="default" w:ascii="Tahoma" w:hAnsi="Tahoma" w:eastAsia="Tahoma" w:cs="Tahoma"/>
      <w:color w:val="000000"/>
      <w:sz w:val="22"/>
      <w:szCs w:val="22"/>
      <w:u w:val="none"/>
    </w:rPr>
  </w:style>
  <w:style w:type="character" w:customStyle="1" w:styleId="22">
    <w:name w:val="font21"/>
    <w:basedOn w:val="10"/>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1961</Words>
  <Characters>2031</Characters>
  <Lines>16</Lines>
  <Paragraphs>4</Paragraphs>
  <TotalTime>63</TotalTime>
  <ScaleCrop>false</ScaleCrop>
  <LinksUpToDate>false</LinksUpToDate>
  <CharactersWithSpaces>2310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cp:lastPrinted>2023-05-04T02:02:00Z</cp:lastPrinted>
  <dcterms:modified xsi:type="dcterms:W3CDTF">2023-08-07T06:17:39Z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D5D555FC7404472EB32B754AE05DEAA6</vt:lpwstr>
  </property>
</Properties>
</file>