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6"/>
          <w:szCs w:val="36"/>
          <w:lang w:val="en-US" w:eastAsia="zh-CN"/>
        </w:rPr>
        <w:t>温州市中医院关于</w:t>
      </w:r>
      <w:r>
        <w:rPr>
          <w:rStyle w:val="14"/>
          <w:rFonts w:hint="eastAsia" w:asciiTheme="minorEastAsia" w:hAnsiTheme="minorEastAsia" w:cstheme="minorEastAsia"/>
          <w:b/>
          <w:bCs/>
          <w:sz w:val="36"/>
          <w:szCs w:val="36"/>
          <w:lang w:val="en-US" w:eastAsia="zh-CN"/>
        </w:rPr>
        <w:t>一批生物安全柜</w:t>
      </w:r>
      <w:r>
        <w:rPr>
          <w:rStyle w:val="14"/>
          <w:rFonts w:hint="eastAsia" w:asciiTheme="minorEastAsia" w:hAnsiTheme="minorEastAsia" w:eastAsiaTheme="minorEastAsia" w:cstheme="minorEastAsia"/>
          <w:b/>
          <w:bCs/>
          <w:sz w:val="36"/>
          <w:szCs w:val="36"/>
          <w:lang w:val="en-US" w:eastAsia="zh-CN"/>
        </w:rPr>
        <w:t>项目的招标</w:t>
      </w:r>
    </w:p>
    <w:p>
      <w:pPr>
        <w:numPr>
          <w:ilvl w:val="0"/>
          <w:numId w:val="1"/>
        </w:numPr>
        <w:jc w:val="both"/>
        <w:rPr>
          <w:rStyle w:val="14"/>
          <w:rFonts w:hint="eastAsia" w:asciiTheme="minorEastAsia" w:hAnsiTheme="minorEastAsia" w:eastAsiaTheme="minorEastAsia" w:cstheme="minorEastAsia"/>
          <w:b/>
          <w:bCs/>
          <w:sz w:val="32"/>
          <w:szCs w:val="32"/>
        </w:rPr>
      </w:pPr>
      <w:r>
        <w:rPr>
          <w:rStyle w:val="14"/>
          <w:rFonts w:hint="eastAsia" w:asciiTheme="minorEastAsia" w:hAnsiTheme="minorEastAsia" w:eastAsiaTheme="minorEastAsia" w:cstheme="minorEastAsia"/>
          <w:b/>
          <w:bCs/>
          <w:sz w:val="32"/>
          <w:szCs w:val="32"/>
        </w:rPr>
        <w:t>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3027"/>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项目名称：一批生物安全柜</w:t>
            </w:r>
          </w:p>
        </w:tc>
        <w:tc>
          <w:tcPr>
            <w:tcW w:w="3027"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项目编号：2024-sb-cg-030</w:t>
            </w:r>
          </w:p>
        </w:tc>
        <w:tc>
          <w:tcPr>
            <w:tcW w:w="2985"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预算总金额：8.5万元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auto"/>
                <w:sz w:val="21"/>
                <w:szCs w:val="21"/>
                <w:lang w:val="en-US" w:eastAsia="zh-CN"/>
              </w:rPr>
              <w:t>单人半排生物安全柜</w:t>
            </w:r>
          </w:p>
        </w:tc>
        <w:tc>
          <w:tcPr>
            <w:tcW w:w="3027" w:type="dxa"/>
          </w:tcPr>
          <w:p>
            <w:pPr>
              <w:jc w:val="left"/>
              <w:rPr>
                <w:rFonts w:hint="default"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数量：2</w:t>
            </w:r>
          </w:p>
        </w:tc>
        <w:tc>
          <w:tcPr>
            <w:tcW w:w="2985" w:type="dxa"/>
          </w:tcPr>
          <w:p>
            <w:pPr>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项目名称：双人半排生物安全柜</w:t>
            </w:r>
          </w:p>
        </w:tc>
        <w:tc>
          <w:tcPr>
            <w:tcW w:w="3027"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数量：1</w:t>
            </w:r>
          </w:p>
        </w:tc>
        <w:tc>
          <w:tcPr>
            <w:tcW w:w="2985"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8" w:type="dxa"/>
            <w:gridSpan w:val="3"/>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简要规格描述或项目基本概况介绍、用途：操作原代培养物、菌毒株以及诊断性</w:t>
            </w:r>
            <w:r>
              <w:rPr>
                <w:rFonts w:hint="default" w:ascii="宋体" w:hAnsi="宋体" w:eastAsia="宋体" w:cs="宋体"/>
                <w:color w:val="auto"/>
                <w:sz w:val="21"/>
                <w:szCs w:val="21"/>
              </w:rPr>
              <w:fldChar w:fldCharType="begin"/>
            </w:r>
            <w:r>
              <w:rPr>
                <w:rFonts w:hint="default" w:ascii="宋体" w:hAnsi="宋体" w:eastAsia="宋体" w:cs="宋体"/>
                <w:color w:val="auto"/>
                <w:sz w:val="21"/>
                <w:szCs w:val="21"/>
              </w:rPr>
              <w:instrText xml:space="preserve"> HYPERLINK "https://baike.so.com/doc/4221697-4423248.html" \t "https://baike.so.com/doc/_blank" </w:instrText>
            </w:r>
            <w:r>
              <w:rPr>
                <w:rFonts w:hint="default" w:ascii="宋体" w:hAnsi="宋体" w:eastAsia="宋体" w:cs="宋体"/>
                <w:color w:val="auto"/>
                <w:sz w:val="21"/>
                <w:szCs w:val="21"/>
              </w:rPr>
              <w:fldChar w:fldCharType="separate"/>
            </w:r>
            <w:r>
              <w:rPr>
                <w:rFonts w:hint="default" w:ascii="宋体" w:hAnsi="宋体" w:eastAsia="宋体" w:cs="宋体"/>
                <w:color w:val="auto"/>
                <w:sz w:val="21"/>
                <w:szCs w:val="21"/>
              </w:rPr>
              <w:t>标本</w:t>
            </w:r>
            <w:r>
              <w:rPr>
                <w:rFonts w:hint="default" w:ascii="宋体" w:hAnsi="宋体" w:eastAsia="宋体" w:cs="宋体"/>
                <w:color w:val="auto"/>
                <w:sz w:val="21"/>
                <w:szCs w:val="21"/>
              </w:rPr>
              <w:fldChar w:fldCharType="end"/>
            </w:r>
            <w:r>
              <w:rPr>
                <w:rFonts w:hint="default" w:ascii="宋体" w:hAnsi="宋体" w:eastAsia="宋体" w:cs="宋体"/>
                <w:color w:val="auto"/>
                <w:sz w:val="21"/>
                <w:szCs w:val="21"/>
              </w:rPr>
              <w:t>等具有感染性的实验材料时，用来保护操作者本人、实验室环境以及实验材料，使其避免暴露于上述操作过程中可能产生的感染性气溶胶和溅出物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eastAsia="zh-CN"/>
              </w:rPr>
              <w:t>国产</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本项目我院采取院内组织公开招标的方式，以综合评分最高者中标的原则确定中标供应商。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获取招标文件</w:t>
      </w:r>
    </w:p>
    <w:p>
      <w:pPr>
        <w:pStyle w:val="8"/>
        <w:keepNext w:val="0"/>
        <w:keepLines w:val="0"/>
        <w:widowControl/>
        <w:suppressLineNumbers w:val="0"/>
        <w:spacing w:line="300" w:lineRule="atLeast"/>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lang w:val="en-US" w:eastAsia="zh-CN" w:bidi="ar-SA"/>
        </w:rPr>
        <w:t>地点（网址）</w:t>
      </w:r>
      <w:r>
        <w:rPr>
          <w:rFonts w:hint="eastAsia" w:asciiTheme="minorEastAsia" w:hAnsiTheme="minorEastAsia" w:eastAsiaTheme="minorEastAsia" w:cstheme="minorEastAsia"/>
          <w:kern w:val="2"/>
          <w:sz w:val="21"/>
          <w:szCs w:val="21"/>
          <w:highlight w:val="none"/>
          <w:lang w:val="en-US" w:eastAsia="zh-CN" w:bidi="ar-SA"/>
        </w:rPr>
        <w:t>：</w:t>
      </w:r>
      <w:r>
        <w:rPr>
          <w:rFonts w:hint="eastAsia" w:asciiTheme="minorEastAsia" w:hAnsiTheme="minorEastAsia" w:eastAsiaTheme="minorEastAsia" w:cstheme="minorEastAsia"/>
          <w:kern w:val="2"/>
          <w:sz w:val="21"/>
          <w:szCs w:val="21"/>
          <w:highlight w:val="none"/>
          <w:lang w:eastAsia="zh-CN"/>
        </w:rPr>
        <w:t>h</w:t>
      </w:r>
      <w:r>
        <w:rPr>
          <w:rFonts w:hint="eastAsia" w:asciiTheme="minorEastAsia" w:hAnsiTheme="minorEastAsia" w:eastAsiaTheme="minorEastAsia" w:cstheme="minorEastAsia"/>
          <w:kern w:val="2"/>
          <w:sz w:val="21"/>
          <w:szCs w:val="21"/>
          <w:lang w:eastAsia="zh-CN"/>
        </w:rPr>
        <w:t>ttp://www.wzszyy.com/</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提交投标文件截止时间、开标时间和地点</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w:t>
      </w:r>
      <w:r>
        <w:rPr>
          <w:rFonts w:hint="eastAsia" w:asciiTheme="minorEastAsia" w:hAnsiTheme="minorEastAsia" w:eastAsiaTheme="minorEastAsia" w:cstheme="minorEastAsia"/>
          <w:kern w:val="2"/>
          <w:sz w:val="21"/>
          <w:szCs w:val="21"/>
          <w:lang w:val="en-US" w:eastAsia="zh-CN" w:bidi="ar-SA"/>
        </w:rPr>
        <w:t>提交投标文件截止时间：202</w:t>
      </w: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年</w:t>
      </w: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color w:val="0000FF"/>
          <w:kern w:val="2"/>
          <w:sz w:val="21"/>
          <w:szCs w:val="21"/>
          <w:lang w:val="en-US" w:eastAsia="zh-CN" w:bidi="ar-SA"/>
        </w:rPr>
        <w:t>月</w:t>
      </w:r>
      <w:r>
        <w:rPr>
          <w:rFonts w:hint="eastAsia" w:asciiTheme="minorEastAsia" w:hAnsiTheme="minorEastAsia" w:cstheme="minorEastAsia"/>
          <w:color w:val="0000FF"/>
          <w:kern w:val="2"/>
          <w:sz w:val="21"/>
          <w:szCs w:val="21"/>
          <w:lang w:val="en-US" w:eastAsia="zh-CN" w:bidi="ar-SA"/>
        </w:rPr>
        <w:t>22</w:t>
      </w:r>
      <w:r>
        <w:rPr>
          <w:rFonts w:hint="eastAsia" w:asciiTheme="minorEastAsia" w:hAnsiTheme="minorEastAsia" w:eastAsiaTheme="minorEastAsia" w:cstheme="minorEastAsia"/>
          <w:color w:val="0000FF"/>
          <w:kern w:val="2"/>
          <w:sz w:val="21"/>
          <w:szCs w:val="21"/>
          <w:lang w:val="en-US" w:eastAsia="zh-CN" w:bidi="ar-SA"/>
        </w:rPr>
        <w:t>日</w:t>
      </w:r>
      <w:r>
        <w:rPr>
          <w:rFonts w:hint="eastAsia" w:asciiTheme="minorEastAsia" w:hAnsiTheme="minorEastAsia" w:cstheme="minorEastAsia"/>
          <w:color w:val="0000FF"/>
          <w:kern w:val="2"/>
          <w:sz w:val="21"/>
          <w:szCs w:val="21"/>
          <w:lang w:val="en-US" w:eastAsia="zh-CN" w:bidi="ar-SA"/>
        </w:rPr>
        <w:t>上</w:t>
      </w:r>
      <w:r>
        <w:rPr>
          <w:rFonts w:hint="eastAsia" w:asciiTheme="minorEastAsia" w:hAnsiTheme="minorEastAsia" w:eastAsiaTheme="minorEastAsia" w:cstheme="minorEastAsia"/>
          <w:color w:val="0000FF"/>
          <w:kern w:val="2"/>
          <w:sz w:val="21"/>
          <w:szCs w:val="21"/>
          <w:lang w:val="en-US" w:eastAsia="zh-CN" w:bidi="ar-SA"/>
        </w:rPr>
        <w:t>午</w:t>
      </w:r>
      <w:r>
        <w:rPr>
          <w:rFonts w:hint="eastAsia" w:asciiTheme="minorEastAsia" w:hAnsiTheme="minorEastAsia" w:cstheme="minorEastAsia"/>
          <w:color w:val="0000FF"/>
          <w:kern w:val="2"/>
          <w:sz w:val="21"/>
          <w:szCs w:val="21"/>
          <w:lang w:val="en-US" w:eastAsia="zh-CN" w:bidi="ar-SA"/>
        </w:rPr>
        <w:t>9</w:t>
      </w:r>
      <w:r>
        <w:rPr>
          <w:rFonts w:hint="eastAsia" w:asciiTheme="minorEastAsia" w:hAnsiTheme="minorEastAsia" w:eastAsiaTheme="minorEastAsia" w:cstheme="minorEastAsia"/>
          <w:color w:val="0000FF"/>
          <w:kern w:val="2"/>
          <w:sz w:val="21"/>
          <w:szCs w:val="21"/>
          <w:lang w:val="en-US" w:eastAsia="zh-CN" w:bidi="ar-SA"/>
        </w:rPr>
        <w:t>：00</w:t>
      </w:r>
      <w:r>
        <w:rPr>
          <w:rFonts w:hint="eastAsia" w:asciiTheme="minorEastAsia" w:hAnsiTheme="minorEastAsia" w:eastAsiaTheme="minorEastAsia" w:cstheme="minorEastAsia"/>
          <w:kern w:val="2"/>
          <w:sz w:val="21"/>
          <w:szCs w:val="21"/>
          <w:lang w:val="en-US" w:eastAsia="zh-CN" w:bidi="ar-SA"/>
        </w:rPr>
        <w:t>（北京时间）</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cstheme="minorEastAsia"/>
          <w:kern w:val="2"/>
          <w:sz w:val="21"/>
          <w:szCs w:val="21"/>
          <w:lang w:val="en-US" w:eastAsia="zh-CN" w:bidi="ar-SA"/>
        </w:rPr>
        <w:t>2、</w:t>
      </w:r>
      <w:r>
        <w:rPr>
          <w:rFonts w:hint="eastAsia" w:asciiTheme="minorEastAsia" w:hAnsiTheme="minorEastAsia" w:eastAsiaTheme="minorEastAsia" w:cstheme="minorEastAsia"/>
          <w:kern w:val="2"/>
          <w:sz w:val="21"/>
          <w:szCs w:val="21"/>
          <w:lang w:val="en-US" w:eastAsia="zh-CN" w:bidi="ar-SA"/>
        </w:rPr>
        <w:t>开标时间：202</w:t>
      </w:r>
      <w:r>
        <w:rPr>
          <w:rFonts w:hint="eastAsia" w:asciiTheme="minorEastAsia" w:hAnsiTheme="minorEastAsia" w:cstheme="minorEastAsia"/>
          <w:kern w:val="2"/>
          <w:sz w:val="21"/>
          <w:szCs w:val="21"/>
          <w:lang w:val="en-US" w:eastAsia="zh-CN" w:bidi="ar-SA"/>
        </w:rPr>
        <w:t>4</w:t>
      </w:r>
      <w:bookmarkStart w:id="0" w:name="_GoBack"/>
      <w:bookmarkEnd w:id="0"/>
      <w:r>
        <w:rPr>
          <w:rFonts w:hint="eastAsia" w:asciiTheme="minorEastAsia" w:hAnsiTheme="minorEastAsia" w:eastAsiaTheme="minorEastAsia" w:cstheme="minorEastAsia"/>
          <w:kern w:val="2"/>
          <w:sz w:val="21"/>
          <w:szCs w:val="21"/>
          <w:lang w:val="en-US" w:eastAsia="zh-CN" w:bidi="ar-SA"/>
        </w:rPr>
        <w:t>年</w:t>
      </w:r>
      <w:r>
        <w:rPr>
          <w:rFonts w:hint="eastAsia" w:asciiTheme="minorEastAsia" w:hAnsiTheme="minorEastAsia" w:cstheme="minorEastAsia"/>
          <w:color w:val="0000FF"/>
          <w:kern w:val="2"/>
          <w:sz w:val="21"/>
          <w:szCs w:val="21"/>
          <w:lang w:val="en-US" w:eastAsia="zh-CN" w:bidi="ar-SA"/>
        </w:rPr>
        <w:t>5</w:t>
      </w:r>
      <w:r>
        <w:rPr>
          <w:rFonts w:hint="eastAsia" w:asciiTheme="minorEastAsia" w:hAnsiTheme="minorEastAsia" w:eastAsiaTheme="minorEastAsia" w:cstheme="minorEastAsia"/>
          <w:color w:val="0000FF"/>
          <w:kern w:val="2"/>
          <w:sz w:val="21"/>
          <w:szCs w:val="21"/>
          <w:lang w:val="en-US" w:eastAsia="zh-CN" w:bidi="ar-SA"/>
        </w:rPr>
        <w:t>月</w:t>
      </w:r>
      <w:r>
        <w:rPr>
          <w:rFonts w:hint="eastAsia" w:asciiTheme="minorEastAsia" w:hAnsiTheme="minorEastAsia" w:cstheme="minorEastAsia"/>
          <w:color w:val="0000FF"/>
          <w:kern w:val="2"/>
          <w:sz w:val="21"/>
          <w:szCs w:val="21"/>
          <w:lang w:val="en-US" w:eastAsia="zh-CN" w:bidi="ar-SA"/>
        </w:rPr>
        <w:t>22</w:t>
      </w:r>
      <w:r>
        <w:rPr>
          <w:rFonts w:hint="eastAsia" w:asciiTheme="minorEastAsia" w:hAnsiTheme="minorEastAsia" w:eastAsiaTheme="minorEastAsia" w:cstheme="minorEastAsia"/>
          <w:color w:val="0000FF"/>
          <w:kern w:val="2"/>
          <w:sz w:val="21"/>
          <w:szCs w:val="21"/>
          <w:lang w:val="en-US" w:eastAsia="zh-CN" w:bidi="ar-SA"/>
        </w:rPr>
        <w:t>日</w:t>
      </w:r>
      <w:r>
        <w:rPr>
          <w:rFonts w:hint="eastAsia" w:asciiTheme="minorEastAsia" w:hAnsiTheme="minorEastAsia" w:cstheme="minorEastAsia"/>
          <w:color w:val="0000FF"/>
          <w:kern w:val="2"/>
          <w:sz w:val="21"/>
          <w:szCs w:val="21"/>
          <w:lang w:val="en-US" w:eastAsia="zh-CN" w:bidi="ar-SA"/>
        </w:rPr>
        <w:t>上</w:t>
      </w:r>
      <w:r>
        <w:rPr>
          <w:rFonts w:hint="eastAsia" w:asciiTheme="minorEastAsia" w:hAnsiTheme="minorEastAsia" w:eastAsiaTheme="minorEastAsia" w:cstheme="minorEastAsia"/>
          <w:color w:val="0000FF"/>
          <w:kern w:val="2"/>
          <w:sz w:val="21"/>
          <w:szCs w:val="21"/>
          <w:lang w:val="en-US" w:eastAsia="zh-CN" w:bidi="ar-SA"/>
        </w:rPr>
        <w:t>午</w:t>
      </w:r>
      <w:r>
        <w:rPr>
          <w:rFonts w:hint="eastAsia" w:asciiTheme="minorEastAsia" w:hAnsiTheme="minorEastAsia" w:cstheme="minorEastAsia"/>
          <w:color w:val="0000FF"/>
          <w:kern w:val="2"/>
          <w:sz w:val="21"/>
          <w:szCs w:val="21"/>
          <w:lang w:val="en-US" w:eastAsia="zh-CN" w:bidi="ar-SA"/>
        </w:rPr>
        <w:t>9</w:t>
      </w:r>
      <w:r>
        <w:rPr>
          <w:rFonts w:hint="eastAsia" w:asciiTheme="minorEastAsia" w:hAnsiTheme="minorEastAsia" w:eastAsiaTheme="minorEastAsia" w:cstheme="minorEastAsia"/>
          <w:color w:val="0000FF"/>
          <w:kern w:val="2"/>
          <w:sz w:val="21"/>
          <w:szCs w:val="21"/>
          <w:lang w:val="en-US" w:eastAsia="zh-CN" w:bidi="ar-SA"/>
        </w:rPr>
        <w:t>：</w:t>
      </w:r>
      <w:r>
        <w:rPr>
          <w:rFonts w:hint="eastAsia" w:asciiTheme="minorEastAsia" w:hAnsiTheme="minorEastAsia" w:cstheme="minorEastAsia"/>
          <w:color w:val="0000FF"/>
          <w:kern w:val="2"/>
          <w:sz w:val="21"/>
          <w:szCs w:val="21"/>
          <w:lang w:val="en-US" w:eastAsia="zh-CN" w:bidi="ar-SA"/>
        </w:rPr>
        <w:t>00</w:t>
      </w:r>
      <w:r>
        <w:rPr>
          <w:rFonts w:hint="eastAsia" w:asciiTheme="minorEastAsia" w:hAnsiTheme="minorEastAsia" w:eastAsiaTheme="minorEastAsia" w:cstheme="minorEastAsia"/>
          <w:kern w:val="2"/>
          <w:sz w:val="21"/>
          <w:szCs w:val="21"/>
          <w:lang w:val="en-US" w:eastAsia="zh-CN" w:bidi="ar-SA"/>
        </w:rPr>
        <w:t>（北京时间）</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w:t>
      </w:r>
      <w:r>
        <w:rPr>
          <w:rFonts w:hint="eastAsia" w:asciiTheme="minorEastAsia" w:hAnsiTheme="minorEastAsia" w:eastAsiaTheme="minorEastAsia" w:cstheme="minorEastAsia"/>
          <w:kern w:val="2"/>
          <w:sz w:val="21"/>
          <w:szCs w:val="21"/>
          <w:lang w:val="en-US" w:eastAsia="zh-CN" w:bidi="ar-SA"/>
        </w:rPr>
        <w:t xml:space="preserve">开标地点：温州市中医院行政楼3楼309会议室 </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包装要求:投标文件的技术资信标、商务（报价）标分别密封于包封袋中，并在封套的封口处加盖投标人单位章，并由法定代表人或其授权代表签字。</w:t>
      </w:r>
    </w:p>
    <w:p>
      <w:pPr>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投标方式：接受邮寄和现场投递的纸质投标文件</w:t>
      </w:r>
      <w:r>
        <w:rPr>
          <w:rFonts w:hint="eastAsia" w:asciiTheme="minorEastAsia" w:hAnsiTheme="minorEastAsia" w:cstheme="minorEastAsia"/>
          <w:kern w:val="2"/>
          <w:sz w:val="21"/>
          <w:szCs w:val="21"/>
          <w:lang w:val="en-US" w:eastAsia="zh-CN" w:bidi="ar-SA"/>
        </w:rPr>
        <w:t>/</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6、</w:t>
      </w:r>
      <w:r>
        <w:rPr>
          <w:rFonts w:hint="eastAsia" w:asciiTheme="minorEastAsia" w:hAnsiTheme="minorEastAsia" w:eastAsiaTheme="minorEastAsia" w:cstheme="minorEastAsia"/>
          <w:kern w:val="2"/>
          <w:sz w:val="21"/>
          <w:szCs w:val="21"/>
          <w:lang w:val="en-US" w:eastAsia="zh-CN" w:bidi="ar-SA"/>
        </w:rPr>
        <w:t>其他:招标文件一式三份，一正两副加盖公章</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公告期限 </w:t>
      </w:r>
    </w:p>
    <w:p>
      <w:pPr>
        <w:pStyle w:val="8"/>
        <w:keepNext w:val="0"/>
        <w:keepLines w:val="0"/>
        <w:widowControl/>
        <w:suppressLineNumbers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自本公告发布之日起5个工作日。</w:t>
      </w:r>
    </w:p>
    <w:p>
      <w:pPr>
        <w:numPr>
          <w:ilvl w:val="0"/>
          <w:numId w:val="1"/>
        </w:numPr>
        <w:ind w:left="0" w:leftChars="0" w:firstLine="0" w:firstLineChars="0"/>
        <w:jc w:val="both"/>
        <w:rPr>
          <w:rFonts w:hint="eastAsia" w:asciiTheme="minorEastAsia" w:hAnsiTheme="minorEastAsia" w:eastAsiaTheme="minorEastAsia" w:cstheme="minorEastAsia"/>
          <w:b/>
          <w:bCs/>
          <w:sz w:val="28"/>
          <w:szCs w:val="28"/>
        </w:rPr>
      </w:pPr>
      <w:r>
        <w:rPr>
          <w:rStyle w:val="14"/>
          <w:rFonts w:hint="eastAsia" w:asciiTheme="minorEastAsia" w:hAnsiTheme="minorEastAsia" w:eastAsiaTheme="minorEastAsia" w:cstheme="minorEastAsia"/>
          <w:b/>
          <w:bCs/>
          <w:kern w:val="2"/>
          <w:sz w:val="32"/>
          <w:szCs w:val="32"/>
          <w:lang w:val="en-US" w:eastAsia="zh-CN" w:bidi="ar-SA"/>
        </w:rPr>
        <w:t>投标文件编制要求</w:t>
      </w:r>
    </w:p>
    <w:p>
      <w:pPr>
        <w:snapToGrid w:val="0"/>
        <w:spacing w:line="360" w:lineRule="auto"/>
        <w:ind w:firstLine="365" w:firstLineChars="174"/>
        <w:jc w:val="left"/>
        <w:outlineLvl w:val="2"/>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（一）投标文件的组成</w:t>
      </w:r>
    </w:p>
    <w:p>
      <w:pPr>
        <w:snapToGrid w:val="0"/>
        <w:spacing w:line="360" w:lineRule="auto"/>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投标文件由资格证明文件、商务技术文件和报价文件三部份组成</w:t>
      </w:r>
      <w:r>
        <w:rPr>
          <w:rFonts w:hint="eastAsia" w:asciiTheme="minorEastAsia" w:hAnsiTheme="minorEastAsia" w:eastAsiaTheme="minorEastAsia" w:cstheme="minorEastAsia"/>
          <w:b w:val="0"/>
          <w:bCs/>
          <w:sz w:val="21"/>
          <w:szCs w:val="21"/>
          <w:lang w:eastAsia="zh-CN"/>
        </w:rPr>
        <w:t>。</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1.资格证明文件：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（1）投标人资格承诺函；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（2）法人或者其他组织投标的提供营业执照等证明文件，自然人投标的提供身份证明；</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 商务技术文件：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（1）投标人营业执照；</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投标人为医疗器械经营企业的：第三类医疗器械经营企业提供《医疗器械经营许可证》、第二类医疗器械经营企业提供第二类医疗器械经营备案凭证；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且投标人经备案或许可的经营范围必须包含本次投标的所有医疗器械；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（3）提供食品药品监督管理部门核发的完整有效的医疗器械注册或备案证明；</w:t>
      </w:r>
    </w:p>
    <w:p>
      <w:pPr>
        <w:snapToGrid w:val="0"/>
        <w:spacing w:line="360" w:lineRule="auto"/>
        <w:ind w:firstLine="411" w:firstLineChars="19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▲（4）货物制造商或其它有销售资格（提供证明材料）的供应商出具的授权书（适用于投标人是进口货物代理商的情形）；</w:t>
      </w:r>
    </w:p>
    <w:p>
      <w:pPr>
        <w:snapToGrid w:val="0"/>
        <w:spacing w:line="360" w:lineRule="auto"/>
        <w:ind w:firstLine="411" w:firstLineChars="196"/>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kern w:val="0"/>
          <w:sz w:val="21"/>
          <w:szCs w:val="21"/>
        </w:rPr>
        <w:t>（5）投标声明函</w:t>
      </w:r>
      <w:r>
        <w:rPr>
          <w:rFonts w:hint="eastAsia" w:asciiTheme="minorEastAsia" w:hAnsiTheme="minorEastAsia" w:eastAsiaTheme="minorEastAsia" w:cstheme="minorEastAsia"/>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（6）投标产品一览表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（7）技术响应表；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（8）合同条款响应承诺</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（9）设备配置清单；</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（10）消耗品或易耗品价格； </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（11）售后服务承诺书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（12）业绩证明</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（13）投标人建议的安装、调试、验收方法或方案；</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（14）技术服务、技术培训的内容和措施；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（15）项目实施人员一览表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（16）维修能力（详见评分标准要求）；</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（17）投标机型的彩页和原厂技术参数；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）评分方法中的评审证明文件等；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）投标人认为需要提供的其他文件。</w:t>
      </w:r>
    </w:p>
    <w:p>
      <w:pPr>
        <w:snapToGrid w:val="0"/>
        <w:spacing w:line="360" w:lineRule="auto"/>
        <w:ind w:firstLine="413" w:firstLineChars="196"/>
        <w:jc w:val="left"/>
        <w:rPr>
          <w:rFonts w:hint="eastAsia" w:asciiTheme="minorEastAsia" w:hAnsiTheme="minorEastAsia" w:eastAsiaTheme="minorEastAsia" w:cstheme="minorEastAsia"/>
          <w:b/>
          <w:sz w:val="21"/>
          <w:szCs w:val="21"/>
        </w:rPr>
      </w:pPr>
    </w:p>
    <w:p>
      <w:pPr>
        <w:snapToGrid w:val="0"/>
        <w:spacing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3.报价文件：</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（1）开标一览表；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（2）投标报价明细表；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（3）投标人针对报价需要说明的其他文件和说明（如有）；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（4）中小企业的相关证明材料（如有</w:t>
      </w:r>
      <w:r>
        <w:rPr>
          <w:rFonts w:hint="eastAsia" w:asciiTheme="minorEastAsia" w:hAnsiTheme="minorEastAsia" w:eastAsiaTheme="minorEastAsia" w:cstheme="minorEastAsia"/>
          <w:kern w:val="0"/>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（5）残疾人福利性单位声明函(如有）；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（6）由省级以上监狱管理局、戒毒管理局（含新疆生产建设兵团）出具的属于监狱企业的证明文件（如有）。</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商务、技术参数偏离表</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95"/>
        <w:gridCol w:w="6671"/>
        <w:gridCol w:w="1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blHeader/>
        </w:trPr>
        <w:tc>
          <w:tcPr>
            <w:tcW w:w="703" w:type="pct"/>
            <w:shd w:val="clear" w:color="auto" w:fill="CCCCCC"/>
            <w:noWrap w:val="0"/>
            <w:vAlign w:val="center"/>
          </w:tcPr>
          <w:p>
            <w:pPr>
              <w:jc w:val="center"/>
            </w:pPr>
            <w:r>
              <w:t>序号</w:t>
            </w:r>
          </w:p>
        </w:tc>
        <w:tc>
          <w:tcPr>
            <w:tcW w:w="3620" w:type="pct"/>
            <w:shd w:val="clear" w:color="auto" w:fill="CCCCCC"/>
            <w:noWrap w:val="0"/>
            <w:vAlign w:val="center"/>
          </w:tcPr>
          <w:p>
            <w:pPr>
              <w:jc w:val="center"/>
            </w:pPr>
            <w:r>
              <w:t>招标要求</w:t>
            </w:r>
          </w:p>
        </w:tc>
        <w:tc>
          <w:tcPr>
            <w:tcW w:w="676" w:type="pct"/>
            <w:shd w:val="clear" w:color="auto" w:fill="CCCCCC"/>
            <w:noWrap w:val="0"/>
            <w:vAlign w:val="center"/>
          </w:tcPr>
          <w:p>
            <w:pPr>
              <w:jc w:val="center"/>
            </w:pPr>
            <w: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b/>
                <w:bCs/>
                <w:lang w:val="en-US" w:eastAsia="zh-CN"/>
              </w:rPr>
            </w:pPr>
            <w:r>
              <w:rPr>
                <w:rFonts w:hint="eastAsia"/>
                <w:b/>
                <w:bCs/>
                <w:lang w:val="en-US" w:eastAsia="zh-CN"/>
              </w:rPr>
              <w:t>一</w:t>
            </w:r>
          </w:p>
        </w:tc>
        <w:tc>
          <w:tcPr>
            <w:tcW w:w="3620" w:type="pct"/>
            <w:noWrap w:val="0"/>
            <w:vAlign w:val="center"/>
          </w:tcPr>
          <w:p>
            <w:pPr>
              <w:rPr>
                <w:rFonts w:hint="default"/>
                <w:b/>
                <w:bCs/>
                <w:lang w:val="en-US" w:eastAsia="zh-CN"/>
              </w:rPr>
            </w:pPr>
            <w:r>
              <w:rPr>
                <w:rFonts w:hint="default"/>
                <w:b/>
                <w:bCs/>
                <w:lang w:val="en-US" w:eastAsia="zh-CN"/>
              </w:rPr>
              <w:t>双人半排生物安全柜</w:t>
            </w:r>
            <w:r>
              <w:rPr>
                <w:rFonts w:hint="eastAsia"/>
                <w:b/>
                <w:bCs/>
                <w:lang w:val="en-US" w:eastAsia="zh-CN"/>
              </w:rPr>
              <w:t xml:space="preserve">  </w:t>
            </w:r>
            <w:r>
              <w:rPr>
                <w:rFonts w:hint="default"/>
                <w:b/>
                <w:bCs/>
              </w:rPr>
              <w:t>设备数量：</w:t>
            </w:r>
            <w:r>
              <w:rPr>
                <w:rFonts w:hint="eastAsia"/>
                <w:b/>
                <w:bCs/>
                <w:lang w:val="en-US" w:eastAsia="zh-CN"/>
              </w:rPr>
              <w:t>1台</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lang w:val="en-US" w:eastAsia="zh-CN"/>
              </w:rPr>
              <w:t>1</w:t>
            </w:r>
          </w:p>
        </w:tc>
        <w:tc>
          <w:tcPr>
            <w:tcW w:w="3620" w:type="pct"/>
            <w:noWrap w:val="0"/>
            <w:vAlign w:val="center"/>
          </w:tcPr>
          <w:p>
            <w:r>
              <w:rPr>
                <w:rFonts w:hint="default"/>
              </w:rPr>
              <w:t>技术参数要求</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w:t>
            </w:r>
          </w:p>
        </w:tc>
        <w:tc>
          <w:tcPr>
            <w:tcW w:w="3620" w:type="pct"/>
            <w:noWrap w:val="0"/>
            <w:vAlign w:val="center"/>
          </w:tcPr>
          <w:p>
            <w:r>
              <w:rPr>
                <w:rFonts w:hint="eastAsia"/>
              </w:rPr>
              <w:t>安全柜基本</w:t>
            </w:r>
            <w:r>
              <w:t>参数：</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1.1.1</w:t>
            </w:r>
          </w:p>
        </w:tc>
        <w:tc>
          <w:tcPr>
            <w:tcW w:w="3620" w:type="pct"/>
            <w:noWrap w:val="0"/>
            <w:vAlign w:val="center"/>
          </w:tcPr>
          <w:p>
            <w:r>
              <w:rPr>
                <w:rFonts w:hint="eastAsia"/>
              </w:rPr>
              <w:t>30%外排，70%循环</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1.1.2</w:t>
            </w:r>
          </w:p>
        </w:tc>
        <w:tc>
          <w:tcPr>
            <w:tcW w:w="3620" w:type="pct"/>
            <w:noWrap w:val="0"/>
            <w:vAlign w:val="center"/>
          </w:tcPr>
          <w:p>
            <w:r>
              <w:rPr>
                <w:rFonts w:hint="eastAsia"/>
              </w:rPr>
              <w:t>外部尺寸≥（L×D×H）1500</w:t>
            </w:r>
            <w:r>
              <w:t>m</w:t>
            </w:r>
            <w:r>
              <w:rPr>
                <w:rFonts w:hint="eastAsia"/>
              </w:rPr>
              <w:t>m×7</w:t>
            </w:r>
            <w:r>
              <w:rPr>
                <w:rFonts w:hint="eastAsia"/>
                <w:lang w:val="en-US" w:eastAsia="zh-CN"/>
              </w:rPr>
              <w:t>55</w:t>
            </w:r>
            <w:r>
              <w:t>m</w:t>
            </w:r>
            <w:r>
              <w:rPr>
                <w:rFonts w:hint="eastAsia"/>
              </w:rPr>
              <w:t>m×22</w:t>
            </w:r>
            <w:r>
              <w:rPr>
                <w:rFonts w:hint="eastAsia"/>
                <w:lang w:val="en-US" w:eastAsia="zh-CN"/>
              </w:rPr>
              <w:t>0</w:t>
            </w:r>
            <w:r>
              <w:rPr>
                <w:rFonts w:hint="eastAsia"/>
              </w:rPr>
              <w:t>0</w:t>
            </w:r>
            <w:r>
              <w:t>m</w:t>
            </w:r>
            <w:r>
              <w:rPr>
                <w:rFonts w:hint="eastAsia"/>
              </w:rPr>
              <w:t>m；</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1.1.3</w:t>
            </w:r>
          </w:p>
        </w:tc>
        <w:tc>
          <w:tcPr>
            <w:tcW w:w="3620" w:type="pct"/>
            <w:noWrap w:val="0"/>
            <w:vAlign w:val="center"/>
          </w:tcPr>
          <w:p>
            <w:r>
              <w:rPr>
                <w:rFonts w:hint="eastAsia"/>
              </w:rPr>
              <w:t>内部尺寸≥（L×D×H）1350</w:t>
            </w:r>
            <w:r>
              <w:t>m</w:t>
            </w:r>
            <w:r>
              <w:rPr>
                <w:rFonts w:hint="eastAsia"/>
              </w:rPr>
              <w:t>m ×600</w:t>
            </w:r>
            <w:r>
              <w:t>m</w:t>
            </w:r>
            <w:r>
              <w:rPr>
                <w:rFonts w:hint="eastAsia"/>
              </w:rPr>
              <w:t>m×660</w:t>
            </w:r>
            <w:r>
              <w:t>m</w:t>
            </w:r>
            <w:r>
              <w:rPr>
                <w:rFonts w:hint="eastAsia"/>
              </w:rPr>
              <w:t>m 。</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1.1.4</w:t>
            </w:r>
          </w:p>
        </w:tc>
        <w:tc>
          <w:tcPr>
            <w:tcW w:w="3620" w:type="pct"/>
            <w:noWrap w:val="0"/>
            <w:vAlign w:val="center"/>
          </w:tcPr>
          <w:p>
            <w:r>
              <w:rPr>
                <w:rFonts w:hint="eastAsia"/>
              </w:rPr>
              <w:t>台面</w:t>
            </w:r>
            <w:r>
              <w:t>距离地面高度：</w:t>
            </w:r>
            <w:r>
              <w:rPr>
                <w:rFonts w:hint="eastAsia"/>
              </w:rPr>
              <w:t>7</w:t>
            </w:r>
            <w:r>
              <w:rPr>
                <w:rFonts w:hint="eastAsia"/>
                <w:lang w:val="en-US" w:eastAsia="zh-CN"/>
              </w:rPr>
              <w:t>7</w:t>
            </w:r>
            <w:r>
              <w:rPr>
                <w:rFonts w:hint="eastAsia"/>
              </w:rPr>
              <w:t>0</w:t>
            </w:r>
            <w:r>
              <w:t>mm</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1.1.5</w:t>
            </w:r>
          </w:p>
        </w:tc>
        <w:tc>
          <w:tcPr>
            <w:tcW w:w="3620" w:type="pct"/>
            <w:noWrap w:val="0"/>
            <w:vAlign w:val="center"/>
          </w:tcPr>
          <w:p>
            <w:pPr>
              <w:rPr>
                <w:lang w:val="en-US" w:eastAsia="zh-CN"/>
              </w:rPr>
            </w:pPr>
            <w:r>
              <w:rPr>
                <w:rFonts w:hint="eastAsia"/>
              </w:rPr>
              <w:t>风速</w:t>
            </w:r>
            <w:r>
              <w:t>：</w:t>
            </w:r>
            <w:r>
              <w:rPr>
                <w:rFonts w:hint="eastAsia"/>
              </w:rPr>
              <w:t>平均下降风速：</w:t>
            </w:r>
            <w:r>
              <w:t>0.3</w:t>
            </w:r>
            <w:r>
              <w:rPr>
                <w:rFonts w:hint="eastAsia"/>
              </w:rPr>
              <w:t>3±</w:t>
            </w:r>
            <w:r>
              <w:t>0.0</w:t>
            </w:r>
            <w:r>
              <w:rPr>
                <w:rFonts w:hint="eastAsia"/>
              </w:rPr>
              <w:t>2</w:t>
            </w:r>
            <w:r>
              <w:t>5m/s</w:t>
            </w:r>
            <w:r>
              <w:rPr>
                <w:rFonts w:hint="eastAsia"/>
              </w:rPr>
              <w:t>；</w:t>
            </w:r>
            <w:r>
              <w:t xml:space="preserve"> </w:t>
            </w:r>
            <w:r>
              <w:rPr>
                <w:rFonts w:hint="eastAsia"/>
              </w:rPr>
              <w:t>平均吸入口风速</w:t>
            </w:r>
            <w:r>
              <w:t>0.</w:t>
            </w:r>
            <w:r>
              <w:rPr>
                <w:rFonts w:hint="eastAsia"/>
              </w:rPr>
              <w:t>53±</w:t>
            </w:r>
            <w:r>
              <w:t>0.0</w:t>
            </w:r>
            <w:r>
              <w:rPr>
                <w:rFonts w:hint="eastAsia"/>
              </w:rPr>
              <w:t>2</w:t>
            </w:r>
            <w:r>
              <w:t>5m/s</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1.1.6</w:t>
            </w:r>
          </w:p>
        </w:tc>
        <w:tc>
          <w:tcPr>
            <w:tcW w:w="3620" w:type="pct"/>
            <w:noWrap w:val="0"/>
            <w:vAlign w:val="center"/>
          </w:tcPr>
          <w:p>
            <w:pPr>
              <w:rPr>
                <w:lang w:val="en-US" w:eastAsia="zh-CN"/>
              </w:rPr>
            </w:pPr>
            <w:r>
              <w:rPr>
                <w:rFonts w:hint="eastAsia"/>
              </w:rPr>
              <w:t>系统</w:t>
            </w:r>
            <w:r>
              <w:t>排风</w:t>
            </w:r>
            <w:r>
              <w:rPr>
                <w:rFonts w:hint="eastAsia"/>
              </w:rPr>
              <w:t>总量</w:t>
            </w:r>
            <w:r>
              <w:t>：</w:t>
            </w:r>
            <w:r>
              <w:rPr>
                <w:rFonts w:hint="eastAsia"/>
              </w:rPr>
              <w:t>5</w:t>
            </w:r>
            <w:r>
              <w:rPr>
                <w:rFonts w:hint="eastAsia"/>
                <w:lang w:val="en-US" w:eastAsia="zh-CN"/>
              </w:rPr>
              <w:t>2</w:t>
            </w:r>
            <w:r>
              <w:rPr>
                <w:rFonts w:hint="eastAsia"/>
              </w:rPr>
              <w:t xml:space="preserve">0 </w:t>
            </w:r>
            <w:r>
              <w:rPr>
                <w:rFonts w:hint="eastAsia"/>
                <w:lang w:val="en-US" w:eastAsia="zh-CN"/>
              </w:rPr>
              <w:t>m³</w:t>
            </w:r>
            <w:r>
              <w:rPr>
                <w:rFonts w:hint="eastAsia"/>
              </w:rPr>
              <w:t>/h</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1.1.7</w:t>
            </w:r>
          </w:p>
        </w:tc>
        <w:tc>
          <w:tcPr>
            <w:tcW w:w="3620" w:type="pct"/>
            <w:noWrap w:val="0"/>
            <w:vAlign w:val="center"/>
          </w:tcPr>
          <w:p>
            <w:pPr>
              <w:rPr>
                <w:lang w:val="en-US" w:eastAsia="zh-CN"/>
              </w:rPr>
            </w:pPr>
            <w:r>
              <w:rPr>
                <w:rFonts w:hint="eastAsia"/>
              </w:rPr>
              <w:t>额定</w:t>
            </w:r>
            <w:r>
              <w:t>功率：</w:t>
            </w:r>
            <w:r>
              <w:rPr>
                <w:rFonts w:hint="eastAsia"/>
              </w:rPr>
              <w:t>1</w:t>
            </w:r>
            <w:r>
              <w:rPr>
                <w:rFonts w:hint="eastAsia"/>
                <w:lang w:val="en-US" w:eastAsia="zh-CN"/>
              </w:rPr>
              <w:t>60</w:t>
            </w:r>
            <w:r>
              <w:rPr>
                <w:rFonts w:hint="eastAsia"/>
              </w:rPr>
              <w:t>0</w:t>
            </w:r>
            <w:r>
              <w:rPr>
                <w:rFonts w:hint="eastAsia"/>
                <w:lang w:val="en-US" w:eastAsia="zh-CN"/>
              </w:rPr>
              <w:t>VA</w:t>
            </w:r>
            <w:r>
              <w:rPr>
                <w:rFonts w:hint="eastAsia"/>
              </w:rPr>
              <w:t>（</w:t>
            </w:r>
            <w:r>
              <w:t>包含操作区插座</w:t>
            </w:r>
            <w:r>
              <w:rPr>
                <w:rFonts w:hint="eastAsia"/>
                <w:lang w:val="en-US" w:eastAsia="zh-CN"/>
              </w:rPr>
              <w:t>负载，总</w:t>
            </w:r>
            <w:r>
              <w:rPr>
                <w:rFonts w:hint="eastAsia"/>
              </w:rPr>
              <w:t>负载不能超过</w:t>
            </w:r>
            <w:r>
              <w:rPr>
                <w:rFonts w:hint="eastAsia"/>
                <w:lang w:val="en-US" w:eastAsia="zh-CN"/>
              </w:rPr>
              <w:t>1000VA,单个插座功率最大</w:t>
            </w:r>
            <w:r>
              <w:rPr>
                <w:rFonts w:hint="default"/>
                <w:lang w:val="en-US" w:eastAsia="zh-CN"/>
              </w:rPr>
              <w:t>500</w:t>
            </w:r>
            <w:r>
              <w:rPr>
                <w:rFonts w:hint="eastAsia"/>
                <w:lang w:val="en-US" w:eastAsia="zh-CN"/>
              </w:rPr>
              <w:t>VA）</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1.1.8</w:t>
            </w:r>
          </w:p>
        </w:tc>
        <w:tc>
          <w:tcPr>
            <w:tcW w:w="3620" w:type="pct"/>
            <w:noWrap w:val="0"/>
            <w:vAlign w:val="center"/>
          </w:tcPr>
          <w:p>
            <w:pPr>
              <w:rPr>
                <w:lang w:val="en-US" w:eastAsia="zh-CN"/>
              </w:rPr>
            </w:pPr>
            <w:r>
              <w:rPr>
                <w:rFonts w:hint="eastAsia"/>
              </w:rPr>
              <w:t>噪音等级：≤</w:t>
            </w:r>
            <w:r>
              <w:t>6</w:t>
            </w:r>
            <w:r>
              <w:rPr>
                <w:rFonts w:hint="eastAsia"/>
                <w:lang w:val="en-US" w:eastAsia="zh-CN"/>
              </w:rPr>
              <w:t>7</w:t>
            </w:r>
            <w:r>
              <w:t>d</w:t>
            </w:r>
            <w:r>
              <w:rPr>
                <w:rFonts w:hint="eastAsia"/>
              </w:rPr>
              <w:t>B（A）</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1.1.9</w:t>
            </w:r>
          </w:p>
        </w:tc>
        <w:tc>
          <w:tcPr>
            <w:tcW w:w="3620" w:type="pct"/>
            <w:noWrap w:val="0"/>
            <w:vAlign w:val="center"/>
          </w:tcPr>
          <w:p>
            <w:pPr>
              <w:rPr>
                <w:lang w:val="en-US" w:eastAsia="zh-CN"/>
              </w:rPr>
            </w:pPr>
            <w:r>
              <w:rPr>
                <w:rFonts w:hint="eastAsia"/>
              </w:rPr>
              <w:t>照明：</w:t>
            </w:r>
            <w:r>
              <w:t>≥</w:t>
            </w:r>
            <w:r>
              <w:rPr>
                <w:rFonts w:hint="eastAsia"/>
                <w:lang w:val="en-US" w:eastAsia="zh-CN"/>
              </w:rPr>
              <w:t>10</w:t>
            </w:r>
            <w:r>
              <w:rPr>
                <w:rFonts w:hint="eastAsia"/>
              </w:rPr>
              <w:t>00lx</w:t>
            </w:r>
          </w:p>
        </w:tc>
        <w:tc>
          <w:tcPr>
            <w:tcW w:w="676" w:type="pct"/>
            <w:noWrap w:val="0"/>
            <w:vAlign w:val="center"/>
          </w:tcPr>
          <w:p>
            <w:pPr>
              <w:rPr>
                <w:rFonts w:hint="eastAsia"/>
                <w:lang w:val="en-US" w:eastAsia="zh-CN"/>
              </w:rPr>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eastAsia="zh-CN"/>
              </w:rPr>
              <w:t>▲</w:t>
            </w:r>
            <w:r>
              <w:rPr>
                <w:rFonts w:hint="eastAsia"/>
                <w:lang w:val="en-US" w:eastAsia="zh-CN"/>
              </w:rPr>
              <w:t>1.1.10</w:t>
            </w:r>
          </w:p>
        </w:tc>
        <w:tc>
          <w:tcPr>
            <w:tcW w:w="3620" w:type="pct"/>
            <w:noWrap w:val="0"/>
            <w:vAlign w:val="center"/>
          </w:tcPr>
          <w:p>
            <w:pPr>
              <w:rPr>
                <w:lang w:val="en-US" w:eastAsia="zh-CN"/>
              </w:rPr>
            </w:pPr>
            <w:r>
              <w:rPr>
                <w:rFonts w:hint="eastAsia"/>
              </w:rPr>
              <w:t>过滤效率:送风和排风过滤器均采用知名品牌的硼硅酸盐玻璃纤维材质的ULPA高效过滤器，对0.12μm颗粒过滤效率≥99.9995%</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1.2</w:t>
            </w:r>
          </w:p>
        </w:tc>
        <w:tc>
          <w:tcPr>
            <w:tcW w:w="3620" w:type="pct"/>
            <w:noWrap w:val="0"/>
            <w:vAlign w:val="center"/>
          </w:tcPr>
          <w:p>
            <w:pPr>
              <w:rPr>
                <w:lang w:val="en-US" w:eastAsia="zh-CN"/>
              </w:rPr>
            </w:pPr>
            <w:r>
              <w:rPr>
                <w:rFonts w:hint="eastAsia"/>
              </w:rPr>
              <w:t>生物安全性：</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1.2.1</w:t>
            </w:r>
          </w:p>
        </w:tc>
        <w:tc>
          <w:tcPr>
            <w:tcW w:w="3620" w:type="pct"/>
            <w:noWrap w:val="0"/>
            <w:vAlign w:val="center"/>
          </w:tcPr>
          <w:p>
            <w:pPr>
              <w:rPr>
                <w:lang w:val="en-US" w:eastAsia="zh-CN"/>
              </w:rPr>
            </w:pPr>
            <w:r>
              <w:rPr>
                <w:rFonts w:hint="eastAsia"/>
              </w:rPr>
              <w:t xml:space="preserve">人员安全性：用碘化钾（KI）法测试，前窗操作口的保护因子应不小于1×105 </w:t>
            </w:r>
          </w:p>
        </w:tc>
        <w:tc>
          <w:tcPr>
            <w:tcW w:w="676" w:type="pct"/>
            <w:noWrap w:val="0"/>
            <w:vAlign w:val="center"/>
          </w:tcPr>
          <w:p>
            <w:pPr>
              <w:rPr>
                <w:rFonts w:hint="eastAsia"/>
                <w:lang w:val="en-US" w:eastAsia="zh-CN"/>
              </w:rPr>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1.2.2</w:t>
            </w:r>
          </w:p>
        </w:tc>
        <w:tc>
          <w:tcPr>
            <w:tcW w:w="3620" w:type="pct"/>
            <w:noWrap w:val="0"/>
            <w:vAlign w:val="center"/>
          </w:tcPr>
          <w:p>
            <w:pPr>
              <w:rPr>
                <w:lang w:val="en-US" w:eastAsia="zh-CN"/>
              </w:rPr>
            </w:pPr>
            <w:r>
              <w:rPr>
                <w:rFonts w:hint="eastAsia"/>
              </w:rPr>
              <w:t xml:space="preserve">产品安全性：菌落数≤5CFU/次 </w:t>
            </w:r>
          </w:p>
        </w:tc>
        <w:tc>
          <w:tcPr>
            <w:tcW w:w="676" w:type="pct"/>
            <w:noWrap w:val="0"/>
            <w:vAlign w:val="center"/>
          </w:tcPr>
          <w:p>
            <w:pPr>
              <w:rPr>
                <w:rFonts w:hint="eastAsia"/>
                <w:lang w:val="en-US" w:eastAsia="zh-CN"/>
              </w:rPr>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1.2.3</w:t>
            </w:r>
          </w:p>
        </w:tc>
        <w:tc>
          <w:tcPr>
            <w:tcW w:w="3620" w:type="pct"/>
            <w:noWrap w:val="0"/>
            <w:vAlign w:val="center"/>
          </w:tcPr>
          <w:p>
            <w:pPr>
              <w:rPr>
                <w:lang w:val="en-US" w:eastAsia="zh-CN"/>
              </w:rPr>
            </w:pPr>
            <w:r>
              <w:rPr>
                <w:rFonts w:hint="eastAsia"/>
              </w:rPr>
              <w:t>交叉污染安全性：菌落数≤2CFU/次</w:t>
            </w:r>
          </w:p>
        </w:tc>
        <w:tc>
          <w:tcPr>
            <w:tcW w:w="676" w:type="pct"/>
            <w:noWrap w:val="0"/>
            <w:vAlign w:val="center"/>
          </w:tcPr>
          <w:p>
            <w:pPr>
              <w:rPr>
                <w:rFonts w:hint="eastAsia"/>
                <w:lang w:val="en-US" w:eastAsia="zh-CN"/>
              </w:rPr>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1.3</w:t>
            </w:r>
          </w:p>
        </w:tc>
        <w:tc>
          <w:tcPr>
            <w:tcW w:w="3620" w:type="pct"/>
            <w:noWrap w:val="0"/>
            <w:vAlign w:val="center"/>
          </w:tcPr>
          <w:p>
            <w:pPr>
              <w:rPr>
                <w:lang w:val="en-US" w:eastAsia="zh-CN"/>
              </w:rPr>
            </w:pPr>
            <w:r>
              <w:rPr>
                <w:rFonts w:hint="eastAsia"/>
              </w:rPr>
              <w:t>结构功能特点</w:t>
            </w:r>
            <w:r>
              <w:t>：</w:t>
            </w:r>
          </w:p>
        </w:tc>
        <w:tc>
          <w:tcPr>
            <w:tcW w:w="676" w:type="pct"/>
            <w:noWrap w:val="0"/>
            <w:vAlign w:val="center"/>
          </w:tcPr>
          <w:p>
            <w:pPr>
              <w:rPr>
                <w:rFonts w:hint="eastAsia"/>
                <w:lang w:val="en-US" w:eastAsia="zh-CN"/>
              </w:rPr>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1.3.1</w:t>
            </w:r>
          </w:p>
        </w:tc>
        <w:tc>
          <w:tcPr>
            <w:tcW w:w="3620" w:type="pct"/>
            <w:noWrap w:val="0"/>
            <w:vAlign w:val="center"/>
          </w:tcPr>
          <w:p>
            <w:pPr>
              <w:rPr>
                <w:lang w:val="en-US" w:eastAsia="zh-CN"/>
              </w:rPr>
            </w:pPr>
            <w:r>
              <w:rPr>
                <w:rFonts w:hint="eastAsia"/>
              </w:rPr>
              <w:t>柜体</w:t>
            </w:r>
            <w:r>
              <w:t>采用10°倾斜角设计，符合人体工程学原理</w:t>
            </w:r>
            <w:r>
              <w:rPr>
                <w:rFonts w:hint="eastAsia"/>
              </w:rPr>
              <w:t>，视角更大，</w:t>
            </w:r>
            <w:r>
              <w:t>操作</w:t>
            </w:r>
            <w:r>
              <w:rPr>
                <w:rFonts w:hint="eastAsia"/>
              </w:rPr>
              <w:t>方便且更加</w:t>
            </w:r>
            <w:r>
              <w:t>人性化；</w:t>
            </w:r>
            <w:r>
              <w:rPr>
                <w:rFonts w:hint="eastAsia"/>
              </w:rPr>
              <w:t xml:space="preserve">   </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1.3.2</w:t>
            </w:r>
          </w:p>
        </w:tc>
        <w:tc>
          <w:tcPr>
            <w:tcW w:w="3620" w:type="pct"/>
            <w:noWrap w:val="0"/>
            <w:vAlign w:val="center"/>
          </w:tcPr>
          <w:p>
            <w:pPr>
              <w:rPr>
                <w:lang w:val="en-US" w:eastAsia="zh-CN"/>
              </w:rPr>
            </w:pPr>
            <w:r>
              <w:t>安全柜裸露工作区三侧壁板采用</w:t>
            </w:r>
            <w:r>
              <w:rPr>
                <w:rFonts w:hint="eastAsia"/>
              </w:rPr>
              <w:t>优质</w:t>
            </w:r>
            <w:r>
              <w:t>304#</w:t>
            </w:r>
            <w:r>
              <w:rPr>
                <w:rFonts w:hint="eastAsia"/>
              </w:rPr>
              <w:t>不锈钢</w:t>
            </w:r>
            <w:r>
              <w:t>一体化结构，内部可清洗部位采用8mm大圆角处理，</w:t>
            </w:r>
            <w:r>
              <w:rPr>
                <w:rFonts w:hint="eastAsia"/>
              </w:rPr>
              <w:t>不留死角，易于清洁；</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1.4</w:t>
            </w:r>
          </w:p>
        </w:tc>
        <w:tc>
          <w:tcPr>
            <w:tcW w:w="3620" w:type="pct"/>
            <w:noWrap w:val="0"/>
            <w:vAlign w:val="center"/>
          </w:tcPr>
          <w:p>
            <w:pPr>
              <w:rPr>
                <w:lang w:val="en-US" w:eastAsia="zh-CN"/>
              </w:rPr>
            </w:pPr>
            <w:r>
              <w:rPr>
                <w:rFonts w:hint="eastAsia"/>
              </w:rPr>
              <w:t>工作区采用四面（左右二侧、后部、底部）负压环绕设计工作区内，保护性更好、更安全；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1.5</w:t>
            </w:r>
          </w:p>
        </w:tc>
        <w:tc>
          <w:tcPr>
            <w:tcW w:w="3620" w:type="pct"/>
            <w:noWrap w:val="0"/>
            <w:vAlign w:val="center"/>
          </w:tcPr>
          <w:p>
            <w:pPr>
              <w:rPr>
                <w:lang w:val="en-US" w:eastAsia="zh-CN"/>
              </w:rPr>
            </w:pPr>
            <w:r>
              <w:rPr>
                <w:rFonts w:hint="eastAsia"/>
              </w:rPr>
              <w:t>工作台面材质为优质</w:t>
            </w:r>
            <w:r>
              <w:t>304#</w:t>
            </w:r>
            <w:r>
              <w:rPr>
                <w:rFonts w:hint="eastAsia"/>
              </w:rPr>
              <w:t>不锈钢，采用</w:t>
            </w:r>
            <w:r>
              <w:t>盆</w:t>
            </w:r>
            <w:r>
              <w:rPr>
                <w:rFonts w:hint="eastAsia"/>
              </w:rPr>
              <w:t>状</w:t>
            </w:r>
            <w:r>
              <w:t>式设计，</w:t>
            </w:r>
            <w:r>
              <w:rPr>
                <w:rFonts w:hint="eastAsia"/>
              </w:rPr>
              <w:t>即使实验有废液溢出，也不会流入积液槽中，便于清理；</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ascii="宋体" w:hAnsi="宋体" w:eastAsia="宋体" w:cs="宋体"/>
                <w:b/>
                <w:bCs/>
                <w:color w:val="000000"/>
                <w:sz w:val="20"/>
                <w:szCs w:val="20"/>
                <w:lang w:eastAsia="zh-CN"/>
              </w:rPr>
              <w:t>★</w:t>
            </w:r>
            <w:r>
              <w:rPr>
                <w:rFonts w:hint="eastAsia"/>
                <w:lang w:val="en-US" w:eastAsia="zh-CN"/>
              </w:rPr>
              <w:t>1.6</w:t>
            </w:r>
          </w:p>
        </w:tc>
        <w:tc>
          <w:tcPr>
            <w:tcW w:w="3620" w:type="pct"/>
            <w:noWrap w:val="0"/>
            <w:vAlign w:val="center"/>
          </w:tcPr>
          <w:p>
            <w:pPr>
              <w:rPr>
                <w:lang w:val="en-US" w:eastAsia="zh-CN"/>
              </w:rPr>
            </w:pPr>
            <w:r>
              <w:rPr>
                <w:rFonts w:hint="eastAsia"/>
              </w:rPr>
              <w:t>福马脚轮设计：</w:t>
            </w:r>
            <w:r>
              <w:t>脚轮与支架一体化设计，安全柜即可通过脚轮安全移动，</w:t>
            </w:r>
            <w:r>
              <w:rPr>
                <w:rFonts w:hint="eastAsia"/>
              </w:rPr>
              <w:t>也可以通过调节脚轮支脚进行固定和调平；</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1.7</w:t>
            </w:r>
          </w:p>
        </w:tc>
        <w:tc>
          <w:tcPr>
            <w:tcW w:w="3620" w:type="pct"/>
            <w:noWrap w:val="0"/>
            <w:vAlign w:val="center"/>
          </w:tcPr>
          <w:p>
            <w:pPr>
              <w:rPr>
                <w:lang w:val="en-US" w:eastAsia="zh-CN"/>
              </w:rPr>
            </w:pPr>
            <w:r>
              <w:t>柜体和支架可分离，</w:t>
            </w:r>
            <w:r>
              <w:rPr>
                <w:rFonts w:hint="eastAsia"/>
              </w:rPr>
              <w:t>支架</w:t>
            </w:r>
            <w:r>
              <w:t>高度可根据实际情况订制修改；</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1.8</w:t>
            </w:r>
          </w:p>
        </w:tc>
        <w:tc>
          <w:tcPr>
            <w:tcW w:w="3620" w:type="pct"/>
            <w:noWrap w:val="0"/>
            <w:vAlign w:val="center"/>
          </w:tcPr>
          <w:p>
            <w:pPr>
              <w:rPr>
                <w:lang w:val="en-US" w:eastAsia="zh-CN"/>
              </w:rPr>
            </w:pPr>
            <w:r>
              <w:t>合理的结构设计：</w:t>
            </w:r>
            <w:r>
              <w:rPr>
                <w:rFonts w:hint="eastAsia"/>
              </w:rPr>
              <w:t>安全柜过滤器和风机的维修、</w:t>
            </w:r>
            <w:r>
              <w:t>更换，都可在安全柜的前侧进行，</w:t>
            </w:r>
            <w:r>
              <w:rPr>
                <w:rFonts w:hint="eastAsia"/>
                <w:lang w:val="en-US" w:eastAsia="zh-CN"/>
              </w:rPr>
              <w:t>单人即可更换，</w:t>
            </w:r>
            <w:r>
              <w:rPr>
                <w:rFonts w:hint="eastAsia"/>
              </w:rPr>
              <w:t>更加</w:t>
            </w:r>
            <w:r>
              <w:t>快捷</w:t>
            </w:r>
            <w:r>
              <w:rPr>
                <w:rFonts w:hint="eastAsia"/>
                <w:lang w:eastAsia="zh-CN"/>
              </w:rPr>
              <w:t>；柜子底部四个垫块预留出搬抬空间，搬运更加安全方便。</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1.9</w:t>
            </w:r>
          </w:p>
        </w:tc>
        <w:tc>
          <w:tcPr>
            <w:tcW w:w="3620" w:type="pct"/>
            <w:noWrap w:val="0"/>
            <w:vAlign w:val="center"/>
          </w:tcPr>
          <w:p>
            <w:pPr>
              <w:rPr>
                <w:lang w:val="en-US" w:eastAsia="zh-CN"/>
              </w:rPr>
            </w:pPr>
            <w:r>
              <w:rPr>
                <w:rFonts w:hint="eastAsia"/>
              </w:rPr>
              <w:t>前窗玻璃采用双层夹胶防爆安全玻璃；即使玻璃破损，也不会伤人，并且生物安全柜还能正常工作，直到实验结束，更好</w:t>
            </w:r>
            <w:r>
              <w:t>的保护了人员及</w:t>
            </w:r>
            <w:r>
              <w:rPr>
                <w:rFonts w:hint="eastAsia"/>
              </w:rPr>
              <w:t>实验</w:t>
            </w:r>
            <w:r>
              <w:t>的安全；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1.10</w:t>
            </w:r>
          </w:p>
        </w:tc>
        <w:tc>
          <w:tcPr>
            <w:tcW w:w="3620" w:type="pct"/>
            <w:noWrap w:val="0"/>
            <w:vAlign w:val="center"/>
          </w:tcPr>
          <w:p>
            <w:pPr>
              <w:rPr>
                <w:lang w:val="en-US" w:eastAsia="zh-CN"/>
              </w:rPr>
            </w:pPr>
            <w:r>
              <w:rPr>
                <w:rFonts w:hint="eastAsia"/>
              </w:rPr>
              <w:t>L</w:t>
            </w:r>
            <w:r>
              <w:rPr>
                <w:rFonts w:hint="eastAsia"/>
                <w:lang w:val="en-US" w:eastAsia="zh-CN"/>
              </w:rPr>
              <w:t>C</w:t>
            </w:r>
            <w:r>
              <w:rPr>
                <w:rFonts w:hint="eastAsia"/>
              </w:rPr>
              <w:t>D</w:t>
            </w:r>
            <w:r>
              <w:rPr>
                <w:rFonts w:hint="eastAsia"/>
                <w:lang w:val="en-US" w:eastAsia="zh-CN"/>
              </w:rPr>
              <w:t>彩色</w:t>
            </w:r>
            <w:r>
              <w:rPr>
                <w:rFonts w:hint="eastAsia"/>
              </w:rPr>
              <w:t>液晶显示屏，全参数显示,实时动态显示操作区的下降气流流速和流入气流流速，</w:t>
            </w:r>
            <w:r>
              <w:t>显示</w:t>
            </w:r>
            <w:r>
              <w:rPr>
                <w:rFonts w:hint="eastAsia"/>
              </w:rPr>
              <w:t>安全柜的整体运行时间，UV灯的运行时间，操作区的温度和湿度，送风和排风过滤器的阻力，显示过滤器的使用时间并由条码显示过滤器</w:t>
            </w:r>
            <w:r>
              <w:t>的使用寿命</w:t>
            </w:r>
            <w:r>
              <w:rPr>
                <w:rFonts w:hint="eastAsia"/>
              </w:rPr>
              <w:t>，条码全部点亮是过滤器寿命到期，</w:t>
            </w:r>
            <w:r>
              <w:t>运行状态全部显示,一目了然</w:t>
            </w:r>
            <w:r>
              <w:rPr>
                <w:rFonts w:hint="eastAsia"/>
              </w:rPr>
              <w:t>；</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ascii="宋体" w:hAnsi="宋体" w:eastAsia="宋体" w:cs="宋体"/>
                <w:b/>
                <w:bCs/>
                <w:color w:val="000000"/>
                <w:sz w:val="20"/>
                <w:szCs w:val="20"/>
                <w:lang w:eastAsia="zh-CN"/>
              </w:rPr>
              <w:t>★</w:t>
            </w:r>
            <w:r>
              <w:rPr>
                <w:rFonts w:hint="eastAsia"/>
                <w:lang w:val="en-US" w:eastAsia="zh-CN"/>
              </w:rPr>
              <w:t>1.11</w:t>
            </w:r>
          </w:p>
        </w:tc>
        <w:tc>
          <w:tcPr>
            <w:tcW w:w="3620" w:type="pct"/>
            <w:noWrap w:val="0"/>
            <w:vAlign w:val="center"/>
          </w:tcPr>
          <w:p>
            <w:pPr>
              <w:rPr>
                <w:lang w:val="en-US" w:eastAsia="zh-CN"/>
              </w:rPr>
            </w:pPr>
            <w:r>
              <w:rPr>
                <w:rFonts w:hint="eastAsia"/>
              </w:rPr>
              <w:t>脚踏电动、</w:t>
            </w:r>
            <w:r>
              <w:rPr>
                <w:rFonts w:hint="eastAsia"/>
                <w:lang w:val="en-US" w:eastAsia="zh-CN"/>
              </w:rPr>
              <w:t>轻触</w:t>
            </w:r>
            <w:r>
              <w:rPr>
                <w:rFonts w:hint="eastAsia"/>
              </w:rPr>
              <w:t>按键、遥控电动三种方式灵活控制玻璃门升降，玻璃</w:t>
            </w:r>
            <w:r>
              <w:t>门升降</w:t>
            </w:r>
            <w:r>
              <w:rPr>
                <w:rFonts w:hint="eastAsia"/>
              </w:rPr>
              <w:t>到</w:t>
            </w:r>
            <w:r>
              <w:t>安全操作高度时，</w:t>
            </w:r>
            <w:r>
              <w:rPr>
                <w:rFonts w:hint="eastAsia"/>
              </w:rPr>
              <w:t>自动</w:t>
            </w:r>
            <w:r>
              <w:t>停止升降，使操作更加方便</w:t>
            </w:r>
            <w:r>
              <w:rPr>
                <w:rFonts w:hint="eastAsia"/>
              </w:rPr>
              <w:t>；</w:t>
            </w:r>
            <w:r>
              <w:t>且玻璃门升降时</w:t>
            </w:r>
            <w:r>
              <w:rPr>
                <w:rFonts w:hint="eastAsia"/>
              </w:rPr>
              <w:t>不用直接接触玻璃，使实验人员更安全；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1.12</w:t>
            </w:r>
          </w:p>
        </w:tc>
        <w:tc>
          <w:tcPr>
            <w:tcW w:w="3620" w:type="pct"/>
            <w:noWrap w:val="0"/>
            <w:vAlign w:val="center"/>
          </w:tcPr>
          <w:p>
            <w:pPr>
              <w:rPr>
                <w:lang w:val="en-US" w:eastAsia="zh-CN"/>
              </w:rPr>
            </w:pPr>
            <w:r>
              <w:rPr>
                <w:rFonts w:hint="eastAsia"/>
              </w:rPr>
              <w:t>遥控控制：安全柜</w:t>
            </w:r>
            <w:r>
              <w:t>的所有按键操作，都可通过遥控控制实现，</w:t>
            </w:r>
            <w:r>
              <w:rPr>
                <w:rFonts w:hint="eastAsia"/>
              </w:rPr>
              <w:t>使</w:t>
            </w:r>
            <w:r>
              <w:t>安全柜的使用更加快捷方便；且遥控器的使用，大大</w:t>
            </w:r>
            <w:r>
              <w:rPr>
                <w:rFonts w:hint="eastAsia"/>
              </w:rPr>
              <w:t>减少了使用者与安全柜的直接接触，更加保护了使用者的</w:t>
            </w:r>
            <w:r>
              <w:t>人身安全；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1.13</w:t>
            </w:r>
          </w:p>
        </w:tc>
        <w:tc>
          <w:tcPr>
            <w:tcW w:w="3620" w:type="pct"/>
            <w:noWrap w:val="0"/>
            <w:vAlign w:val="center"/>
          </w:tcPr>
          <w:p>
            <w:pPr>
              <w:rPr>
                <w:lang w:val="en-US" w:eastAsia="zh-CN"/>
              </w:rPr>
            </w:pPr>
            <w:r>
              <w:rPr>
                <w:rFonts w:hint="eastAsia"/>
              </w:rPr>
              <w:t>具有预约定时功能，能自动设定安全柜</w:t>
            </w:r>
            <w:r>
              <w:t>定时开机、关机及紫外灯消毒时间，大大节省了</w:t>
            </w:r>
            <w:r>
              <w:rPr>
                <w:rFonts w:hint="eastAsia"/>
              </w:rPr>
              <w:t>工作</w:t>
            </w:r>
            <w:r>
              <w:t>时间</w:t>
            </w:r>
            <w:r>
              <w:rPr>
                <w:rFonts w:hint="eastAsia"/>
              </w:rPr>
              <w:t>，</w:t>
            </w:r>
            <w:r>
              <w:t>提高了工作效率；</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1.14</w:t>
            </w:r>
          </w:p>
        </w:tc>
        <w:tc>
          <w:tcPr>
            <w:tcW w:w="3620" w:type="pct"/>
            <w:noWrap w:val="0"/>
            <w:vAlign w:val="center"/>
          </w:tcPr>
          <w:p>
            <w:pPr>
              <w:rPr>
                <w:lang w:val="en-US" w:eastAsia="zh-CN"/>
              </w:rPr>
            </w:pPr>
            <w:r>
              <w:t>严格的气密性检测</w:t>
            </w:r>
            <w:r>
              <w:rPr>
                <w:rFonts w:hint="eastAsia"/>
              </w:rPr>
              <w:t>：安全柜</w:t>
            </w:r>
            <w:r>
              <w:t>内加压500Pa，保持</w:t>
            </w:r>
            <w:r>
              <w:rPr>
                <w:rFonts w:hint="eastAsia"/>
                <w:lang w:val="en-US" w:eastAsia="zh-CN"/>
              </w:rPr>
              <w:t>1</w:t>
            </w:r>
            <w:r>
              <w:t>0min后气压不低于450Pa。</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1.15</w:t>
            </w:r>
          </w:p>
        </w:tc>
        <w:tc>
          <w:tcPr>
            <w:tcW w:w="3620" w:type="pct"/>
            <w:noWrap w:val="0"/>
            <w:vAlign w:val="center"/>
          </w:tcPr>
          <w:p>
            <w:pPr>
              <w:rPr>
                <w:lang w:val="en-US" w:eastAsia="zh-CN"/>
              </w:rPr>
            </w:pPr>
            <w:r>
              <w:t>前窗气流隔断设计：</w:t>
            </w:r>
            <w:r>
              <w:rPr>
                <w:rFonts w:hint="eastAsia"/>
              </w:rPr>
              <w:t>防止了</w:t>
            </w:r>
            <w:r>
              <w:t>气流通过前窗侧壁</w:t>
            </w:r>
            <w:r>
              <w:rPr>
                <w:rFonts w:hint="eastAsia"/>
              </w:rPr>
              <w:t>及上侧进行泄露，</w:t>
            </w:r>
            <w:r>
              <w:t>使</w:t>
            </w:r>
            <w:r>
              <w:rPr>
                <w:rFonts w:hint="eastAsia"/>
              </w:rPr>
              <w:t>试验</w:t>
            </w:r>
            <w:r>
              <w:t>更加安全；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1.16</w:t>
            </w:r>
          </w:p>
        </w:tc>
        <w:tc>
          <w:tcPr>
            <w:tcW w:w="3620" w:type="pct"/>
            <w:noWrap w:val="0"/>
            <w:vAlign w:val="center"/>
          </w:tcPr>
          <w:p>
            <w:pPr>
              <w:rPr>
                <w:lang w:val="en-US" w:eastAsia="zh-CN"/>
              </w:rPr>
            </w:pPr>
            <w:r>
              <w:rPr>
                <w:rFonts w:hint="eastAsia"/>
              </w:rPr>
              <w:t>优良</w:t>
            </w:r>
            <w:r>
              <w:t>的</w:t>
            </w:r>
            <w:r>
              <w:rPr>
                <w:rFonts w:hint="eastAsia"/>
              </w:rPr>
              <w:t>风机选用：风机的电机当安全柜在正常运行而不调整电机的速度控制，经过滤器的风压下降50%时，风机的排气量下降不超过10%</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1.17</w:t>
            </w:r>
          </w:p>
        </w:tc>
        <w:tc>
          <w:tcPr>
            <w:tcW w:w="3620" w:type="pct"/>
            <w:noWrap w:val="0"/>
            <w:vAlign w:val="center"/>
          </w:tcPr>
          <w:p>
            <w:pPr>
              <w:rPr>
                <w:lang w:val="en-US" w:eastAsia="zh-CN"/>
              </w:rPr>
            </w:pPr>
            <w:r>
              <w:rPr>
                <w:rFonts w:hint="eastAsia"/>
              </w:rPr>
              <w:t>完善</w:t>
            </w:r>
            <w:r>
              <w:t>的报警系统：</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1.17.1</w:t>
            </w:r>
          </w:p>
        </w:tc>
        <w:tc>
          <w:tcPr>
            <w:tcW w:w="3620" w:type="pct"/>
            <w:noWrap w:val="0"/>
            <w:vAlign w:val="center"/>
          </w:tcPr>
          <w:p>
            <w:pPr>
              <w:rPr>
                <w:lang w:val="en-US" w:eastAsia="zh-CN"/>
              </w:rPr>
            </w:pPr>
            <w:r>
              <w:rPr>
                <w:rFonts w:hint="eastAsia"/>
              </w:rPr>
              <w:t>玻璃门不在安全</w:t>
            </w:r>
            <w:r>
              <w:t>高度报警：玻璃门</w:t>
            </w:r>
            <w:r>
              <w:rPr>
                <w:rFonts w:hint="eastAsia"/>
              </w:rPr>
              <w:t>安全</w:t>
            </w:r>
            <w:r>
              <w:t>高度为</w:t>
            </w:r>
            <w:r>
              <w:rPr>
                <w:rFonts w:hint="eastAsia"/>
              </w:rPr>
              <w:t>200</w:t>
            </w:r>
            <w:r>
              <w:t>mm，当安全柜前侧高于或低于安全</w:t>
            </w:r>
            <w:r>
              <w:rPr>
                <w:rFonts w:hint="eastAsia"/>
              </w:rPr>
              <w:t>高度</w:t>
            </w:r>
            <w:r>
              <w:t>时，安全柜会</w:t>
            </w:r>
            <w:r>
              <w:rPr>
                <w:rFonts w:hint="eastAsia"/>
              </w:rPr>
              <w:t>声光报警；</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1.17.2</w:t>
            </w:r>
          </w:p>
        </w:tc>
        <w:tc>
          <w:tcPr>
            <w:tcW w:w="3620" w:type="pct"/>
            <w:noWrap w:val="0"/>
            <w:vAlign w:val="center"/>
          </w:tcPr>
          <w:p>
            <w:pPr>
              <w:rPr>
                <w:lang w:val="en-US" w:eastAsia="zh-CN"/>
              </w:rPr>
            </w:pPr>
            <w:r>
              <w:rPr>
                <w:rFonts w:hint="eastAsia"/>
              </w:rPr>
              <w:t>过滤器</w:t>
            </w:r>
            <w:r>
              <w:t>压力超高报警：当过滤器的阻力变大，</w:t>
            </w:r>
            <w:r>
              <w:rPr>
                <w:rFonts w:hint="eastAsia"/>
              </w:rPr>
              <w:t>安全柜</w:t>
            </w:r>
            <w:r>
              <w:t>会声光报警</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1.17.3</w:t>
            </w:r>
          </w:p>
        </w:tc>
        <w:tc>
          <w:tcPr>
            <w:tcW w:w="3620" w:type="pct"/>
            <w:noWrap w:val="0"/>
            <w:vAlign w:val="center"/>
          </w:tcPr>
          <w:p>
            <w:pPr>
              <w:rPr>
                <w:lang w:val="en-US" w:eastAsia="zh-CN"/>
              </w:rPr>
            </w:pPr>
            <w:r>
              <w:rPr>
                <w:rFonts w:hint="eastAsia"/>
              </w:rPr>
              <w:t>过滤器失效</w:t>
            </w:r>
            <w:r>
              <w:t>更换</w:t>
            </w:r>
            <w:r>
              <w:rPr>
                <w:rFonts w:hint="eastAsia"/>
              </w:rPr>
              <w:t>报警</w:t>
            </w:r>
            <w:r>
              <w:t>：</w:t>
            </w:r>
            <w:r>
              <w:rPr>
                <w:rFonts w:hint="eastAsia"/>
              </w:rPr>
              <w:t>当</w:t>
            </w:r>
            <w:r>
              <w:t>过滤器寿命使用到期后，会有过滤器</w:t>
            </w:r>
            <w:r>
              <w:rPr>
                <w:rFonts w:hint="eastAsia"/>
              </w:rPr>
              <w:t>更换</w:t>
            </w:r>
            <w:r>
              <w:t>声光报警；</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1.17.4</w:t>
            </w:r>
          </w:p>
        </w:tc>
        <w:tc>
          <w:tcPr>
            <w:tcW w:w="3620" w:type="pct"/>
            <w:noWrap w:val="0"/>
            <w:vAlign w:val="center"/>
          </w:tcPr>
          <w:p>
            <w:pPr>
              <w:rPr>
                <w:lang w:val="en-US" w:eastAsia="zh-CN"/>
              </w:rPr>
            </w:pPr>
            <w:r>
              <w:t>气流波动报警</w:t>
            </w:r>
            <w:r>
              <w:rPr>
                <w:rFonts w:hint="eastAsia"/>
              </w:rPr>
              <w:t>：当</w:t>
            </w:r>
            <w:r>
              <w:t>安全柜的气流波动超过</w:t>
            </w:r>
            <w:r>
              <w:rPr>
                <w:rFonts w:hint="eastAsia"/>
              </w:rPr>
              <w:t>标称值</w:t>
            </w:r>
            <w:r>
              <w:t>的20%</w:t>
            </w:r>
            <w:r>
              <w:rPr>
                <w:rFonts w:hint="eastAsia"/>
              </w:rPr>
              <w:t>时</w:t>
            </w:r>
            <w:r>
              <w:t>，声光报警；</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1.18</w:t>
            </w:r>
          </w:p>
        </w:tc>
        <w:tc>
          <w:tcPr>
            <w:tcW w:w="3620" w:type="pct"/>
            <w:noWrap w:val="0"/>
            <w:vAlign w:val="center"/>
          </w:tcPr>
          <w:p>
            <w:pPr>
              <w:rPr>
                <w:lang w:val="en-US" w:eastAsia="zh-CN"/>
              </w:rPr>
            </w:pPr>
            <w:r>
              <w:t>安全的连锁保护设计：对误操作均设置连锁保护，</w:t>
            </w:r>
            <w:r>
              <w:rPr>
                <w:rFonts w:hint="eastAsia"/>
              </w:rPr>
              <w:t>即使</w:t>
            </w:r>
            <w:r>
              <w:t>误操作，也不会造成伤害</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1.18.1</w:t>
            </w:r>
          </w:p>
        </w:tc>
        <w:tc>
          <w:tcPr>
            <w:tcW w:w="3620" w:type="pct"/>
            <w:noWrap w:val="0"/>
            <w:vAlign w:val="center"/>
          </w:tcPr>
          <w:p>
            <w:pPr>
              <w:rPr>
                <w:lang w:val="en-US" w:eastAsia="zh-CN"/>
              </w:rPr>
            </w:pPr>
            <w:r>
              <w:rPr>
                <w:rFonts w:hint="eastAsia"/>
              </w:rPr>
              <w:t>安全柜</w:t>
            </w:r>
            <w:r>
              <w:t>风机与玻璃门互锁</w:t>
            </w:r>
            <w:r>
              <w:rPr>
                <w:rFonts w:hint="eastAsia"/>
              </w:rPr>
              <w:t>：</w:t>
            </w:r>
            <w:r>
              <w:t>当安全柜玻璃</w:t>
            </w:r>
            <w:r>
              <w:rPr>
                <w:rFonts w:hint="eastAsia"/>
              </w:rPr>
              <w:t>门</w:t>
            </w:r>
            <w:r>
              <w:t>落到最底部时，安全柜风机自动关闭，</w:t>
            </w:r>
            <w:r>
              <w:rPr>
                <w:rFonts w:hint="eastAsia"/>
                <w:lang w:eastAsia="zh-CN"/>
              </w:rPr>
              <w:t>更加</w:t>
            </w:r>
            <w:r>
              <w:t>保护了</w:t>
            </w:r>
            <w:r>
              <w:rPr>
                <w:rFonts w:hint="eastAsia"/>
              </w:rPr>
              <w:t>安全柜</w:t>
            </w:r>
            <w:r>
              <w:t>的使用，增加了安全柜的使用寿命</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1.18.2</w:t>
            </w:r>
          </w:p>
        </w:tc>
        <w:tc>
          <w:tcPr>
            <w:tcW w:w="3620" w:type="pct"/>
            <w:noWrap w:val="0"/>
            <w:vAlign w:val="center"/>
          </w:tcPr>
          <w:p>
            <w:pPr>
              <w:rPr>
                <w:lang w:val="en-US" w:eastAsia="zh-CN"/>
              </w:rPr>
            </w:pPr>
            <w:r>
              <w:t>紫外灯与安全柜玻璃门、风机及照明灯互锁：当玻璃落到底部且照明灯不开启时，紫外灯才能开启，防止紫外灯误操作对人体造成危害，</w:t>
            </w:r>
            <w:r>
              <w:rPr>
                <w:rFonts w:hint="eastAsia"/>
              </w:rPr>
              <w:t>更加保护</w:t>
            </w:r>
            <w:r>
              <w:t>了人员的安全</w:t>
            </w:r>
            <w:r>
              <w:rPr>
                <w:rFonts w:hint="eastAsia"/>
              </w:rPr>
              <w:t>；</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1.19</w:t>
            </w:r>
          </w:p>
        </w:tc>
        <w:tc>
          <w:tcPr>
            <w:tcW w:w="3620" w:type="pct"/>
            <w:noWrap w:val="0"/>
            <w:vAlign w:val="center"/>
          </w:tcPr>
          <w:p>
            <w:pPr>
              <w:rPr>
                <w:lang w:val="en-US" w:eastAsia="zh-CN"/>
              </w:rPr>
            </w:pPr>
            <w:r>
              <w:rPr>
                <w:rFonts w:hint="eastAsia"/>
                <w:lang w:eastAsia="zh-CN"/>
              </w:rPr>
              <w:t>前窗关闭双重触发信号，使紫外灯杀菌消毒功能正常开启；</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ascii="宋体" w:hAnsi="宋体" w:eastAsia="宋体" w:cs="宋体"/>
                <w:b/>
                <w:bCs/>
                <w:color w:val="000000"/>
                <w:sz w:val="20"/>
                <w:szCs w:val="20"/>
                <w:lang w:eastAsia="zh-CN"/>
              </w:rPr>
              <w:t>★</w:t>
            </w:r>
            <w:r>
              <w:rPr>
                <w:rFonts w:hint="eastAsia"/>
                <w:lang w:val="en-US" w:eastAsia="zh-CN"/>
              </w:rPr>
              <w:t>1.20</w:t>
            </w:r>
          </w:p>
        </w:tc>
        <w:tc>
          <w:tcPr>
            <w:tcW w:w="3620" w:type="pct"/>
            <w:noWrap w:val="0"/>
            <w:vAlign w:val="center"/>
          </w:tcPr>
          <w:p>
            <w:pPr>
              <w:rPr>
                <w:lang w:val="en-US" w:eastAsia="zh-CN"/>
              </w:rPr>
            </w:pPr>
            <w:r>
              <w:rPr>
                <w:rFonts w:hint="eastAsia"/>
                <w:lang w:val="en-US" w:eastAsia="zh-CN"/>
              </w:rPr>
              <w:t>负压风道设有异物过滤结构，</w:t>
            </w:r>
            <w:r>
              <w:rPr>
                <w:rFonts w:hint="eastAsia"/>
                <w:lang w:eastAsia="zh-CN"/>
              </w:rPr>
              <w:t>防止</w:t>
            </w:r>
            <w:r>
              <w:rPr>
                <w:rFonts w:hint="eastAsia"/>
                <w:lang w:val="en-US" w:eastAsia="zh-CN"/>
              </w:rPr>
              <w:t>纸屑</w:t>
            </w:r>
            <w:r>
              <w:rPr>
                <w:rFonts w:hint="eastAsia"/>
                <w:lang w:eastAsia="zh-CN"/>
              </w:rPr>
              <w:t>等异物进入风机系统</w:t>
            </w:r>
            <w:r>
              <w:rPr>
                <w:rFonts w:hint="eastAsia"/>
                <w:lang w:val="en-US" w:eastAsia="zh-CN"/>
              </w:rPr>
              <w:t>影响产品正常运行</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w:t>
            </w:r>
          </w:p>
        </w:tc>
        <w:tc>
          <w:tcPr>
            <w:tcW w:w="3620" w:type="pct"/>
            <w:noWrap w:val="0"/>
            <w:vAlign w:val="center"/>
          </w:tcPr>
          <w:p>
            <w:pPr>
              <w:rPr>
                <w:rFonts w:ascii="Times New Roman" w:hAnsi="Times New Roman" w:eastAsia="宋体" w:cs="Times New Roman"/>
                <w:kern w:val="2"/>
                <w:sz w:val="21"/>
                <w:szCs w:val="24"/>
                <w:lang w:val="en-US" w:eastAsia="zh-CN" w:bidi="ar-SA"/>
              </w:rPr>
            </w:pPr>
            <w:r>
              <w:rPr>
                <w:rFonts w:hint="eastAsia"/>
              </w:rPr>
              <w:t>配置</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2.1</w:t>
            </w:r>
          </w:p>
        </w:tc>
        <w:tc>
          <w:tcPr>
            <w:tcW w:w="3620" w:type="pct"/>
            <w:noWrap w:val="0"/>
            <w:vAlign w:val="center"/>
          </w:tcPr>
          <w:p>
            <w:pPr>
              <w:rPr>
                <w:rFonts w:ascii="Times New Roman" w:hAnsi="Times New Roman" w:eastAsia="宋体" w:cs="Times New Roman"/>
                <w:kern w:val="2"/>
                <w:sz w:val="21"/>
                <w:szCs w:val="24"/>
                <w:lang w:val="en-US" w:eastAsia="zh-CN" w:bidi="ar-SA"/>
              </w:rPr>
            </w:pPr>
            <w:r>
              <w:rPr>
                <w:rFonts w:hint="eastAsia"/>
              </w:rPr>
              <w:t>数量：</w:t>
            </w:r>
            <w:r>
              <w:rPr>
                <w:rFonts w:hint="eastAsia"/>
                <w:lang w:val="en-US" w:eastAsia="zh-CN"/>
              </w:rPr>
              <w:t>1</w:t>
            </w:r>
            <w:r>
              <w:rPr>
                <w:rFonts w:hint="eastAsia"/>
              </w:rPr>
              <w:t>套</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2.2</w:t>
            </w:r>
          </w:p>
        </w:tc>
        <w:tc>
          <w:tcPr>
            <w:tcW w:w="3620" w:type="pct"/>
            <w:noWrap w:val="0"/>
            <w:vAlign w:val="center"/>
          </w:tcPr>
          <w:p>
            <w:pPr>
              <w:rPr>
                <w:rFonts w:hint="default" w:ascii="Times New Roman" w:hAnsi="Times New Roman" w:eastAsia="宋体" w:cs="Times New Roman"/>
                <w:kern w:val="2"/>
                <w:sz w:val="21"/>
                <w:szCs w:val="24"/>
                <w:lang w:val="en-US" w:eastAsia="zh-CN" w:bidi="ar-SA"/>
              </w:rPr>
            </w:pPr>
            <w:r>
              <w:rPr>
                <w:rFonts w:hint="eastAsia"/>
              </w:rPr>
              <w:t>每套设备含主机</w:t>
            </w:r>
            <w:r>
              <w:rPr>
                <w:rFonts w:hint="eastAsia"/>
                <w:lang w:val="en-US" w:eastAsia="zh-CN"/>
              </w:rPr>
              <w:t>:1台</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2.3</w:t>
            </w:r>
          </w:p>
        </w:tc>
        <w:tc>
          <w:tcPr>
            <w:tcW w:w="3620" w:type="pct"/>
            <w:noWrap w:val="0"/>
            <w:vAlign w:val="top"/>
          </w:tcPr>
          <w:p>
            <w:pPr>
              <w:rPr>
                <w:lang w:val="en-US" w:eastAsia="zh-CN"/>
              </w:rPr>
            </w:pPr>
            <w:r>
              <w:rPr>
                <w:rFonts w:hint="eastAsia"/>
                <w:lang w:val="en-US" w:eastAsia="zh-CN"/>
              </w:rPr>
              <w:t>底座1套</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2.4</w:t>
            </w:r>
          </w:p>
        </w:tc>
        <w:tc>
          <w:tcPr>
            <w:tcW w:w="3620" w:type="pct"/>
            <w:noWrap w:val="0"/>
            <w:vAlign w:val="top"/>
          </w:tcPr>
          <w:p>
            <w:pPr>
              <w:rPr>
                <w:rFonts w:hint="eastAsia"/>
                <w:lang w:val="en-US" w:eastAsia="zh-CN"/>
              </w:rPr>
            </w:pPr>
            <w:r>
              <w:rPr>
                <w:rFonts w:hint="eastAsia"/>
                <w:lang w:val="en-US" w:eastAsia="zh-CN"/>
              </w:rPr>
              <w:t>内风机1台</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2.5</w:t>
            </w:r>
          </w:p>
        </w:tc>
        <w:tc>
          <w:tcPr>
            <w:tcW w:w="3620" w:type="pct"/>
            <w:noWrap w:val="0"/>
            <w:vAlign w:val="top"/>
          </w:tcPr>
          <w:p>
            <w:pPr>
              <w:rPr>
                <w:rFonts w:hint="eastAsia"/>
                <w:lang w:val="en-US" w:eastAsia="zh-CN"/>
              </w:rPr>
            </w:pPr>
            <w:r>
              <w:rPr>
                <w:rFonts w:hint="eastAsia"/>
                <w:lang w:val="en-US" w:eastAsia="zh-CN"/>
              </w:rPr>
              <w:t>送风过滤器1套</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2.6</w:t>
            </w:r>
          </w:p>
        </w:tc>
        <w:tc>
          <w:tcPr>
            <w:tcW w:w="3620" w:type="pct"/>
            <w:noWrap w:val="0"/>
            <w:vAlign w:val="top"/>
          </w:tcPr>
          <w:p>
            <w:pPr>
              <w:rPr>
                <w:rFonts w:hint="eastAsia"/>
                <w:lang w:val="en-US" w:eastAsia="zh-CN"/>
              </w:rPr>
            </w:pPr>
            <w:r>
              <w:rPr>
                <w:rFonts w:hint="eastAsia"/>
                <w:lang w:val="en-US" w:eastAsia="zh-CN"/>
              </w:rPr>
              <w:t>排风过滤器1套</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2.7</w:t>
            </w:r>
          </w:p>
        </w:tc>
        <w:tc>
          <w:tcPr>
            <w:tcW w:w="3620" w:type="pct"/>
            <w:noWrap w:val="0"/>
            <w:vAlign w:val="top"/>
          </w:tcPr>
          <w:p>
            <w:pPr>
              <w:rPr>
                <w:rFonts w:hint="eastAsia"/>
                <w:lang w:val="en-US" w:eastAsia="zh-CN"/>
              </w:rPr>
            </w:pPr>
            <w:r>
              <w:rPr>
                <w:rFonts w:hint="eastAsia"/>
                <w:lang w:val="en-US" w:eastAsia="zh-CN"/>
              </w:rPr>
              <w:t>国标插座2个</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2.8</w:t>
            </w:r>
          </w:p>
        </w:tc>
        <w:tc>
          <w:tcPr>
            <w:tcW w:w="3620" w:type="pct"/>
            <w:noWrap w:val="0"/>
            <w:vAlign w:val="top"/>
          </w:tcPr>
          <w:p>
            <w:pPr>
              <w:rPr>
                <w:rFonts w:hint="eastAsia"/>
                <w:lang w:val="en-US" w:eastAsia="zh-CN"/>
              </w:rPr>
            </w:pPr>
            <w:r>
              <w:rPr>
                <w:rFonts w:hint="eastAsia"/>
                <w:lang w:val="en-US" w:eastAsia="zh-CN"/>
              </w:rPr>
              <w:t>遥控器1件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2.9</w:t>
            </w:r>
          </w:p>
        </w:tc>
        <w:tc>
          <w:tcPr>
            <w:tcW w:w="3620" w:type="pct"/>
            <w:noWrap w:val="0"/>
            <w:vAlign w:val="top"/>
          </w:tcPr>
          <w:p>
            <w:pPr>
              <w:rPr>
                <w:rFonts w:hint="eastAsia"/>
                <w:lang w:val="en-US" w:eastAsia="zh-CN"/>
              </w:rPr>
            </w:pPr>
            <w:r>
              <w:rPr>
                <w:rFonts w:hint="eastAsia"/>
                <w:lang w:val="en-US" w:eastAsia="zh-CN"/>
              </w:rPr>
              <w:t>脚踏开关1件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2.10</w:t>
            </w:r>
          </w:p>
        </w:tc>
        <w:tc>
          <w:tcPr>
            <w:tcW w:w="3620" w:type="pct"/>
            <w:noWrap w:val="0"/>
            <w:vAlign w:val="top"/>
          </w:tcPr>
          <w:p>
            <w:pPr>
              <w:rPr>
                <w:rFonts w:hint="eastAsia"/>
                <w:lang w:val="en-US" w:eastAsia="zh-CN"/>
              </w:rPr>
            </w:pPr>
            <w:r>
              <w:rPr>
                <w:rFonts w:hint="eastAsia"/>
                <w:lang w:val="en-US" w:eastAsia="zh-CN"/>
              </w:rPr>
              <w:t>紫外灯1件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lang w:val="en-US" w:eastAsia="zh-CN"/>
              </w:rPr>
            </w:pPr>
            <w:r>
              <w:rPr>
                <w:rFonts w:hint="eastAsia"/>
                <w:lang w:val="en-US" w:eastAsia="zh-CN"/>
              </w:rPr>
              <w:t>2.11</w:t>
            </w:r>
          </w:p>
        </w:tc>
        <w:tc>
          <w:tcPr>
            <w:tcW w:w="3620" w:type="pct"/>
            <w:noWrap w:val="0"/>
            <w:vAlign w:val="top"/>
          </w:tcPr>
          <w:p>
            <w:pPr>
              <w:rPr>
                <w:rFonts w:hint="eastAsia"/>
                <w:lang w:val="en-US" w:eastAsia="zh-CN"/>
              </w:rPr>
            </w:pPr>
            <w:r>
              <w:rPr>
                <w:rFonts w:hint="eastAsia"/>
                <w:lang w:val="en-US" w:eastAsia="zh-CN"/>
              </w:rPr>
              <w:t>照明灯2件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default"/>
                <w:b/>
                <w:bCs/>
                <w:lang w:val="en-US" w:eastAsia="zh-CN"/>
              </w:rPr>
            </w:pPr>
            <w:r>
              <w:rPr>
                <w:rFonts w:hint="eastAsia"/>
                <w:b/>
                <w:bCs/>
                <w:lang w:val="en-US" w:eastAsia="zh-CN"/>
              </w:rPr>
              <w:t>二</w:t>
            </w:r>
          </w:p>
        </w:tc>
        <w:tc>
          <w:tcPr>
            <w:tcW w:w="3620" w:type="pct"/>
            <w:noWrap w:val="0"/>
            <w:vAlign w:val="top"/>
          </w:tcPr>
          <w:p>
            <w:pPr>
              <w:rPr>
                <w:rFonts w:hint="default"/>
                <w:b/>
                <w:bCs/>
                <w:lang w:val="en-US" w:eastAsia="zh-CN"/>
              </w:rPr>
            </w:pPr>
            <w:r>
              <w:rPr>
                <w:rFonts w:hint="eastAsia"/>
                <w:b/>
                <w:bCs/>
                <w:lang w:val="en-US" w:eastAsia="zh-CN"/>
              </w:rPr>
              <w:t xml:space="preserve">单人半排生物安全柜 </w:t>
            </w:r>
            <w:r>
              <w:rPr>
                <w:rFonts w:hint="default"/>
                <w:b/>
                <w:bCs/>
              </w:rPr>
              <w:t>设备数量：</w:t>
            </w:r>
            <w:r>
              <w:rPr>
                <w:rFonts w:hint="eastAsia"/>
                <w:b/>
                <w:bCs/>
                <w:lang w:val="en-US" w:eastAsia="zh-CN"/>
              </w:rPr>
              <w:t>2台</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3620" w:type="pct"/>
            <w:noWrap w:val="0"/>
            <w:vAlign w:val="center"/>
          </w:tcPr>
          <w:p>
            <w:pPr>
              <w:rPr>
                <w:rFonts w:hint="eastAsia" w:ascii="Times New Roman" w:hAnsi="Times New Roman" w:eastAsia="宋体" w:cs="Times New Roman"/>
                <w:kern w:val="2"/>
                <w:sz w:val="21"/>
                <w:szCs w:val="24"/>
                <w:lang w:val="en-US" w:eastAsia="zh-CN" w:bidi="ar-SA"/>
              </w:rPr>
            </w:pPr>
            <w:r>
              <w:rPr>
                <w:rFonts w:hint="default"/>
              </w:rPr>
              <w:t>技术参数要求</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w:t>
            </w:r>
          </w:p>
        </w:tc>
        <w:tc>
          <w:tcPr>
            <w:tcW w:w="3620" w:type="pct"/>
            <w:noWrap w:val="0"/>
            <w:vAlign w:val="center"/>
          </w:tcPr>
          <w:p>
            <w:pPr>
              <w:rPr>
                <w:rFonts w:hint="eastAsia" w:ascii="Times New Roman" w:hAnsi="Times New Roman" w:eastAsia="宋体" w:cs="Times New Roman"/>
                <w:kern w:val="2"/>
                <w:sz w:val="21"/>
                <w:szCs w:val="24"/>
                <w:lang w:val="en-US" w:eastAsia="zh-CN" w:bidi="ar-SA"/>
              </w:rPr>
            </w:pPr>
            <w:r>
              <w:rPr>
                <w:rFonts w:hint="eastAsia"/>
              </w:rPr>
              <w:t>安全柜基本</w:t>
            </w:r>
            <w:r>
              <w:t>参数：</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1.1.1</w:t>
            </w:r>
          </w:p>
        </w:tc>
        <w:tc>
          <w:tcPr>
            <w:tcW w:w="3620" w:type="pct"/>
            <w:noWrap w:val="0"/>
            <w:vAlign w:val="top"/>
          </w:tcPr>
          <w:p>
            <w:pPr>
              <w:rPr>
                <w:rFonts w:hint="eastAsia"/>
                <w:lang w:val="en-US" w:eastAsia="zh-CN"/>
              </w:rPr>
            </w:pPr>
            <w:r>
              <w:rPr>
                <w:rFonts w:hint="eastAsia"/>
                <w:lang w:val="en-US" w:eastAsia="zh-CN"/>
              </w:rPr>
              <w:t>30%外排，70%循环</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1.1.2</w:t>
            </w:r>
          </w:p>
        </w:tc>
        <w:tc>
          <w:tcPr>
            <w:tcW w:w="3620" w:type="pct"/>
            <w:noWrap w:val="0"/>
            <w:vAlign w:val="top"/>
          </w:tcPr>
          <w:p>
            <w:pPr>
              <w:rPr>
                <w:rFonts w:hint="eastAsia"/>
                <w:lang w:val="en-US" w:eastAsia="zh-CN"/>
              </w:rPr>
            </w:pPr>
            <w:r>
              <w:rPr>
                <w:rFonts w:hint="eastAsia"/>
                <w:lang w:val="en-US" w:eastAsia="zh-CN"/>
              </w:rPr>
              <w:t>外部尺寸≥（L×D×H）1100mm×755mm×2200mm；</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1.1.3</w:t>
            </w:r>
          </w:p>
        </w:tc>
        <w:tc>
          <w:tcPr>
            <w:tcW w:w="3620" w:type="pct"/>
            <w:noWrap w:val="0"/>
            <w:vAlign w:val="top"/>
          </w:tcPr>
          <w:p>
            <w:pPr>
              <w:rPr>
                <w:rFonts w:hint="eastAsia"/>
                <w:lang w:val="en-US" w:eastAsia="zh-CN"/>
              </w:rPr>
            </w:pPr>
            <w:r>
              <w:rPr>
                <w:rFonts w:hint="eastAsia"/>
                <w:lang w:val="en-US" w:eastAsia="zh-CN"/>
              </w:rPr>
              <w:t>内部尺寸≥（L×D×H）940mm ×600mm×660mm 。</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1.1.4</w:t>
            </w:r>
          </w:p>
        </w:tc>
        <w:tc>
          <w:tcPr>
            <w:tcW w:w="3620" w:type="pct"/>
            <w:noWrap w:val="0"/>
            <w:vAlign w:val="top"/>
          </w:tcPr>
          <w:p>
            <w:pPr>
              <w:rPr>
                <w:rFonts w:hint="eastAsia"/>
                <w:lang w:val="en-US" w:eastAsia="zh-CN"/>
              </w:rPr>
            </w:pPr>
            <w:r>
              <w:rPr>
                <w:rFonts w:hint="eastAsia"/>
                <w:lang w:val="en-US" w:eastAsia="zh-CN"/>
              </w:rPr>
              <w:t>台面距离地面高度：770mm</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1.1.5</w:t>
            </w:r>
          </w:p>
        </w:tc>
        <w:tc>
          <w:tcPr>
            <w:tcW w:w="3620" w:type="pct"/>
            <w:noWrap w:val="0"/>
            <w:vAlign w:val="top"/>
          </w:tcPr>
          <w:p>
            <w:pPr>
              <w:rPr>
                <w:rFonts w:hint="eastAsia"/>
                <w:lang w:val="en-US" w:eastAsia="zh-CN"/>
              </w:rPr>
            </w:pPr>
            <w:r>
              <w:rPr>
                <w:rFonts w:hint="eastAsia"/>
                <w:lang w:val="en-US" w:eastAsia="zh-CN"/>
              </w:rPr>
              <w:t>风速： 平均下降风速：0.33±0.025m/s； 平均吸入口风速0.53±0.025m/s</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1.1.6</w:t>
            </w:r>
          </w:p>
        </w:tc>
        <w:tc>
          <w:tcPr>
            <w:tcW w:w="3620" w:type="pct"/>
            <w:noWrap w:val="0"/>
            <w:vAlign w:val="top"/>
          </w:tcPr>
          <w:p>
            <w:pPr>
              <w:rPr>
                <w:rFonts w:hint="eastAsia"/>
                <w:lang w:val="en-US" w:eastAsia="zh-CN"/>
              </w:rPr>
            </w:pPr>
            <w:r>
              <w:rPr>
                <w:rFonts w:hint="eastAsia"/>
                <w:lang w:val="en-US" w:eastAsia="zh-CN"/>
              </w:rPr>
              <w:t>系统排风总量：360 m³/h</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1.1.7</w:t>
            </w:r>
          </w:p>
        </w:tc>
        <w:tc>
          <w:tcPr>
            <w:tcW w:w="3620" w:type="pct"/>
            <w:noWrap w:val="0"/>
            <w:vAlign w:val="top"/>
          </w:tcPr>
          <w:p>
            <w:pPr>
              <w:rPr>
                <w:rFonts w:hint="eastAsia"/>
                <w:lang w:val="en-US" w:eastAsia="zh-CN"/>
              </w:rPr>
            </w:pPr>
            <w:r>
              <w:rPr>
                <w:rFonts w:hint="eastAsia"/>
                <w:lang w:val="en-US" w:eastAsia="zh-CN"/>
              </w:rPr>
              <w:t>额定功率：1500VA（包含操作区插座负载，总负载不能超过1000VA,单个插座功率最大500VA）</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1.1.8</w:t>
            </w:r>
          </w:p>
        </w:tc>
        <w:tc>
          <w:tcPr>
            <w:tcW w:w="3620" w:type="pct"/>
            <w:noWrap w:val="0"/>
            <w:vAlign w:val="top"/>
          </w:tcPr>
          <w:p>
            <w:pPr>
              <w:rPr>
                <w:rFonts w:hint="eastAsia"/>
                <w:lang w:val="en-US" w:eastAsia="zh-CN"/>
              </w:rPr>
            </w:pPr>
            <w:r>
              <w:rPr>
                <w:rFonts w:hint="eastAsia"/>
                <w:lang w:val="en-US" w:eastAsia="zh-CN"/>
              </w:rPr>
              <w:t>噪音等级：≤67dB（A）</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1.1.9</w:t>
            </w:r>
          </w:p>
        </w:tc>
        <w:tc>
          <w:tcPr>
            <w:tcW w:w="3620" w:type="pct"/>
            <w:noWrap w:val="0"/>
            <w:vAlign w:val="top"/>
          </w:tcPr>
          <w:p>
            <w:pPr>
              <w:rPr>
                <w:rFonts w:hint="eastAsia"/>
                <w:lang w:val="en-US" w:eastAsia="zh-CN"/>
              </w:rPr>
            </w:pPr>
            <w:r>
              <w:rPr>
                <w:rFonts w:hint="eastAsia"/>
                <w:lang w:val="en-US" w:eastAsia="zh-CN"/>
              </w:rPr>
              <w:t>照明：≥1000lx</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1.1.10</w:t>
            </w:r>
          </w:p>
        </w:tc>
        <w:tc>
          <w:tcPr>
            <w:tcW w:w="3620" w:type="pct"/>
            <w:noWrap w:val="0"/>
            <w:vAlign w:val="top"/>
          </w:tcPr>
          <w:p>
            <w:pPr>
              <w:rPr>
                <w:rFonts w:hint="eastAsia"/>
                <w:lang w:val="en-US" w:eastAsia="zh-CN"/>
              </w:rPr>
            </w:pPr>
            <w:r>
              <w:rPr>
                <w:rFonts w:hint="eastAsia"/>
                <w:lang w:val="en-US" w:eastAsia="zh-CN"/>
              </w:rPr>
              <w:t>过滤效率:送风和排风过滤器均采用世界知名品牌的硼硅酸盐玻璃纤维材质的ULPA高效过滤器，对0.12μm颗粒过滤效率≥99.9995%</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1.2</w:t>
            </w:r>
          </w:p>
        </w:tc>
        <w:tc>
          <w:tcPr>
            <w:tcW w:w="3620" w:type="pct"/>
            <w:noWrap w:val="0"/>
            <w:vAlign w:val="top"/>
          </w:tcPr>
          <w:p>
            <w:pPr>
              <w:rPr>
                <w:rFonts w:hint="eastAsia"/>
                <w:lang w:val="en-US" w:eastAsia="zh-CN"/>
              </w:rPr>
            </w:pPr>
            <w:r>
              <w:rPr>
                <w:rFonts w:hint="eastAsia"/>
                <w:lang w:val="en-US" w:eastAsia="zh-CN"/>
              </w:rPr>
              <w:t>生物安全性：</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1.2.1</w:t>
            </w:r>
          </w:p>
        </w:tc>
        <w:tc>
          <w:tcPr>
            <w:tcW w:w="3620" w:type="pct"/>
            <w:noWrap w:val="0"/>
            <w:vAlign w:val="top"/>
          </w:tcPr>
          <w:p>
            <w:pPr>
              <w:rPr>
                <w:rFonts w:hint="eastAsia"/>
                <w:lang w:val="en-US" w:eastAsia="zh-CN"/>
              </w:rPr>
            </w:pPr>
            <w:r>
              <w:rPr>
                <w:rFonts w:hint="eastAsia"/>
                <w:lang w:val="en-US" w:eastAsia="zh-CN"/>
              </w:rPr>
              <w:t xml:space="preserve">人员安全性：用碘化钾（KI）法测试，前窗操作口的保护因子应不小于1×105 </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1.2.2</w:t>
            </w:r>
          </w:p>
        </w:tc>
        <w:tc>
          <w:tcPr>
            <w:tcW w:w="3620" w:type="pct"/>
            <w:noWrap w:val="0"/>
            <w:vAlign w:val="top"/>
          </w:tcPr>
          <w:p>
            <w:pPr>
              <w:rPr>
                <w:rFonts w:hint="eastAsia"/>
                <w:lang w:val="en-US" w:eastAsia="zh-CN"/>
              </w:rPr>
            </w:pPr>
            <w:r>
              <w:rPr>
                <w:rFonts w:hint="eastAsia"/>
                <w:lang w:val="en-US" w:eastAsia="zh-CN"/>
              </w:rPr>
              <w:t xml:space="preserve">产品安全性：菌落数≤5CFU/次 </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1.2.3</w:t>
            </w:r>
          </w:p>
        </w:tc>
        <w:tc>
          <w:tcPr>
            <w:tcW w:w="3620" w:type="pct"/>
            <w:noWrap w:val="0"/>
            <w:vAlign w:val="top"/>
          </w:tcPr>
          <w:p>
            <w:pPr>
              <w:rPr>
                <w:rFonts w:hint="eastAsia"/>
                <w:lang w:val="en-US" w:eastAsia="zh-CN"/>
              </w:rPr>
            </w:pPr>
            <w:r>
              <w:rPr>
                <w:rFonts w:hint="eastAsia"/>
                <w:lang w:val="en-US" w:eastAsia="zh-CN"/>
              </w:rPr>
              <w:t>交叉污染安全性：菌落数≤2CFU/次</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1.3</w:t>
            </w:r>
          </w:p>
        </w:tc>
        <w:tc>
          <w:tcPr>
            <w:tcW w:w="3620" w:type="pct"/>
            <w:noWrap w:val="0"/>
            <w:vAlign w:val="top"/>
          </w:tcPr>
          <w:p>
            <w:pPr>
              <w:rPr>
                <w:rFonts w:hint="eastAsia"/>
                <w:lang w:val="en-US" w:eastAsia="zh-CN"/>
              </w:rPr>
            </w:pPr>
            <w:r>
              <w:rPr>
                <w:rFonts w:hint="eastAsia"/>
                <w:lang w:val="en-US" w:eastAsia="zh-CN"/>
              </w:rPr>
              <w:t>结构功能特点：</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1.3.1</w:t>
            </w:r>
          </w:p>
        </w:tc>
        <w:tc>
          <w:tcPr>
            <w:tcW w:w="3620" w:type="pct"/>
            <w:noWrap w:val="0"/>
            <w:vAlign w:val="top"/>
          </w:tcPr>
          <w:p>
            <w:pPr>
              <w:rPr>
                <w:rFonts w:hint="eastAsia"/>
                <w:lang w:val="en-US" w:eastAsia="zh-CN"/>
              </w:rPr>
            </w:pPr>
            <w:r>
              <w:rPr>
                <w:rFonts w:hint="eastAsia"/>
                <w:lang w:val="en-US" w:eastAsia="zh-CN"/>
              </w:rPr>
              <w:t xml:space="preserve">柜体采用10°倾斜角设计，符合人体工程学原理，视角更大，操作方便且更加人性化；   </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1.3.2</w:t>
            </w:r>
          </w:p>
        </w:tc>
        <w:tc>
          <w:tcPr>
            <w:tcW w:w="3620" w:type="pct"/>
            <w:noWrap w:val="0"/>
            <w:vAlign w:val="top"/>
          </w:tcPr>
          <w:p>
            <w:pPr>
              <w:rPr>
                <w:rFonts w:hint="eastAsia"/>
                <w:lang w:val="en-US" w:eastAsia="zh-CN"/>
              </w:rPr>
            </w:pPr>
            <w:r>
              <w:rPr>
                <w:rFonts w:hint="eastAsia"/>
                <w:lang w:val="en-US" w:eastAsia="zh-CN"/>
              </w:rPr>
              <w:t>安全柜裸露工作区三侧壁板采用优质304#不锈钢一体化结构，内部可清洗部位采用8mm大圆角处理，不留死角，易于清洁；</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1.4</w:t>
            </w:r>
          </w:p>
        </w:tc>
        <w:tc>
          <w:tcPr>
            <w:tcW w:w="3620" w:type="pct"/>
            <w:noWrap w:val="0"/>
            <w:vAlign w:val="top"/>
          </w:tcPr>
          <w:p>
            <w:pPr>
              <w:rPr>
                <w:rFonts w:hint="eastAsia"/>
                <w:lang w:val="en-US" w:eastAsia="zh-CN"/>
              </w:rPr>
            </w:pPr>
            <w:r>
              <w:rPr>
                <w:rFonts w:hint="eastAsia"/>
                <w:lang w:val="en-US" w:eastAsia="zh-CN"/>
              </w:rPr>
              <w:t>、工作区采用四面（左右二侧、后部、底部）负压环绕设计工作区内，保护性更好、更安全；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1.5</w:t>
            </w:r>
          </w:p>
        </w:tc>
        <w:tc>
          <w:tcPr>
            <w:tcW w:w="3620" w:type="pct"/>
            <w:noWrap w:val="0"/>
            <w:vAlign w:val="top"/>
          </w:tcPr>
          <w:p>
            <w:pPr>
              <w:rPr>
                <w:rFonts w:hint="eastAsia"/>
                <w:lang w:val="en-US" w:eastAsia="zh-CN"/>
              </w:rPr>
            </w:pPr>
            <w:r>
              <w:rPr>
                <w:rFonts w:hint="eastAsia"/>
                <w:lang w:val="en-US" w:eastAsia="zh-CN"/>
              </w:rPr>
              <w:t>工作台面材质为优质304#不锈钢，采用盆状式设计，即使实验有废液溢出，也不会流入积液槽中，便于清理；</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b/>
                <w:bCs/>
                <w:color w:val="000000"/>
                <w:sz w:val="20"/>
                <w:szCs w:val="20"/>
                <w:lang w:eastAsia="zh-CN"/>
              </w:rPr>
              <w:t>★</w:t>
            </w:r>
            <w:r>
              <w:rPr>
                <w:rFonts w:hint="eastAsia"/>
                <w:lang w:val="en-US" w:eastAsia="zh-CN"/>
              </w:rPr>
              <w:t>1.6</w:t>
            </w:r>
          </w:p>
        </w:tc>
        <w:tc>
          <w:tcPr>
            <w:tcW w:w="3620" w:type="pct"/>
            <w:noWrap w:val="0"/>
            <w:vAlign w:val="top"/>
          </w:tcPr>
          <w:p>
            <w:pPr>
              <w:rPr>
                <w:rFonts w:hint="eastAsia"/>
                <w:lang w:val="en-US" w:eastAsia="zh-CN"/>
              </w:rPr>
            </w:pPr>
            <w:r>
              <w:rPr>
                <w:rFonts w:hint="eastAsia"/>
                <w:lang w:val="en-US" w:eastAsia="zh-CN"/>
              </w:rPr>
              <w:t>福马脚轮设计：脚轮与支架一体化设计，安全柜即可通过脚轮安全移动，也可以通过调节脚轮支脚进行固定和调平；</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1.7</w:t>
            </w:r>
          </w:p>
        </w:tc>
        <w:tc>
          <w:tcPr>
            <w:tcW w:w="3620" w:type="pct"/>
            <w:noWrap w:val="0"/>
            <w:vAlign w:val="top"/>
          </w:tcPr>
          <w:p>
            <w:pPr>
              <w:rPr>
                <w:rFonts w:hint="eastAsia"/>
                <w:lang w:val="en-US" w:eastAsia="zh-CN"/>
              </w:rPr>
            </w:pPr>
            <w:r>
              <w:rPr>
                <w:rFonts w:hint="eastAsia"/>
                <w:lang w:val="en-US" w:eastAsia="zh-CN"/>
              </w:rPr>
              <w:t>柜体和支架可分离，支架高度可根据实际情况订制修改；</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1.8</w:t>
            </w:r>
          </w:p>
        </w:tc>
        <w:tc>
          <w:tcPr>
            <w:tcW w:w="3620" w:type="pct"/>
            <w:noWrap w:val="0"/>
            <w:vAlign w:val="top"/>
          </w:tcPr>
          <w:p>
            <w:pPr>
              <w:rPr>
                <w:rFonts w:hint="eastAsia"/>
                <w:lang w:val="en-US" w:eastAsia="zh-CN"/>
              </w:rPr>
            </w:pPr>
            <w:r>
              <w:rPr>
                <w:rFonts w:hint="eastAsia"/>
                <w:lang w:val="en-US" w:eastAsia="zh-CN"/>
              </w:rPr>
              <w:t>合理的结构设计：安全柜过滤器和风机的维修、更换，都可在安全柜的前侧进行，单人即可更换，更加快捷；柜子底部四个垫块预留出搬抬空间，搬运更加安全方便。</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1.9</w:t>
            </w:r>
          </w:p>
        </w:tc>
        <w:tc>
          <w:tcPr>
            <w:tcW w:w="3620" w:type="pct"/>
            <w:noWrap w:val="0"/>
            <w:vAlign w:val="top"/>
          </w:tcPr>
          <w:p>
            <w:pPr>
              <w:rPr>
                <w:rFonts w:hint="eastAsia"/>
                <w:lang w:val="en-US" w:eastAsia="zh-CN"/>
              </w:rPr>
            </w:pPr>
            <w:r>
              <w:rPr>
                <w:rFonts w:hint="eastAsia"/>
                <w:lang w:val="en-US" w:eastAsia="zh-CN"/>
              </w:rPr>
              <w:t>前窗玻璃采用双层夹胶防爆安全玻璃；即使玻璃破损，也不会伤人，并且生物安全柜还能正常工作，直到实验结束，更好的保护了人员及实验的安全；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1.10</w:t>
            </w:r>
          </w:p>
        </w:tc>
        <w:tc>
          <w:tcPr>
            <w:tcW w:w="3620" w:type="pct"/>
            <w:noWrap w:val="0"/>
            <w:vAlign w:val="top"/>
          </w:tcPr>
          <w:p>
            <w:pPr>
              <w:rPr>
                <w:rFonts w:hint="eastAsia"/>
                <w:lang w:val="en-US" w:eastAsia="zh-CN"/>
              </w:rPr>
            </w:pPr>
            <w:r>
              <w:rPr>
                <w:rFonts w:hint="eastAsia"/>
                <w:lang w:val="en-US" w:eastAsia="zh-CN"/>
              </w:rPr>
              <w:t>LCD彩色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b/>
                <w:bCs/>
                <w:color w:val="000000"/>
                <w:sz w:val="20"/>
                <w:szCs w:val="20"/>
                <w:lang w:eastAsia="zh-CN"/>
              </w:rPr>
              <w:t>★</w:t>
            </w:r>
            <w:r>
              <w:rPr>
                <w:rFonts w:hint="eastAsia"/>
                <w:lang w:val="en-US" w:eastAsia="zh-CN"/>
              </w:rPr>
              <w:t>1.11</w:t>
            </w:r>
          </w:p>
        </w:tc>
        <w:tc>
          <w:tcPr>
            <w:tcW w:w="3620" w:type="pct"/>
            <w:noWrap w:val="0"/>
            <w:vAlign w:val="top"/>
          </w:tcPr>
          <w:p>
            <w:pPr>
              <w:rPr>
                <w:rFonts w:hint="eastAsia"/>
                <w:lang w:val="en-US" w:eastAsia="zh-CN"/>
              </w:rPr>
            </w:pPr>
            <w:r>
              <w:rPr>
                <w:rFonts w:hint="eastAsia"/>
                <w:lang w:val="en-US" w:eastAsia="zh-CN"/>
              </w:rPr>
              <w:t>脚踏电动、轻触按键、遥控电动三种方式灵活控制玻璃门升降，玻璃门升降到安全操作高度时，自动停止升降，使操作更加方便；且玻璃门升降时不用直接接触玻璃，使实验人员更安全；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1.12</w:t>
            </w:r>
          </w:p>
        </w:tc>
        <w:tc>
          <w:tcPr>
            <w:tcW w:w="3620" w:type="pct"/>
            <w:noWrap w:val="0"/>
            <w:vAlign w:val="top"/>
          </w:tcPr>
          <w:p>
            <w:pPr>
              <w:rPr>
                <w:rFonts w:hint="eastAsia"/>
                <w:lang w:val="en-US" w:eastAsia="zh-CN"/>
              </w:rPr>
            </w:pPr>
            <w:r>
              <w:rPr>
                <w:rFonts w:hint="eastAsia"/>
                <w:lang w:val="en-US" w:eastAsia="zh-CN"/>
              </w:rPr>
              <w:t>遥控控制：安全柜的所有按键操作，都可通过遥控控制实现，使安全柜的使用更加快捷方便；且遥控器的使用，大大减少了使用者与安全柜的直接接触，更加保护了使用者的人身安全；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1.13</w:t>
            </w:r>
          </w:p>
        </w:tc>
        <w:tc>
          <w:tcPr>
            <w:tcW w:w="3620" w:type="pct"/>
            <w:noWrap w:val="0"/>
            <w:vAlign w:val="top"/>
          </w:tcPr>
          <w:p>
            <w:pPr>
              <w:rPr>
                <w:rFonts w:hint="eastAsia"/>
                <w:lang w:val="en-US" w:eastAsia="zh-CN"/>
              </w:rPr>
            </w:pPr>
            <w:r>
              <w:rPr>
                <w:rFonts w:hint="eastAsia"/>
                <w:lang w:val="en-US" w:eastAsia="zh-CN"/>
              </w:rPr>
              <w:t>具有预约定时功能，能自动设定安全柜定时开机、关机及紫外灯消毒时间，大大节省了工作时间，提高了工作效率；</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1.14</w:t>
            </w:r>
          </w:p>
        </w:tc>
        <w:tc>
          <w:tcPr>
            <w:tcW w:w="3620" w:type="pct"/>
            <w:noWrap w:val="0"/>
            <w:vAlign w:val="top"/>
          </w:tcPr>
          <w:p>
            <w:pPr>
              <w:rPr>
                <w:rFonts w:hint="eastAsia"/>
                <w:lang w:val="en-US" w:eastAsia="zh-CN"/>
              </w:rPr>
            </w:pPr>
            <w:r>
              <w:rPr>
                <w:rFonts w:hint="eastAsia"/>
                <w:lang w:val="en-US" w:eastAsia="zh-CN"/>
              </w:rPr>
              <w:t>严格的气密性检测：安全柜内加压500Pa，保持10min后气压不低于450Pa。</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1.15</w:t>
            </w:r>
          </w:p>
        </w:tc>
        <w:tc>
          <w:tcPr>
            <w:tcW w:w="3620" w:type="pct"/>
            <w:noWrap w:val="0"/>
            <w:vAlign w:val="top"/>
          </w:tcPr>
          <w:p>
            <w:pPr>
              <w:rPr>
                <w:rFonts w:hint="eastAsia"/>
                <w:lang w:val="en-US" w:eastAsia="zh-CN"/>
              </w:rPr>
            </w:pPr>
            <w:r>
              <w:rPr>
                <w:rFonts w:hint="eastAsia"/>
                <w:lang w:val="en-US" w:eastAsia="zh-CN"/>
              </w:rPr>
              <w:t>前窗气流隔断设计：防止了气流通过前窗侧壁及上侧进行泄露，使试验更加安全；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1.16</w:t>
            </w:r>
          </w:p>
        </w:tc>
        <w:tc>
          <w:tcPr>
            <w:tcW w:w="3620" w:type="pct"/>
            <w:noWrap w:val="0"/>
            <w:vAlign w:val="top"/>
          </w:tcPr>
          <w:p>
            <w:pPr>
              <w:rPr>
                <w:rFonts w:hint="eastAsia"/>
                <w:lang w:val="en-US" w:eastAsia="zh-CN"/>
              </w:rPr>
            </w:pPr>
            <w:r>
              <w:rPr>
                <w:rFonts w:hint="eastAsia"/>
                <w:lang w:val="en-US" w:eastAsia="zh-CN"/>
              </w:rPr>
              <w:t>优良的风机选用：风机的电机当安全柜在正常运行而不调整电机的速度控制，经过滤器的风压下降50%时，风机的排气量下降不超过10%</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1.17</w:t>
            </w:r>
          </w:p>
        </w:tc>
        <w:tc>
          <w:tcPr>
            <w:tcW w:w="3620" w:type="pct"/>
            <w:noWrap w:val="0"/>
            <w:vAlign w:val="top"/>
          </w:tcPr>
          <w:p>
            <w:pPr>
              <w:rPr>
                <w:rFonts w:hint="eastAsia"/>
                <w:lang w:val="en-US" w:eastAsia="zh-CN"/>
              </w:rPr>
            </w:pPr>
            <w:r>
              <w:rPr>
                <w:rFonts w:hint="eastAsia"/>
                <w:lang w:val="en-US" w:eastAsia="zh-CN"/>
              </w:rPr>
              <w:t>完善的报警系统：</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1.17.1</w:t>
            </w:r>
          </w:p>
        </w:tc>
        <w:tc>
          <w:tcPr>
            <w:tcW w:w="3620" w:type="pct"/>
            <w:noWrap w:val="0"/>
            <w:vAlign w:val="top"/>
          </w:tcPr>
          <w:p>
            <w:pPr>
              <w:rPr>
                <w:rFonts w:hint="eastAsia"/>
                <w:lang w:val="en-US" w:eastAsia="zh-CN"/>
              </w:rPr>
            </w:pPr>
            <w:r>
              <w:rPr>
                <w:rFonts w:hint="eastAsia"/>
                <w:lang w:val="en-US" w:eastAsia="zh-CN"/>
              </w:rPr>
              <w:t>玻璃门不在安全高度报警：玻璃门安全高度为200mm，当安全柜前侧高于或低于安全高度时，安全柜会声光报警；</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1.17.2</w:t>
            </w:r>
          </w:p>
        </w:tc>
        <w:tc>
          <w:tcPr>
            <w:tcW w:w="3620" w:type="pct"/>
            <w:noWrap w:val="0"/>
            <w:vAlign w:val="top"/>
          </w:tcPr>
          <w:p>
            <w:pPr>
              <w:rPr>
                <w:rFonts w:hint="eastAsia"/>
                <w:lang w:val="en-US" w:eastAsia="zh-CN"/>
              </w:rPr>
            </w:pPr>
            <w:r>
              <w:rPr>
                <w:rFonts w:hint="eastAsia"/>
                <w:lang w:val="en-US" w:eastAsia="zh-CN"/>
              </w:rPr>
              <w:t>过滤器压力超高报警：当过滤器的阻力变大，安全柜会声光报警</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1.17.3</w:t>
            </w:r>
          </w:p>
        </w:tc>
        <w:tc>
          <w:tcPr>
            <w:tcW w:w="3620" w:type="pct"/>
            <w:noWrap w:val="0"/>
            <w:vAlign w:val="top"/>
          </w:tcPr>
          <w:p>
            <w:pPr>
              <w:rPr>
                <w:rFonts w:hint="eastAsia"/>
                <w:lang w:val="en-US" w:eastAsia="zh-CN"/>
              </w:rPr>
            </w:pPr>
            <w:r>
              <w:rPr>
                <w:rFonts w:hint="eastAsia"/>
                <w:lang w:val="en-US" w:eastAsia="zh-CN"/>
              </w:rPr>
              <w:t>过滤器失效更换报警：当过滤器寿命使用到期后，会有过滤器更换声光报警；</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1.17.4</w:t>
            </w:r>
          </w:p>
        </w:tc>
        <w:tc>
          <w:tcPr>
            <w:tcW w:w="3620" w:type="pct"/>
            <w:noWrap w:val="0"/>
            <w:vAlign w:val="top"/>
          </w:tcPr>
          <w:p>
            <w:pPr>
              <w:rPr>
                <w:rFonts w:hint="eastAsia"/>
                <w:lang w:val="en-US" w:eastAsia="zh-CN"/>
              </w:rPr>
            </w:pPr>
            <w:r>
              <w:rPr>
                <w:rFonts w:hint="eastAsia"/>
                <w:lang w:val="en-US" w:eastAsia="zh-CN"/>
              </w:rPr>
              <w:t>气流波动报警：当安全柜的气流波动超过标称值的20%时，声光报警，</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1.18</w:t>
            </w:r>
          </w:p>
        </w:tc>
        <w:tc>
          <w:tcPr>
            <w:tcW w:w="3620" w:type="pct"/>
            <w:noWrap w:val="0"/>
            <w:vAlign w:val="top"/>
          </w:tcPr>
          <w:p>
            <w:pPr>
              <w:rPr>
                <w:rFonts w:hint="eastAsia"/>
                <w:lang w:val="en-US" w:eastAsia="zh-CN"/>
              </w:rPr>
            </w:pPr>
            <w:r>
              <w:rPr>
                <w:rFonts w:hint="eastAsia"/>
                <w:lang w:val="en-US" w:eastAsia="zh-CN"/>
              </w:rPr>
              <w:t>安全的连锁保护设计：对误操作均设置连锁保护，即使误操作，也不会造成伤害</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1.18.1</w:t>
            </w:r>
          </w:p>
        </w:tc>
        <w:tc>
          <w:tcPr>
            <w:tcW w:w="3620" w:type="pct"/>
            <w:noWrap w:val="0"/>
            <w:vAlign w:val="top"/>
          </w:tcPr>
          <w:p>
            <w:pPr>
              <w:rPr>
                <w:rFonts w:hint="eastAsia"/>
                <w:lang w:val="en-US" w:eastAsia="zh-CN"/>
              </w:rPr>
            </w:pPr>
            <w:r>
              <w:rPr>
                <w:rFonts w:hint="eastAsia"/>
                <w:lang w:val="en-US" w:eastAsia="zh-CN"/>
              </w:rPr>
              <w:t>安全柜风机与玻璃门互锁：当安全柜玻璃门落到最底部时，安全柜风机自动关闭，更加保护了安全柜的使用，增加了安全柜的使用寿命</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1.18.2</w:t>
            </w:r>
          </w:p>
        </w:tc>
        <w:tc>
          <w:tcPr>
            <w:tcW w:w="3620" w:type="pct"/>
            <w:noWrap w:val="0"/>
            <w:vAlign w:val="top"/>
          </w:tcPr>
          <w:p>
            <w:pPr>
              <w:rPr>
                <w:rFonts w:hint="eastAsia"/>
                <w:lang w:val="en-US" w:eastAsia="zh-CN"/>
              </w:rPr>
            </w:pPr>
            <w:r>
              <w:rPr>
                <w:rFonts w:hint="eastAsia"/>
                <w:lang w:val="en-US" w:eastAsia="zh-CN"/>
              </w:rPr>
              <w:t>紫外灯与安全柜玻璃门、风机及照明灯互锁：当玻璃落到底部且照明灯不开启时，紫外灯才能开启，防止紫外灯误操作对人体造成危害，更加保护了人员的安全；</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1.19</w:t>
            </w:r>
          </w:p>
        </w:tc>
        <w:tc>
          <w:tcPr>
            <w:tcW w:w="3620" w:type="pct"/>
            <w:noWrap w:val="0"/>
            <w:vAlign w:val="top"/>
          </w:tcPr>
          <w:p>
            <w:pPr>
              <w:rPr>
                <w:rFonts w:hint="eastAsia"/>
                <w:lang w:val="en-US" w:eastAsia="zh-CN"/>
              </w:rPr>
            </w:pPr>
            <w:r>
              <w:rPr>
                <w:rFonts w:hint="eastAsia"/>
                <w:lang w:val="en-US" w:eastAsia="zh-CN"/>
              </w:rPr>
              <w:t>前窗关闭双重触发信号，使紫外灯杀菌消毒功能正常开启；</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b/>
                <w:bCs/>
                <w:color w:val="000000"/>
                <w:sz w:val="20"/>
                <w:szCs w:val="20"/>
                <w:lang w:eastAsia="zh-CN"/>
              </w:rPr>
              <w:t>★</w:t>
            </w:r>
            <w:r>
              <w:rPr>
                <w:rFonts w:hint="eastAsia"/>
                <w:lang w:val="en-US" w:eastAsia="zh-CN"/>
              </w:rPr>
              <w:t>1.20</w:t>
            </w:r>
          </w:p>
        </w:tc>
        <w:tc>
          <w:tcPr>
            <w:tcW w:w="3620" w:type="pct"/>
            <w:noWrap w:val="0"/>
            <w:vAlign w:val="top"/>
          </w:tcPr>
          <w:p>
            <w:pPr>
              <w:rPr>
                <w:rFonts w:hint="eastAsia"/>
                <w:lang w:val="en-US" w:eastAsia="zh-CN"/>
              </w:rPr>
            </w:pPr>
            <w:r>
              <w:rPr>
                <w:rFonts w:hint="eastAsia"/>
                <w:lang w:val="en-US" w:eastAsia="zh-CN"/>
              </w:rPr>
              <w:t>负压风道设有异物过滤结构，防止纸屑等异物进入风机系统影响产品正常运行；</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3620" w:type="pct"/>
            <w:noWrap w:val="0"/>
            <w:vAlign w:val="center"/>
          </w:tcPr>
          <w:p>
            <w:pPr>
              <w:rPr>
                <w:rFonts w:hint="eastAsia" w:ascii="Times New Roman" w:hAnsi="Times New Roman" w:eastAsia="宋体" w:cs="Times New Roman"/>
                <w:kern w:val="2"/>
                <w:sz w:val="21"/>
                <w:szCs w:val="24"/>
                <w:lang w:val="en-US" w:eastAsia="zh-CN" w:bidi="ar-SA"/>
              </w:rPr>
            </w:pPr>
            <w:r>
              <w:rPr>
                <w:rFonts w:hint="eastAsia"/>
              </w:rPr>
              <w:t>配置</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2.1</w:t>
            </w:r>
          </w:p>
        </w:tc>
        <w:tc>
          <w:tcPr>
            <w:tcW w:w="3620" w:type="pct"/>
            <w:noWrap w:val="0"/>
            <w:vAlign w:val="center"/>
          </w:tcPr>
          <w:p>
            <w:pPr>
              <w:rPr>
                <w:rFonts w:hint="eastAsia" w:ascii="Times New Roman" w:hAnsi="Times New Roman" w:eastAsia="宋体" w:cs="Times New Roman"/>
                <w:kern w:val="2"/>
                <w:sz w:val="21"/>
                <w:szCs w:val="24"/>
                <w:lang w:val="en-US" w:eastAsia="zh-CN" w:bidi="ar-SA"/>
              </w:rPr>
            </w:pPr>
            <w:r>
              <w:rPr>
                <w:rFonts w:hint="eastAsia"/>
              </w:rPr>
              <w:t>数量：</w:t>
            </w:r>
            <w:r>
              <w:rPr>
                <w:rFonts w:hint="eastAsia"/>
                <w:lang w:val="en-US" w:eastAsia="zh-CN"/>
              </w:rPr>
              <w:t>2</w:t>
            </w:r>
            <w:r>
              <w:rPr>
                <w:rFonts w:hint="eastAsia"/>
              </w:rPr>
              <w:t>套</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2.2</w:t>
            </w:r>
          </w:p>
        </w:tc>
        <w:tc>
          <w:tcPr>
            <w:tcW w:w="3620" w:type="pct"/>
            <w:noWrap w:val="0"/>
            <w:vAlign w:val="center"/>
          </w:tcPr>
          <w:p>
            <w:pPr>
              <w:rPr>
                <w:rFonts w:hint="eastAsia" w:ascii="Times New Roman" w:hAnsi="Times New Roman" w:eastAsia="宋体" w:cs="Times New Roman"/>
                <w:kern w:val="2"/>
                <w:sz w:val="21"/>
                <w:szCs w:val="24"/>
                <w:lang w:val="en-US" w:eastAsia="zh-CN" w:bidi="ar-SA"/>
              </w:rPr>
            </w:pPr>
            <w:r>
              <w:rPr>
                <w:rFonts w:hint="eastAsia"/>
              </w:rPr>
              <w:t>每套设备含主机</w:t>
            </w:r>
            <w:r>
              <w:rPr>
                <w:rFonts w:hint="eastAsia"/>
                <w:lang w:val="en-US" w:eastAsia="zh-CN"/>
              </w:rPr>
              <w:t>:2台</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2.3</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底座2套</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2.4</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内风机4台</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2.5</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送风过滤器2套</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2.6</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排风过滤器2套</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2.7</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国标插座4个</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2.8</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遥控器2件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2.9</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脚踏开关2件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2.10</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紫外灯2件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2.11</w:t>
            </w:r>
          </w:p>
        </w:tc>
        <w:tc>
          <w:tcPr>
            <w:tcW w:w="3620" w:type="pct"/>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照明灯4件</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三</w:t>
            </w:r>
          </w:p>
        </w:tc>
        <w:tc>
          <w:tcPr>
            <w:tcW w:w="3620" w:type="pct"/>
            <w:noWrap w:val="0"/>
            <w:vAlign w:val="center"/>
          </w:tcPr>
          <w:p>
            <w:pPr>
              <w:rPr>
                <w:rFonts w:hint="eastAsia"/>
                <w:lang w:val="en-US" w:eastAsia="zh-CN"/>
              </w:rPr>
            </w:pPr>
            <w:r>
              <w:rPr>
                <w:rFonts w:hint="eastAsia"/>
              </w:rPr>
              <w:t>其他</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1</w:t>
            </w:r>
          </w:p>
        </w:tc>
        <w:tc>
          <w:tcPr>
            <w:tcW w:w="3620" w:type="pct"/>
            <w:noWrap w:val="0"/>
            <w:vAlign w:val="center"/>
          </w:tcPr>
          <w:p>
            <w:pPr>
              <w:rPr>
                <w:rFonts w:hint="eastAsia"/>
                <w:lang w:val="en-US" w:eastAsia="zh-CN"/>
              </w:rPr>
            </w:pPr>
            <w:r>
              <w:rPr>
                <w:rFonts w:hint="eastAsia"/>
              </w:rPr>
              <w:t>投标产品验收合格后保修≥</w:t>
            </w:r>
            <w:r>
              <w:rPr>
                <w:rFonts w:hint="eastAsia"/>
                <w:lang w:val="en-US" w:eastAsia="zh-CN"/>
              </w:rPr>
              <w:t>3</w:t>
            </w:r>
            <w:r>
              <w:rPr>
                <w:rFonts w:hint="eastAsia"/>
              </w:rPr>
              <w:t>年，投标时提供制造商原厂保修证明。整机终生免费提供软件功能升级服务，并及时提供设备新功能和临床应用的资料。零配件在该设备停产后仍需保证10年的供应。。</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2</w:t>
            </w:r>
          </w:p>
        </w:tc>
        <w:tc>
          <w:tcPr>
            <w:tcW w:w="3620" w:type="pct"/>
            <w:noWrap w:val="0"/>
            <w:vAlign w:val="center"/>
          </w:tcPr>
          <w:p>
            <w:pPr>
              <w:rPr>
                <w:rFonts w:hint="eastAsia"/>
                <w:lang w:val="en-US" w:eastAsia="zh-CN"/>
              </w:rPr>
            </w:pPr>
            <w:r>
              <w:rPr>
                <w:rFonts w:hint="eastAsia"/>
              </w:rPr>
              <w:t>报出保后每套设备的年保修价格（允许非连保），不含在投标总价中，今后医院购买保修，制造商承诺不得高于此价格。</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3</w:t>
            </w:r>
          </w:p>
        </w:tc>
        <w:tc>
          <w:tcPr>
            <w:tcW w:w="3620" w:type="pct"/>
            <w:noWrap w:val="0"/>
            <w:vAlign w:val="center"/>
          </w:tcPr>
          <w:p>
            <w:pPr>
              <w:rPr>
                <w:rFonts w:hint="eastAsia"/>
                <w:lang w:val="en-US" w:eastAsia="zh-CN"/>
              </w:rPr>
            </w:pPr>
            <w:r>
              <w:rPr>
                <w:rFonts w:hint="eastAsia"/>
              </w:rPr>
              <w:t>合同签订后45天内到货，货物必须是</w:t>
            </w:r>
            <w:r>
              <w:rPr>
                <w:rFonts w:hint="eastAsia"/>
                <w:lang w:eastAsia="zh-CN"/>
              </w:rPr>
              <w:t>距投标日</w:t>
            </w:r>
            <w:r>
              <w:rPr>
                <w:rFonts w:hint="eastAsia"/>
                <w:lang w:val="en-US" w:eastAsia="zh-CN"/>
              </w:rPr>
              <w:t>10个月内</w:t>
            </w:r>
            <w:r>
              <w:rPr>
                <w:rFonts w:hint="eastAsia"/>
              </w:rPr>
              <w:t>生产。</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4</w:t>
            </w:r>
          </w:p>
        </w:tc>
        <w:tc>
          <w:tcPr>
            <w:tcW w:w="3620" w:type="pct"/>
            <w:noWrap w:val="0"/>
            <w:vAlign w:val="center"/>
          </w:tcPr>
          <w:p>
            <w:pPr>
              <w:rPr>
                <w:rFonts w:hint="eastAsia"/>
                <w:lang w:val="en-US" w:eastAsia="zh-CN"/>
              </w:rPr>
            </w:pPr>
            <w:r>
              <w:rPr>
                <w:rFonts w:hint="eastAsia"/>
              </w:rPr>
              <w:t>投标产品使用寿命≥</w:t>
            </w:r>
            <w:r>
              <w:rPr>
                <w:rFonts w:hint="eastAsia"/>
                <w:lang w:val="en-US" w:eastAsia="zh-CN"/>
              </w:rPr>
              <w:t>5</w:t>
            </w:r>
            <w:r>
              <w:rPr>
                <w:rFonts w:hint="eastAsia"/>
              </w:rPr>
              <w:t>年，投标时须提供证明材料（依据注册证或说明书或产品铭牌照片）</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5</w:t>
            </w:r>
          </w:p>
        </w:tc>
        <w:tc>
          <w:tcPr>
            <w:tcW w:w="3620" w:type="pct"/>
            <w:noWrap w:val="0"/>
            <w:vAlign w:val="center"/>
          </w:tcPr>
          <w:p>
            <w:pPr>
              <w:rPr>
                <w:rFonts w:hint="eastAsia"/>
                <w:lang w:val="en-US" w:eastAsia="zh-CN"/>
              </w:rPr>
            </w:pPr>
            <w:r>
              <w:rPr>
                <w:rFonts w:hint="eastAsia"/>
              </w:rPr>
              <w:t>保修期内，除一次性耗材，易耗品外其他维修部件全部免费提供，投标时列明一次性耗材、易耗品清单及价格，未列明的视为免费提供。</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6</w:t>
            </w:r>
          </w:p>
        </w:tc>
        <w:tc>
          <w:tcPr>
            <w:tcW w:w="3620" w:type="pct"/>
            <w:noWrap w:val="0"/>
            <w:vAlign w:val="center"/>
          </w:tcPr>
          <w:p>
            <w:pPr>
              <w:rPr>
                <w:rFonts w:hint="eastAsia"/>
                <w:lang w:val="en-US" w:eastAsia="zh-CN"/>
              </w:rPr>
            </w:pPr>
            <w:r>
              <w:rPr>
                <w:rFonts w:hint="eastAsia"/>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7</w:t>
            </w:r>
          </w:p>
        </w:tc>
        <w:tc>
          <w:tcPr>
            <w:tcW w:w="3620" w:type="pct"/>
            <w:noWrap w:val="0"/>
            <w:vAlign w:val="center"/>
          </w:tcPr>
          <w:p>
            <w:pPr>
              <w:rPr>
                <w:rFonts w:hint="eastAsia"/>
                <w:lang w:val="en-US" w:eastAsia="zh-CN"/>
              </w:rPr>
            </w:pPr>
            <w:r>
              <w:rPr>
                <w:rFonts w:hint="eastAsia"/>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rPr>
            </w:pPr>
            <w:r>
              <w:rPr>
                <w:rFonts w:hint="eastAsia"/>
              </w:rPr>
              <w:t>8</w:t>
            </w:r>
          </w:p>
          <w:p>
            <w:pPr>
              <w:jc w:val="center"/>
              <w:rPr>
                <w:rFonts w:hint="eastAsia"/>
                <w:lang w:val="en-US" w:eastAsia="zh-CN"/>
              </w:rPr>
            </w:pPr>
          </w:p>
        </w:tc>
        <w:tc>
          <w:tcPr>
            <w:tcW w:w="3620" w:type="pct"/>
            <w:noWrap w:val="0"/>
            <w:vAlign w:val="center"/>
          </w:tcPr>
          <w:p>
            <w:pPr>
              <w:rPr>
                <w:rFonts w:hint="eastAsia"/>
                <w:lang w:val="en-US" w:eastAsia="zh-CN"/>
              </w:rPr>
            </w:pPr>
            <w:r>
              <w:rPr>
                <w:rFonts w:hint="eastAsia"/>
              </w:rPr>
              <w:t>质保期内每年每套设备故障率均不得超过14天，每超过一天该设备质保期相应延长10天。</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9</w:t>
            </w:r>
          </w:p>
        </w:tc>
        <w:tc>
          <w:tcPr>
            <w:tcW w:w="3620" w:type="pct"/>
            <w:noWrap w:val="0"/>
            <w:vAlign w:val="center"/>
          </w:tcPr>
          <w:p>
            <w:pPr>
              <w:rPr>
                <w:rFonts w:hint="eastAsia"/>
                <w:lang w:val="en-US" w:eastAsia="zh-CN"/>
              </w:rPr>
            </w:pPr>
            <w:r>
              <w:rPr>
                <w:rFonts w:hint="eastAsia"/>
              </w:rPr>
              <w:t>提供原厂DATASHEET</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10</w:t>
            </w:r>
          </w:p>
        </w:tc>
        <w:tc>
          <w:tcPr>
            <w:tcW w:w="3620" w:type="pct"/>
            <w:noWrap w:val="0"/>
            <w:vAlign w:val="center"/>
          </w:tcPr>
          <w:p>
            <w:pPr>
              <w:rPr>
                <w:rFonts w:hint="eastAsia"/>
                <w:lang w:val="en-US" w:eastAsia="zh-CN"/>
              </w:rPr>
            </w:pPr>
            <w:r>
              <w:rPr>
                <w:rFonts w:hint="eastAsia"/>
              </w:rPr>
              <w:t>设备安装、调试</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10.1</w:t>
            </w:r>
          </w:p>
        </w:tc>
        <w:tc>
          <w:tcPr>
            <w:tcW w:w="3620" w:type="pct"/>
            <w:noWrap w:val="0"/>
            <w:vAlign w:val="center"/>
          </w:tcPr>
          <w:p>
            <w:pPr>
              <w:rPr>
                <w:rFonts w:hint="eastAsia"/>
                <w:lang w:val="en-US" w:eastAsia="zh-CN"/>
              </w:rPr>
            </w:pPr>
            <w:r>
              <w:rPr>
                <w:rFonts w:hint="eastAsia"/>
              </w:rPr>
              <w:t>安装地点：采购单位指定位置。</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10.2</w:t>
            </w:r>
          </w:p>
        </w:tc>
        <w:tc>
          <w:tcPr>
            <w:tcW w:w="3620" w:type="pct"/>
            <w:noWrap w:val="0"/>
            <w:vAlign w:val="center"/>
          </w:tcPr>
          <w:p>
            <w:pPr>
              <w:rPr>
                <w:rFonts w:hint="eastAsia"/>
                <w:lang w:val="en-US" w:eastAsia="zh-CN"/>
              </w:rPr>
            </w:pPr>
            <w:r>
              <w:rPr>
                <w:rFonts w:hint="eastAsia"/>
              </w:rPr>
              <w:t>安装完成时间：投标方应在投标文件中明确正常完成安装调试的时间期限，并提供超出期限情况下投标方对因此给买方造成损失的赔偿计划。</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10.3</w:t>
            </w:r>
          </w:p>
        </w:tc>
        <w:tc>
          <w:tcPr>
            <w:tcW w:w="3620" w:type="pct"/>
            <w:noWrap w:val="0"/>
            <w:vAlign w:val="center"/>
          </w:tcPr>
          <w:p>
            <w:pPr>
              <w:rPr>
                <w:rFonts w:hint="eastAsia"/>
                <w:lang w:val="en-US" w:eastAsia="zh-CN"/>
              </w:rPr>
            </w:pPr>
            <w:r>
              <w:rPr>
                <w:rFonts w:hint="eastAsia"/>
              </w:rPr>
              <w:t>安装标准：符合中华人民共和国国家有关技术规范要求和技术标准。所有的软件和硬件必须保证同时安装到位。</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10.4</w:t>
            </w:r>
          </w:p>
        </w:tc>
        <w:tc>
          <w:tcPr>
            <w:tcW w:w="3620" w:type="pct"/>
            <w:noWrap w:val="0"/>
            <w:vAlign w:val="center"/>
          </w:tcPr>
          <w:p>
            <w:pPr>
              <w:rPr>
                <w:rFonts w:hint="eastAsia"/>
                <w:lang w:val="en-US" w:eastAsia="zh-CN"/>
              </w:rPr>
            </w:pPr>
            <w:r>
              <w:rPr>
                <w:rFonts w:hint="eastAsia"/>
              </w:rPr>
              <w:t>安装费用：安装过程中发生的费用（含检测、耗材等）由卖方负责。投标方应在投标文件中提供其安装调试计划和对安装场地和环境的要求。</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10.5</w:t>
            </w:r>
          </w:p>
        </w:tc>
        <w:tc>
          <w:tcPr>
            <w:tcW w:w="3620" w:type="pct"/>
            <w:noWrap w:val="0"/>
            <w:vAlign w:val="center"/>
          </w:tcPr>
          <w:p>
            <w:pPr>
              <w:rPr>
                <w:rFonts w:hint="eastAsia"/>
                <w:lang w:val="en-US" w:eastAsia="zh-CN"/>
              </w:rPr>
            </w:pPr>
            <w:r>
              <w:rPr>
                <w:rFonts w:hint="eastAsia"/>
              </w:rPr>
              <w:t>安装人员：应由中标方有三台以上（含）同类型设备安装经验的原厂工程师负责安装。</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rPr>
                <w:rFonts w:hint="eastAsia"/>
                <w:lang w:val="en-US" w:eastAsia="zh-CN"/>
              </w:rPr>
            </w:pPr>
            <w:r>
              <w:rPr>
                <w:rFonts w:hint="eastAsia"/>
              </w:rPr>
              <w:t>11</w:t>
            </w:r>
          </w:p>
        </w:tc>
        <w:tc>
          <w:tcPr>
            <w:tcW w:w="3620" w:type="pct"/>
            <w:noWrap w:val="0"/>
            <w:vAlign w:val="center"/>
          </w:tcPr>
          <w:p>
            <w:pPr>
              <w:rPr>
                <w:rFonts w:hint="eastAsia"/>
                <w:lang w:val="en-US" w:eastAsia="zh-CN"/>
              </w:rPr>
            </w:pPr>
            <w:r>
              <w:rPr>
                <w:rFonts w:hint="eastAsia"/>
              </w:rPr>
              <w:t>培训</w:t>
            </w:r>
          </w:p>
        </w:tc>
        <w:tc>
          <w:tcPr>
            <w:tcW w:w="676" w:type="pct"/>
            <w:noWrap w:val="0"/>
            <w:vAlign w:val="center"/>
          </w:tcPr>
          <w:p>
            <w:pP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11.1</w:t>
            </w:r>
          </w:p>
        </w:tc>
        <w:tc>
          <w:tcPr>
            <w:tcW w:w="3620" w:type="pct"/>
            <w:noWrap w:val="0"/>
            <w:vAlign w:val="center"/>
          </w:tcPr>
          <w:p>
            <w:r>
              <w:rPr>
                <w:rFonts w:hint="eastAsia"/>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11.2</w:t>
            </w:r>
          </w:p>
        </w:tc>
        <w:tc>
          <w:tcPr>
            <w:tcW w:w="3620" w:type="pct"/>
            <w:noWrap w:val="0"/>
            <w:vAlign w:val="center"/>
          </w:tcPr>
          <w:p>
            <w:r>
              <w:rPr>
                <w:rFonts w:hint="eastAsia"/>
              </w:rPr>
              <w:t>中标方应对买方的操作人员进行培训并承担所有费用。</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11.3</w:t>
            </w:r>
          </w:p>
        </w:tc>
        <w:tc>
          <w:tcPr>
            <w:tcW w:w="3620" w:type="pct"/>
            <w:noWrap w:val="0"/>
            <w:vAlign w:val="center"/>
          </w:tcPr>
          <w:p>
            <w:r>
              <w:rPr>
                <w:rFonts w:hint="eastAsia"/>
              </w:rPr>
              <w:t>培训完成后，中标方须提供详细培训记录，培训记录应有培训内容、参加人员（签字）、培训地点、培训时间以及操作人员考核情况。</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12</w:t>
            </w:r>
          </w:p>
        </w:tc>
        <w:tc>
          <w:tcPr>
            <w:tcW w:w="3620" w:type="pct"/>
            <w:noWrap w:val="0"/>
            <w:vAlign w:val="center"/>
          </w:tcPr>
          <w:p>
            <w:r>
              <w:rPr>
                <w:rFonts w:hint="eastAsia"/>
              </w:rPr>
              <w:t>验收</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12.1</w:t>
            </w:r>
          </w:p>
        </w:tc>
        <w:tc>
          <w:tcPr>
            <w:tcW w:w="3620" w:type="pct"/>
            <w:noWrap w:val="0"/>
            <w:vAlign w:val="center"/>
          </w:tcPr>
          <w:p>
            <w:r>
              <w:rPr>
                <w:rFonts w:hint="eastAsia"/>
              </w:rPr>
              <w:t>投标方在投标时应提供设备的验收标准、安装技术规范，供买方参考。</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12.2</w:t>
            </w:r>
          </w:p>
        </w:tc>
        <w:tc>
          <w:tcPr>
            <w:tcW w:w="3620" w:type="pct"/>
            <w:noWrap w:val="0"/>
            <w:vAlign w:val="center"/>
          </w:tcPr>
          <w:p>
            <w:r>
              <w:rPr>
                <w:rFonts w:hint="eastAsia"/>
              </w:rPr>
              <w:t>验收依据：按投标文件、招标文件及国家标准验收。</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12.3</w:t>
            </w:r>
          </w:p>
        </w:tc>
        <w:tc>
          <w:tcPr>
            <w:tcW w:w="3620" w:type="pct"/>
            <w:noWrap w:val="0"/>
            <w:vAlign w:val="center"/>
          </w:tcPr>
          <w:p>
            <w:pPr>
              <w:rPr>
                <w:rFonts w:hint="eastAsia"/>
              </w:rPr>
            </w:pPr>
            <w:r>
              <w:rPr>
                <w:rFonts w:hint="eastAsia"/>
              </w:rPr>
              <w:t>验收时，投标人提供下列资料：</w:t>
            </w:r>
          </w:p>
          <w:p>
            <w:r>
              <w:rPr>
                <w:rFonts w:hint="eastAsia"/>
              </w:rPr>
              <w:t>提供三证，完整的中英文技术资料，包括操作手册</w:t>
            </w:r>
            <w:r>
              <w:rPr>
                <w:rFonts w:hint="eastAsia"/>
                <w:lang w:val="en-US" w:eastAsia="zh-CN"/>
              </w:rPr>
              <w:t>1</w:t>
            </w:r>
            <w:r>
              <w:rPr>
                <w:rFonts w:hint="eastAsia"/>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12.4</w:t>
            </w:r>
          </w:p>
        </w:tc>
        <w:tc>
          <w:tcPr>
            <w:tcW w:w="3620" w:type="pct"/>
            <w:noWrap w:val="0"/>
            <w:vAlign w:val="center"/>
          </w:tcPr>
          <w:p>
            <w:r>
              <w:rPr>
                <w:rFonts w:hint="eastAsia"/>
              </w:rPr>
              <w:t>设备到达最终用户后，要求卖方及安装人员会同买方共同参与设备验收。设备安装调试后，卖方负责安装质量，并经验收合格后，买卖双方共同签署设备验收合格证书。</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12.5</w:t>
            </w:r>
          </w:p>
        </w:tc>
        <w:tc>
          <w:tcPr>
            <w:tcW w:w="3620" w:type="pct"/>
            <w:noWrap w:val="0"/>
            <w:vAlign w:val="center"/>
          </w:tcPr>
          <w:p>
            <w:r>
              <w:rPr>
                <w:rFonts w:hint="eastAsia"/>
              </w:rPr>
              <w:t>验收过程中发现货物性能或功能达不到要求，卖方必须更换有关部件，使货物最终达到规定的性能指标和功能要求，但必须在发现问题后15个工作日内完成。</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12.6</w:t>
            </w:r>
          </w:p>
        </w:tc>
        <w:tc>
          <w:tcPr>
            <w:tcW w:w="3620" w:type="pct"/>
            <w:noWrap w:val="0"/>
            <w:vAlign w:val="center"/>
          </w:tcPr>
          <w:p>
            <w:r>
              <w:rPr>
                <w:rFonts w:hint="eastAsia"/>
              </w:rPr>
              <w:t>所有验收相关费用由产品中标方负担</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13</w:t>
            </w:r>
          </w:p>
        </w:tc>
        <w:tc>
          <w:tcPr>
            <w:tcW w:w="3620" w:type="pct"/>
            <w:noWrap w:val="0"/>
            <w:vAlign w:val="center"/>
          </w:tcPr>
          <w:p>
            <w:r>
              <w:rPr>
                <w:rFonts w:hint="eastAsia"/>
              </w:rPr>
              <w:t>付款方式和条件</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13.1</w:t>
            </w:r>
          </w:p>
        </w:tc>
        <w:tc>
          <w:tcPr>
            <w:tcW w:w="3620" w:type="pct"/>
            <w:noWrap w:val="0"/>
            <w:vAlign w:val="center"/>
          </w:tcPr>
          <w:p>
            <w:pPr>
              <w:rPr>
                <w:rFonts w:hint="eastAsia"/>
                <w:lang w:val="zh-CN" w:eastAsia="zh-CN"/>
              </w:rPr>
            </w:pPr>
            <w:r>
              <w:rPr>
                <w:rFonts w:hint="eastAsia"/>
                <w:lang w:val="zh-CN" w:eastAsia="zh-CN"/>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r>
              <w:rPr>
                <w:rFonts w:hint="eastAsia"/>
                <w:lang w:val="zh-CN" w:eastAsia="zh-CN"/>
              </w:rPr>
              <w:t>对非中小微企业中标的，项目全部货款在项目全部验收合格并收到中标人发票后的7个工作日内支付给中标人。</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13.2</w:t>
            </w:r>
          </w:p>
        </w:tc>
        <w:tc>
          <w:tcPr>
            <w:tcW w:w="3620" w:type="pct"/>
            <w:noWrap w:val="0"/>
            <w:vAlign w:val="center"/>
          </w:tcPr>
          <w:p>
            <w:r>
              <w:rPr>
                <w:rFonts w:hint="eastAsia"/>
              </w:rPr>
              <w:t>投标商按合同开具多张发票的，额度应大于等于投标单台设备价格，且发票号需连续不中断。</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14</w:t>
            </w:r>
          </w:p>
        </w:tc>
        <w:tc>
          <w:tcPr>
            <w:tcW w:w="3620" w:type="pct"/>
            <w:noWrap w:val="0"/>
            <w:vAlign w:val="center"/>
          </w:tcPr>
          <w:p>
            <w:r>
              <w:rPr>
                <w:rFonts w:hint="eastAsia"/>
              </w:rPr>
              <w:t>延期交货罚款：延期交货每7天，按合同总价的0.5%支付迟交违约金，不足7天按7天计，依次累计，最高罚款为合同总价的5%。</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15</w:t>
            </w:r>
          </w:p>
        </w:tc>
        <w:tc>
          <w:tcPr>
            <w:tcW w:w="3620" w:type="pct"/>
            <w:noWrap w:val="0"/>
            <w:vAlign w:val="center"/>
          </w:tcPr>
          <w:p>
            <w:r>
              <w:rPr>
                <w:rFonts w:hint="eastAsia"/>
              </w:rPr>
              <w:t>保密：招投标及合同中凡涉及买方项目的有关信息，不得透露给第三方。</w:t>
            </w:r>
          </w:p>
        </w:tc>
        <w:tc>
          <w:tcPr>
            <w:tcW w:w="676" w:type="pct"/>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703" w:type="pct"/>
            <w:noWrap w:val="0"/>
            <w:vAlign w:val="center"/>
          </w:tcPr>
          <w:p>
            <w:pPr>
              <w:jc w:val="center"/>
            </w:pPr>
            <w:r>
              <w:rPr>
                <w:rFonts w:hint="eastAsia"/>
              </w:rPr>
              <w:t>16</w:t>
            </w:r>
          </w:p>
        </w:tc>
        <w:tc>
          <w:tcPr>
            <w:tcW w:w="3620" w:type="pct"/>
            <w:noWrap w:val="0"/>
            <w:vAlign w:val="center"/>
          </w:tcPr>
          <w:p>
            <w:r>
              <w:rPr>
                <w:rFonts w:hint="eastAsia"/>
              </w:rPr>
              <w:t>货物购销合同签订的同时，双方须签订廉洁购销合同</w:t>
            </w:r>
          </w:p>
        </w:tc>
        <w:tc>
          <w:tcPr>
            <w:tcW w:w="676" w:type="pct"/>
            <w:noWrap w:val="0"/>
            <w:vAlign w:val="center"/>
          </w:tcPr>
          <w:p/>
        </w:tc>
      </w:tr>
    </w:tbl>
    <w:p>
      <w:pPr>
        <w:snapToGrid w:val="0"/>
        <w:spacing w:line="360" w:lineRule="auto"/>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评分细则</w:t>
      </w:r>
    </w:p>
    <w:tbl>
      <w:tblPr>
        <w:tblStyle w:val="11"/>
        <w:tblpPr w:leftFromText="180" w:rightFromText="180" w:vertAnchor="text" w:horzAnchor="page" w:tblpX="1259" w:tblpY="464"/>
        <w:tblOverlap w:val="never"/>
        <w:tblW w:w="93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评定项目</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4945" w:type="dxa"/>
            <w:noWrap w:val="0"/>
            <w:vAlign w:val="center"/>
          </w:tcPr>
          <w:p>
            <w:pPr>
              <w:ind w:left="105" w:leftChars="50" w:right="10" w:rightChars="5"/>
              <w:jc w:val="center"/>
              <w:rPr>
                <w:rFonts w:hint="eastAsia" w:ascii="宋体" w:hAnsi="宋体" w:eastAsia="宋体" w:cs="宋体"/>
                <w:sz w:val="21"/>
                <w:szCs w:val="21"/>
              </w:rPr>
            </w:pPr>
            <w:r>
              <w:rPr>
                <w:rFonts w:hint="eastAsia" w:ascii="宋体" w:hAnsi="宋体" w:eastAsia="宋体" w:cs="宋体"/>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对应于招标文件设备技术规格及配置的偏离度</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与招标文件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货物技术规格及配置、商务要求对比，一项指标负偏离扣1分，标注★的指标</w:t>
            </w:r>
            <w:r>
              <w:rPr>
                <w:rFonts w:hint="eastAsia" w:ascii="宋体" w:hAnsi="宋体" w:eastAsia="宋体" w:cs="宋体"/>
                <w:color w:val="auto"/>
                <w:sz w:val="21"/>
                <w:szCs w:val="21"/>
                <w:highlight w:val="none"/>
                <w:lang w:eastAsia="zh-CN"/>
              </w:rPr>
              <w:t>负</w:t>
            </w:r>
            <w:r>
              <w:rPr>
                <w:rFonts w:hint="eastAsia" w:ascii="宋体" w:hAnsi="宋体" w:eastAsia="宋体" w:cs="宋体"/>
                <w:color w:val="auto"/>
                <w:sz w:val="21"/>
                <w:szCs w:val="21"/>
                <w:highlight w:val="none"/>
              </w:rPr>
              <w:t>偏离每项扣4分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投标设备配套的合理性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投标设备技术指标的先进性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投标机型的档次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运行成本</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保修服务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lang w:eastAsia="zh-CN"/>
              </w:rPr>
              <w:t>设备</w:t>
            </w:r>
            <w:r>
              <w:rPr>
                <w:rFonts w:hint="eastAsia" w:ascii="宋体" w:hAnsi="宋体" w:eastAsia="宋体" w:cs="宋体"/>
                <w:sz w:val="21"/>
                <w:szCs w:val="21"/>
              </w:rPr>
              <w:t>保修期超过招标文件要求的，每增加1年加1分</w:t>
            </w:r>
            <w:r>
              <w:rPr>
                <w:rFonts w:hint="eastAsia" w:ascii="宋体" w:hAnsi="宋体" w:eastAsia="宋体" w:cs="宋体"/>
                <w:sz w:val="21"/>
                <w:szCs w:val="21"/>
                <w:lang w:val="en-US" w:eastAsia="zh-CN"/>
              </w:rPr>
              <w:t>，</w:t>
            </w:r>
            <w:r>
              <w:rPr>
                <w:rFonts w:hint="eastAsia" w:ascii="宋体" w:hAnsi="宋体" w:eastAsia="宋体" w:cs="宋体"/>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19</w:t>
            </w:r>
            <w:r>
              <w:rPr>
                <w:rFonts w:hint="eastAsia" w:ascii="宋体" w:hAnsi="宋体" w:eastAsia="宋体" w:cs="宋体"/>
                <w:sz w:val="21"/>
                <w:szCs w:val="21"/>
              </w:rPr>
              <w:t>年1月1日起至今与最终用户签订的投标机型合同复印件，每份有效合同得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945"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（厂家在温州市或者浙江省内有常驻维修服务点和维修工程师得</w:t>
            </w:r>
            <w:r>
              <w:rPr>
                <w:rFonts w:hint="eastAsia" w:ascii="宋体" w:hAnsi="宋体" w:eastAsia="宋体" w:cs="宋体"/>
                <w:sz w:val="21"/>
                <w:szCs w:val="21"/>
                <w:lang w:val="en-US" w:eastAsia="zh-CN"/>
              </w:rPr>
              <w:t>1分，代理商有维修服务人员得1分，承诺接用户报修后二十四小时内维修人员能到场维修的得1分</w:t>
            </w:r>
          </w:p>
        </w:tc>
      </w:tr>
    </w:tbl>
    <w:p>
      <w:pPr>
        <w:spacing w:line="360" w:lineRule="auto"/>
        <w:ind w:firstLine="457" w:firstLineChars="196"/>
        <w:rPr>
          <w:rStyle w:val="14"/>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p>
      <w:pPr>
        <w:spacing w:before="120" w:beforeLines="50" w:after="120" w:afterLines="50"/>
        <w:ind w:firstLine="398" w:firstLineChars="196"/>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spacing w:val="-4"/>
          <w:sz w:val="21"/>
          <w:szCs w:val="21"/>
        </w:rPr>
        <w:t>2、</w:t>
      </w:r>
      <w:r>
        <w:rPr>
          <w:rFonts w:hint="eastAsia" w:asciiTheme="minorEastAsia" w:hAnsiTheme="minorEastAsia" w:eastAsiaTheme="minorEastAsia" w:cstheme="minorEastAsia"/>
          <w:b/>
          <w:bCs/>
          <w:spacing w:val="-4"/>
          <w:sz w:val="21"/>
          <w:szCs w:val="21"/>
        </w:rPr>
        <w:t>价格分（0-35分）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价格分=（评标基准价/</w:t>
      </w:r>
      <w:r>
        <w:rPr>
          <w:rFonts w:hint="eastAsia" w:asciiTheme="minorEastAsia" w:hAnsiTheme="minorEastAsia" w:eastAsiaTheme="minorEastAsia" w:cstheme="minorEastAsia"/>
          <w:bCs/>
          <w:spacing w:val="-4"/>
          <w:sz w:val="21"/>
          <w:szCs w:val="21"/>
        </w:rPr>
        <w:t>投标报价</w:t>
      </w:r>
      <w:r>
        <w:rPr>
          <w:rFonts w:hint="eastAsia" w:asciiTheme="minorEastAsia" w:hAnsiTheme="minorEastAsia" w:eastAsiaTheme="minorEastAsia" w:cstheme="minorEastAsia"/>
          <w:sz w:val="21"/>
          <w:szCs w:val="21"/>
        </w:rPr>
        <w:t>）×35%×100</w:t>
      </w:r>
    </w:p>
    <w:p>
      <w:pPr>
        <w:numPr>
          <w:ilvl w:val="0"/>
          <w:numId w:val="2"/>
        </w:numPr>
        <w:ind w:firstLine="482" w:firstLineChars="200"/>
        <w:jc w:val="left"/>
        <w:rPr>
          <w:sz w:val="24"/>
        </w:rPr>
      </w:pPr>
      <w:r>
        <w:rPr>
          <w:rFonts w:hint="eastAsia" w:asciiTheme="minorEastAsia" w:hAnsiTheme="minorEastAsia" w:eastAsiaTheme="minorEastAsia" w:cstheme="minorEastAsia"/>
          <w:b/>
          <w:bCs w:val="0"/>
          <w:sz w:val="24"/>
          <w:szCs w:val="24"/>
          <w:lang w:val="en-US" w:eastAsia="zh-CN"/>
        </w:rPr>
        <w:t>总分</w:t>
      </w:r>
      <w:r>
        <w:rPr>
          <w:rFonts w:hint="eastAsia" w:asciiTheme="minorEastAsia" w:hAnsiTheme="minorEastAsia" w:eastAsiaTheme="minorEastAsia" w:cstheme="minorEastAsia"/>
          <w:b/>
          <w:bCs w:val="0"/>
          <w:sz w:val="21"/>
          <w:szCs w:val="21"/>
          <w:lang w:val="en-US" w:eastAsia="zh-CN"/>
        </w:rPr>
        <w:t>：</w:t>
      </w:r>
      <w:r>
        <w:rPr>
          <w:rFonts w:hint="eastAsia" w:asciiTheme="minorEastAsia" w:hAnsiTheme="minorEastAsia" w:eastAsiaTheme="minorEastAsia" w:cstheme="minorEastAsia"/>
          <w:sz w:val="21"/>
          <w:szCs w:val="21"/>
        </w:rPr>
        <w:t>投标人的综合得分为以上商务技术分及价格分之和</w:t>
      </w:r>
      <w:r>
        <w:rPr>
          <w:sz w:val="21"/>
          <w:szCs w:val="21"/>
        </w:rPr>
        <w:t>。</w:t>
      </w: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default" w:eastAsia="宋体" w:asciiTheme="minorEastAsia" w:hAnsiTheme="minorEastAsia" w:cstheme="minorEastAsia"/>
          <w:b/>
          <w:bCs/>
          <w:kern w:val="2"/>
          <w:sz w:val="32"/>
          <w:szCs w:val="32"/>
          <w:lang w:val="en-US" w:eastAsia="zh-CN" w:bidi="ar-SA"/>
        </w:rPr>
      </w:pPr>
      <w:r>
        <w:rPr>
          <w:rStyle w:val="14"/>
          <w:rFonts w:hint="eastAsia" w:eastAsia="宋体" w:asciiTheme="minorEastAsia" w:hAnsiTheme="minorEastAsia" w:cstheme="minorEastAsia"/>
          <w:b/>
          <w:bCs/>
          <w:kern w:val="2"/>
          <w:sz w:val="32"/>
          <w:szCs w:val="32"/>
          <w:lang w:val="en-US" w:eastAsia="zh-CN" w:bidi="ar-SA"/>
        </w:rPr>
        <w:t>九、我院正式合同版本</w:t>
      </w:r>
    </w:p>
    <w:p>
      <w:pPr>
        <w:pStyle w:val="9"/>
        <w:rPr>
          <w:rFonts w:hint="eastAsia"/>
          <w:sz w:val="30"/>
          <w:szCs w:val="30"/>
        </w:rPr>
      </w:pPr>
    </w:p>
    <w:p>
      <w:pPr>
        <w:pStyle w:val="9"/>
        <w:rPr>
          <w:sz w:val="44"/>
        </w:rPr>
      </w:pPr>
      <w:r>
        <w:rPr>
          <w:rFonts w:hint="eastAsia"/>
          <w:sz w:val="44"/>
        </w:rPr>
        <w:t>温州市中医院医疗设备采购合同</w:t>
      </w:r>
    </w:p>
    <w:p>
      <w:pPr>
        <w:jc w:val="right"/>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4"/>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3"/>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1"/>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9"/>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9"/>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9"/>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9"/>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9"/>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9"/>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9"/>
              <w:jc w:val="center"/>
              <w:rPr>
                <w:b/>
                <w:color w:val="000000" w:themeColor="text1"/>
                <w:sz w:val="22"/>
                <w:szCs w:val="22"/>
                <w:lang w:val="en-US"/>
                <w14:textFill>
                  <w14:solidFill>
                    <w14:schemeClr w14:val="tx1"/>
                  </w14:solidFill>
                </w14:textFill>
              </w:rPr>
            </w:pPr>
          </w:p>
        </w:tc>
        <w:tc>
          <w:tcPr>
            <w:tcW w:w="1418" w:type="dxa"/>
            <w:vAlign w:val="center"/>
          </w:tcPr>
          <w:p>
            <w:pPr>
              <w:pStyle w:val="19"/>
              <w:jc w:val="center"/>
              <w:rPr>
                <w:b/>
                <w:color w:val="000000" w:themeColor="text1"/>
                <w:sz w:val="22"/>
                <w:szCs w:val="22"/>
                <w:lang w:val="en-US"/>
                <w14:textFill>
                  <w14:solidFill>
                    <w14:schemeClr w14:val="tx1"/>
                  </w14:solidFill>
                </w14:textFill>
              </w:rPr>
            </w:pPr>
          </w:p>
        </w:tc>
        <w:tc>
          <w:tcPr>
            <w:tcW w:w="1559" w:type="dxa"/>
            <w:vAlign w:val="center"/>
          </w:tcPr>
          <w:p>
            <w:pPr>
              <w:pStyle w:val="19"/>
              <w:jc w:val="center"/>
              <w:rPr>
                <w:b/>
                <w:color w:val="000000" w:themeColor="text1"/>
                <w:sz w:val="22"/>
                <w:szCs w:val="22"/>
                <w:lang w:val="en-US"/>
                <w14:textFill>
                  <w14:solidFill>
                    <w14:schemeClr w14:val="tx1"/>
                  </w14:solidFill>
                </w14:textFill>
              </w:rPr>
            </w:pPr>
          </w:p>
        </w:tc>
        <w:tc>
          <w:tcPr>
            <w:tcW w:w="2126" w:type="dxa"/>
            <w:vAlign w:val="center"/>
          </w:tcPr>
          <w:p>
            <w:pPr>
              <w:pStyle w:val="19"/>
              <w:jc w:val="center"/>
              <w:rPr>
                <w:rFonts w:ascii="Verdana"/>
                <w:color w:val="000000" w:themeColor="text1"/>
                <w:sz w:val="22"/>
                <w:szCs w:val="22"/>
                <w14:textFill>
                  <w14:solidFill>
                    <w14:schemeClr w14:val="tx1"/>
                  </w14:solidFill>
                </w14:textFill>
              </w:rPr>
            </w:pPr>
          </w:p>
        </w:tc>
        <w:tc>
          <w:tcPr>
            <w:tcW w:w="993" w:type="dxa"/>
            <w:vAlign w:val="center"/>
          </w:tcPr>
          <w:p>
            <w:pPr>
              <w:pStyle w:val="19"/>
              <w:jc w:val="center"/>
              <w:rPr>
                <w:rFonts w:ascii="Verdana"/>
                <w:color w:val="000000" w:themeColor="text1"/>
                <w:sz w:val="22"/>
                <w:szCs w:val="22"/>
                <w14:textFill>
                  <w14:solidFill>
                    <w14:schemeClr w14:val="tx1"/>
                  </w14:solidFill>
                </w14:textFill>
              </w:rPr>
            </w:pPr>
          </w:p>
        </w:tc>
        <w:tc>
          <w:tcPr>
            <w:tcW w:w="1353" w:type="dxa"/>
            <w:vAlign w:val="center"/>
          </w:tcPr>
          <w:p>
            <w:pPr>
              <w:pStyle w:val="19"/>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9"/>
              <w:jc w:val="center"/>
              <w:rPr>
                <w:b/>
                <w:color w:val="000000" w:themeColor="text1"/>
                <w:sz w:val="22"/>
                <w:szCs w:val="22"/>
                <w:lang w:val="en-US"/>
                <w14:textFill>
                  <w14:solidFill>
                    <w14:schemeClr w14:val="tx1"/>
                  </w14:solidFill>
                </w14:textFill>
              </w:rPr>
            </w:pPr>
          </w:p>
        </w:tc>
        <w:tc>
          <w:tcPr>
            <w:tcW w:w="1418" w:type="dxa"/>
            <w:vAlign w:val="center"/>
          </w:tcPr>
          <w:p>
            <w:pPr>
              <w:pStyle w:val="19"/>
              <w:jc w:val="center"/>
              <w:rPr>
                <w:b/>
                <w:color w:val="000000" w:themeColor="text1"/>
                <w:sz w:val="22"/>
                <w:szCs w:val="22"/>
                <w:lang w:val="en-US"/>
                <w14:textFill>
                  <w14:solidFill>
                    <w14:schemeClr w14:val="tx1"/>
                  </w14:solidFill>
                </w14:textFill>
              </w:rPr>
            </w:pPr>
          </w:p>
        </w:tc>
        <w:tc>
          <w:tcPr>
            <w:tcW w:w="1559" w:type="dxa"/>
            <w:vAlign w:val="center"/>
          </w:tcPr>
          <w:p>
            <w:pPr>
              <w:pStyle w:val="19"/>
              <w:jc w:val="center"/>
              <w:rPr>
                <w:b/>
                <w:color w:val="000000" w:themeColor="text1"/>
                <w:sz w:val="22"/>
                <w:szCs w:val="22"/>
                <w:lang w:val="en-US"/>
                <w14:textFill>
                  <w14:solidFill>
                    <w14:schemeClr w14:val="tx1"/>
                  </w14:solidFill>
                </w14:textFill>
              </w:rPr>
            </w:pPr>
          </w:p>
        </w:tc>
        <w:tc>
          <w:tcPr>
            <w:tcW w:w="2126" w:type="dxa"/>
            <w:vAlign w:val="center"/>
          </w:tcPr>
          <w:p>
            <w:pPr>
              <w:pStyle w:val="19"/>
              <w:jc w:val="center"/>
              <w:rPr>
                <w:rFonts w:ascii="Verdana"/>
                <w:color w:val="000000" w:themeColor="text1"/>
                <w:sz w:val="22"/>
                <w:szCs w:val="22"/>
                <w14:textFill>
                  <w14:solidFill>
                    <w14:schemeClr w14:val="tx1"/>
                  </w14:solidFill>
                </w14:textFill>
              </w:rPr>
            </w:pPr>
          </w:p>
        </w:tc>
        <w:tc>
          <w:tcPr>
            <w:tcW w:w="993" w:type="dxa"/>
            <w:vAlign w:val="center"/>
          </w:tcPr>
          <w:p>
            <w:pPr>
              <w:pStyle w:val="19"/>
              <w:jc w:val="center"/>
              <w:rPr>
                <w:rFonts w:ascii="Verdana"/>
                <w:color w:val="000000" w:themeColor="text1"/>
                <w:sz w:val="22"/>
                <w:szCs w:val="22"/>
                <w14:textFill>
                  <w14:solidFill>
                    <w14:schemeClr w14:val="tx1"/>
                  </w14:solidFill>
                </w14:textFill>
              </w:rPr>
            </w:pPr>
          </w:p>
        </w:tc>
        <w:tc>
          <w:tcPr>
            <w:tcW w:w="1353" w:type="dxa"/>
            <w:vAlign w:val="center"/>
          </w:tcPr>
          <w:p>
            <w:pPr>
              <w:pStyle w:val="19"/>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pPr>
              <w:pStyle w:val="19"/>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4"/>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4"/>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w:t>
      </w:r>
      <w:r>
        <w:rPr>
          <w:rFonts w:hint="eastAsia"/>
          <w:color w:val="000000" w:themeColor="text1"/>
          <w:sz w:val="22"/>
          <w:szCs w:val="22"/>
          <w:lang w:eastAsia="zh-CN"/>
          <w14:textFill>
            <w14:solidFill>
              <w14:schemeClr w14:val="tx1"/>
            </w14:solidFill>
          </w14:textFill>
        </w:rPr>
        <w:t>甲方</w:t>
      </w:r>
      <w:r>
        <w:rPr>
          <w:rFonts w:hint="eastAsia"/>
          <w:color w:val="000000" w:themeColor="text1"/>
          <w:sz w:val="22"/>
          <w:szCs w:val="22"/>
          <w14:textFill>
            <w14:solidFill>
              <w14:schemeClr w14:val="tx1"/>
            </w14:solidFill>
          </w14:textFill>
        </w:rPr>
        <w:t>并能正常使用所需的一切费用，包括但不限于包装费、运输费、装卸费、保险费、安装调试费、技术服务费、培训费以及保修费、税费等。</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20"/>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本合同范围的货物，应由乙方直接供应，不得转让他人供应，否则，甲方有权解除合同，没收质量保证金并追究乙方的违约责任。</w:t>
      </w:r>
    </w:p>
    <w:p>
      <w:pPr>
        <w:pStyle w:val="3"/>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六、质保期和质保金</w:t>
      </w:r>
    </w:p>
    <w:p>
      <w:pPr>
        <w:pStyle w:val="20"/>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6"/>
          <w:sz w:val="22"/>
          <w:szCs w:val="22"/>
          <w:lang w:val="en-US" w:eastAsia="zh-CN"/>
          <w14:textFill>
            <w14:solidFill>
              <w14:schemeClr w14:val="tx1"/>
            </w14:solidFill>
          </w14:textFill>
        </w:rPr>
        <w:t>1、</w:t>
      </w:r>
      <w:r>
        <w:rPr>
          <w:color w:val="000000" w:themeColor="text1"/>
          <w:spacing w:val="-6"/>
          <w:sz w:val="22"/>
          <w:szCs w:val="22"/>
          <w:highlight w:val="none"/>
          <w14:textFill>
            <w14:solidFill>
              <w14:schemeClr w14:val="tx1"/>
            </w14:solidFill>
          </w14:textFill>
        </w:rPr>
        <w:t>质保期为</w:t>
      </w:r>
      <w:r>
        <w:rPr>
          <w:rFonts w:hint="eastAsia"/>
          <w:color w:val="000000" w:themeColor="text1"/>
          <w:spacing w:val="-6"/>
          <w:sz w:val="22"/>
          <w:szCs w:val="22"/>
          <w:highlight w:val="none"/>
          <w:u w:val="single"/>
          <w:lang w:val="en-US"/>
          <w14:textFill>
            <w14:solidFill>
              <w14:schemeClr w14:val="tx1"/>
            </w14:solidFill>
          </w14:textFill>
        </w:rPr>
        <w:t xml:space="preserve">    </w:t>
      </w:r>
      <w:r>
        <w:rPr>
          <w:rFonts w:hint="eastAsia"/>
          <w:color w:val="000000" w:themeColor="text1"/>
          <w:spacing w:val="-6"/>
          <w:sz w:val="22"/>
          <w:szCs w:val="22"/>
          <w:highlight w:val="none"/>
          <w:lang w:val="en-US"/>
          <w14:textFill>
            <w14:solidFill>
              <w14:schemeClr w14:val="tx1"/>
            </w14:solidFill>
          </w14:textFill>
        </w:rPr>
        <w:t>年</w:t>
      </w:r>
      <w:r>
        <w:rPr>
          <w:color w:val="000000" w:themeColor="text1"/>
          <w:sz w:val="22"/>
          <w:szCs w:val="22"/>
          <w:highlight w:val="none"/>
          <w14:textFill>
            <w14:solidFill>
              <w14:schemeClr w14:val="tx1"/>
            </w14:solidFill>
          </w14:textFill>
        </w:rPr>
        <w:t>。（自交货验收合格之日起计）</w:t>
      </w:r>
    </w:p>
    <w:p>
      <w:pPr>
        <w:pStyle w:val="20"/>
        <w:numPr>
          <w:ilvl w:val="0"/>
          <w:numId w:val="0"/>
        </w:numPr>
        <w:tabs>
          <w:tab w:val="left" w:pos="522"/>
          <w:tab w:val="left" w:pos="1347"/>
        </w:tabs>
        <w:spacing w:before="70"/>
        <w:ind w:left="351" w:leftChars="0"/>
        <w:rPr>
          <w:rFonts w:hint="eastAsia" w:ascii="Verdana" w:eastAsia="宋体"/>
          <w:strike/>
          <w:dstrike w:val="0"/>
          <w:color w:val="000000" w:themeColor="text1"/>
          <w:sz w:val="22"/>
          <w:szCs w:val="22"/>
          <w:highlight w:val="none"/>
          <w:lang w:val="en-US" w:eastAsia="zh-CN"/>
          <w14:textFill>
            <w14:solidFill>
              <w14:schemeClr w14:val="tx1"/>
            </w14:solidFill>
          </w14:textFill>
        </w:rPr>
      </w:pPr>
      <w:r>
        <w:rPr>
          <w:rFonts w:hint="eastAsia"/>
          <w:strike w:val="0"/>
          <w:dstrike w:val="0"/>
          <w:color w:val="000000" w:themeColor="text1"/>
          <w:sz w:val="22"/>
          <w:szCs w:val="22"/>
          <w:highlight w:val="none"/>
          <w:lang w:val="en-US" w:eastAsia="zh-CN"/>
          <w14:textFill>
            <w14:solidFill>
              <w14:schemeClr w14:val="tx1"/>
            </w14:solidFill>
          </w14:textFill>
        </w:rPr>
        <w:t>2、</w:t>
      </w:r>
      <w:r>
        <w:rPr>
          <w:strike w:val="0"/>
          <w:dstrike w:val="0"/>
          <w:color w:val="000000" w:themeColor="text1"/>
          <w:sz w:val="22"/>
          <w:szCs w:val="22"/>
          <w:highlight w:val="none"/>
          <w14:textFill>
            <w14:solidFill>
              <w14:schemeClr w14:val="tx1"/>
            </w14:solidFill>
          </w14:textFill>
        </w:rPr>
        <w:t>质保金</w:t>
      </w:r>
      <w:r>
        <w:rPr>
          <w:rFonts w:hint="eastAsia"/>
          <w:strike w:val="0"/>
          <w:dstrike w:val="0"/>
          <w:color w:val="000000" w:themeColor="text1"/>
          <w:sz w:val="22"/>
          <w:szCs w:val="22"/>
          <w:highlight w:val="none"/>
          <w:lang w:eastAsia="zh-CN"/>
          <w14:textFill>
            <w14:solidFill>
              <w14:schemeClr w14:val="tx1"/>
            </w14:solidFill>
          </w14:textFill>
        </w:rPr>
        <w:t>：</w:t>
      </w:r>
      <w:r>
        <w:rPr>
          <w:rFonts w:hint="eastAsia"/>
          <w:color w:val="000000" w:themeColor="text1"/>
          <w:spacing w:val="-6"/>
          <w:sz w:val="22"/>
          <w:szCs w:val="22"/>
          <w:highlight w:val="none"/>
          <w:u w:val="single"/>
          <w:lang w:val="en-US"/>
          <w14:textFill>
            <w14:solidFill>
              <w14:schemeClr w14:val="tx1"/>
            </w14:solidFill>
          </w14:textFill>
        </w:rPr>
        <w:t xml:space="preserve">    </w:t>
      </w:r>
    </w:p>
    <w:p>
      <w:pPr>
        <w:pStyle w:val="3"/>
        <w:spacing w:before="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七、交货期、交货方式及交货地点</w:t>
      </w:r>
    </w:p>
    <w:p>
      <w:pPr>
        <w:pStyle w:val="20"/>
        <w:numPr>
          <w:ilvl w:val="0"/>
          <w:numId w:val="0"/>
        </w:numPr>
        <w:tabs>
          <w:tab w:val="left" w:pos="522"/>
        </w:tabs>
        <w:spacing w:before="22"/>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交货期：合同签订后</w:t>
      </w:r>
      <w:r>
        <w:rPr>
          <w:rFonts w:hint="eastAsia"/>
          <w:color w:val="000000" w:themeColor="text1"/>
          <w:spacing w:val="-3"/>
          <w:sz w:val="22"/>
          <w:szCs w:val="22"/>
          <w:highlight w:val="none"/>
          <w:u w:val="single"/>
          <w:lang w:val="en-US" w:eastAsia="zh-CN"/>
          <w14:textFill>
            <w14:solidFill>
              <w14:schemeClr w14:val="tx1"/>
            </w14:solidFill>
          </w14:textFill>
        </w:rPr>
        <w:t xml:space="preserve">   </w:t>
      </w:r>
      <w:r>
        <w:rPr>
          <w:color w:val="000000" w:themeColor="text1"/>
          <w:sz w:val="22"/>
          <w:szCs w:val="22"/>
          <w:highlight w:val="none"/>
          <w14:textFill>
            <w14:solidFill>
              <w14:schemeClr w14:val="tx1"/>
            </w14:solidFill>
          </w14:textFill>
        </w:rPr>
        <w:t>个工作日</w:t>
      </w:r>
      <w:r>
        <w:rPr>
          <w:rFonts w:hint="eastAsia"/>
          <w:color w:val="000000" w:themeColor="text1"/>
          <w:sz w:val="22"/>
          <w:szCs w:val="22"/>
          <w:highlight w:val="none"/>
          <w:lang w:eastAsia="zh-CN"/>
          <w14:textFill>
            <w14:solidFill>
              <w14:schemeClr w14:val="tx1"/>
            </w14:solidFill>
          </w14:textFill>
        </w:rPr>
        <w:t>内</w:t>
      </w:r>
    </w:p>
    <w:p>
      <w:pPr>
        <w:pStyle w:val="20"/>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5"/>
          <w:sz w:val="22"/>
          <w:szCs w:val="22"/>
          <w:highlight w:val="none"/>
          <w:lang w:val="en-US" w:eastAsia="zh-CN"/>
          <w14:textFill>
            <w14:solidFill>
              <w14:schemeClr w14:val="tx1"/>
            </w14:solidFill>
          </w14:textFill>
        </w:rPr>
        <w:t>2、</w:t>
      </w:r>
      <w:r>
        <w:rPr>
          <w:color w:val="000000" w:themeColor="text1"/>
          <w:spacing w:val="-5"/>
          <w:sz w:val="22"/>
          <w:szCs w:val="22"/>
          <w:highlight w:val="none"/>
          <w14:textFill>
            <w14:solidFill>
              <w14:schemeClr w14:val="tx1"/>
            </w14:solidFill>
          </w14:textFill>
        </w:rPr>
        <w:t>交货方式：</w:t>
      </w:r>
      <w:r>
        <w:rPr>
          <w:rFonts w:hint="eastAsia"/>
          <w:color w:val="000000" w:themeColor="text1"/>
          <w:spacing w:val="-5"/>
          <w:sz w:val="22"/>
          <w:szCs w:val="22"/>
          <w:highlight w:val="none"/>
          <w14:textFill>
            <w14:solidFill>
              <w14:schemeClr w14:val="tx1"/>
            </w14:solidFill>
          </w14:textFill>
        </w:rPr>
        <w:t>按甲方指定地点</w:t>
      </w:r>
      <w:r>
        <w:rPr>
          <w:color w:val="000000" w:themeColor="text1"/>
          <w:sz w:val="22"/>
          <w:szCs w:val="22"/>
          <w:highlight w:val="none"/>
          <w14:textFill>
            <w14:solidFill>
              <w14:schemeClr w14:val="tx1"/>
            </w14:solidFill>
          </w14:textFill>
        </w:rPr>
        <w:t>送货上门</w:t>
      </w:r>
    </w:p>
    <w:p>
      <w:pPr>
        <w:pStyle w:val="20"/>
        <w:numPr>
          <w:ilvl w:val="0"/>
          <w:numId w:val="0"/>
        </w:numPr>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11"/>
          <w:sz w:val="22"/>
          <w:szCs w:val="22"/>
          <w:highlight w:val="none"/>
          <w:lang w:val="en-US" w:eastAsia="zh-CN"/>
          <w14:textFill>
            <w14:solidFill>
              <w14:schemeClr w14:val="tx1"/>
            </w14:solidFill>
          </w14:textFill>
        </w:rPr>
        <w:t>3、</w:t>
      </w:r>
      <w:r>
        <w:rPr>
          <w:color w:val="000000" w:themeColor="text1"/>
          <w:spacing w:val="-11"/>
          <w:sz w:val="22"/>
          <w:szCs w:val="22"/>
          <w:highlight w:val="none"/>
          <w14:textFill>
            <w14:solidFill>
              <w14:schemeClr w14:val="tx1"/>
            </w14:solidFill>
          </w14:textFill>
        </w:rPr>
        <w:t>交货地点：</w:t>
      </w:r>
      <w:r>
        <w:rPr>
          <w:rFonts w:hint="eastAsia"/>
          <w:color w:val="000000" w:themeColor="text1"/>
          <w:sz w:val="22"/>
          <w:szCs w:val="22"/>
          <w:highlight w:val="none"/>
          <w:lang w:eastAsia="zh-CN"/>
          <w14:textFill>
            <w14:solidFill>
              <w14:schemeClr w14:val="tx1"/>
            </w14:solidFill>
          </w14:textFill>
        </w:rPr>
        <w:t>甲方指定地点</w:t>
      </w:r>
    </w:p>
    <w:p>
      <w:pPr>
        <w:tabs>
          <w:tab w:val="left" w:pos="522"/>
        </w:tabs>
        <w:ind w:left="105" w:right="5480"/>
        <w:rPr>
          <w:b/>
          <w:bCs/>
          <w:color w:val="000000" w:themeColor="text1"/>
          <w:sz w:val="22"/>
          <w:szCs w:val="22"/>
          <w:highlight w:val="none"/>
          <w14:textFill>
            <w14:solidFill>
              <w14:schemeClr w14:val="tx1"/>
            </w14:solidFill>
          </w14:textFill>
        </w:rPr>
      </w:pPr>
      <w:r>
        <w:rPr>
          <w:b/>
          <w:color w:val="000000" w:themeColor="text1"/>
          <w:spacing w:val="10"/>
          <w:sz w:val="22"/>
          <w:szCs w:val="22"/>
          <w:highlight w:val="none"/>
          <w14:textFill>
            <w14:solidFill>
              <w14:schemeClr w14:val="tx1"/>
            </w14:solidFill>
          </w14:textFill>
        </w:rPr>
        <w:t>八、</w:t>
      </w:r>
      <w:r>
        <w:rPr>
          <w:rFonts w:hint="eastAsia"/>
          <w:b/>
          <w:bCs/>
          <w:color w:val="000000" w:themeColor="text1"/>
          <w:sz w:val="22"/>
          <w:szCs w:val="22"/>
          <w:highlight w:val="none"/>
          <w14:textFill>
            <w14:solidFill>
              <w14:schemeClr w14:val="tx1"/>
            </w14:solidFill>
          </w14:textFill>
        </w:rPr>
        <w:t>货款支付</w:t>
      </w:r>
    </w:p>
    <w:p>
      <w:pP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甲方按以下第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种方式支付乙方合同价款。</w:t>
      </w:r>
    </w:p>
    <w:p>
      <w:pPr>
        <w:pStyle w:val="4"/>
        <w:spacing w:before="21"/>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1、</w:t>
      </w:r>
      <w:r>
        <w:rPr>
          <w:color w:val="000000" w:themeColor="text1"/>
          <w:sz w:val="22"/>
          <w:szCs w:val="22"/>
          <w:highlight w:val="none"/>
          <w14:textFill>
            <w14:solidFill>
              <w14:schemeClr w14:val="tx1"/>
            </w14:solidFill>
          </w14:textFill>
        </w:rPr>
        <w:t>一次性支付：</w:t>
      </w:r>
    </w:p>
    <w:p>
      <w:pPr>
        <w:pStyle w:val="4"/>
        <w:tabs>
          <w:tab w:val="left" w:pos="4877"/>
        </w:tabs>
        <w:spacing w:before="71"/>
        <w:ind w:left="351"/>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本合同项下的全部货物安装调试完毕并经最终验收合格后</w:t>
      </w:r>
      <w:r>
        <w:rPr>
          <w:rFonts w:hint="eastAsia" w:ascii="宋体" w:hAnsi="宋体" w:eastAsia="宋体" w:cs="宋体"/>
          <w:color w:val="000000" w:themeColor="text1"/>
          <w:kern w:val="0"/>
          <w:sz w:val="22"/>
          <w:szCs w:val="22"/>
          <w:highlight w:val="none"/>
          <w:u w:val="single" w:color="4068E0"/>
          <w:lang w:val="en-US" w:eastAsia="zh-CN" w:bidi="zh-CN"/>
          <w14:textFill>
            <w14:solidFill>
              <w14:schemeClr w14:val="tx1"/>
            </w14:solidFill>
          </w14:textFill>
        </w:rPr>
        <w:t xml:space="preserve"> 3 </w:t>
      </w:r>
      <w:r>
        <w:rPr>
          <w:rFonts w:hint="default"/>
          <w:color w:val="000000" w:themeColor="text1"/>
          <w:sz w:val="22"/>
          <w:szCs w:val="22"/>
          <w:highlight w:val="none"/>
          <w:lang w:val="zh-CN"/>
          <w14:textFill>
            <w14:solidFill>
              <w14:schemeClr w14:val="tx1"/>
            </w14:solidFill>
          </w14:textFill>
        </w:rPr>
        <w:t>个月</w:t>
      </w:r>
      <w:r>
        <w:rPr>
          <w:color w:val="000000" w:themeColor="text1"/>
          <w:sz w:val="22"/>
          <w:szCs w:val="22"/>
          <w:highlight w:val="none"/>
          <w:lang w:val="zh-CN"/>
          <w14:textFill>
            <w14:solidFill>
              <w14:schemeClr w14:val="tx1"/>
            </w14:solidFill>
          </w14:textFill>
        </w:rPr>
        <w:t>内</w:t>
      </w:r>
      <w:r>
        <w:rPr>
          <w:color w:val="000000" w:themeColor="text1"/>
          <w:sz w:val="22"/>
          <w:szCs w:val="22"/>
          <w:highlight w:val="none"/>
          <w14:textFill>
            <w14:solidFill>
              <w14:schemeClr w14:val="tx1"/>
            </w14:solidFill>
          </w14:textFill>
        </w:rPr>
        <w:t>，甲方向乙方支付全部合同价款。</w:t>
      </w:r>
    </w:p>
    <w:p>
      <w:pPr>
        <w:pStyle w:val="4"/>
        <w:spacing w:before="69"/>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2、</w:t>
      </w:r>
      <w:r>
        <w:rPr>
          <w:color w:val="000000" w:themeColor="text1"/>
          <w:sz w:val="22"/>
          <w:szCs w:val="22"/>
          <w:highlight w:val="none"/>
          <w14:textFill>
            <w14:solidFill>
              <w14:schemeClr w14:val="tx1"/>
            </w14:solidFill>
          </w14:textFill>
        </w:rPr>
        <w:t>分期支付：</w:t>
      </w:r>
    </w:p>
    <w:p>
      <w:pPr>
        <w:pStyle w:val="20"/>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甲方应于本合同生效后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作为预付款，计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20"/>
        <w:numPr>
          <w:ilvl w:val="0"/>
          <w:numId w:val="0"/>
        </w:numPr>
        <w:tabs>
          <w:tab w:val="left" w:pos="797"/>
          <w:tab w:val="left" w:pos="2632"/>
          <w:tab w:val="left" w:pos="6150"/>
          <w:tab w:val="left" w:pos="7098"/>
          <w:tab w:val="left" w:pos="8095"/>
        </w:tabs>
        <w:spacing w:before="118"/>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全部货物验收合格后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个工作日内，甲方向乙方支付合同总价款的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20"/>
        <w:numPr>
          <w:ilvl w:val="0"/>
          <w:numId w:val="0"/>
        </w:numPr>
        <w:tabs>
          <w:tab w:val="left" w:pos="797"/>
          <w:tab w:val="left" w:pos="2632"/>
          <w:tab w:val="left" w:pos="6150"/>
          <w:tab w:val="left" w:pos="7098"/>
          <w:tab w:val="left" w:pos="8095"/>
        </w:tabs>
        <w:spacing w:before="118"/>
        <w:ind w:left="351" w:leftChars="0"/>
        <w:rPr>
          <w:rFonts w:hint="eastAsia" w:ascii="Times New Roman" w:hAnsi="Times New Roman" w:eastAsia="新宋体" w:cs="Times New Roman"/>
          <w:color w:val="auto"/>
          <w:sz w:val="22"/>
          <w:szCs w:val="22"/>
          <w:highlight w:val="none"/>
          <w:lang w:eastAsia="zh-CN"/>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3、</w:t>
      </w:r>
      <w:r>
        <w:rPr>
          <w:rFonts w:hint="eastAsia" w:ascii="Verdana" w:eastAsia="宋体" w:cs="宋体"/>
          <w:color w:val="000000" w:themeColor="text1"/>
          <w:kern w:val="0"/>
          <w:sz w:val="22"/>
          <w:szCs w:val="22"/>
          <w:highlight w:val="none"/>
          <w:lang w:val="en-US" w:eastAsia="zh-CN" w:bidi="zh-CN"/>
          <w14:textFill>
            <w14:solidFill>
              <w14:schemeClr w14:val="tx1"/>
            </w14:solidFill>
          </w14:textFill>
        </w:rPr>
        <w:t>若</w:t>
      </w:r>
      <w:r>
        <w:rPr>
          <w:rFonts w:hint="default" w:ascii="Times New Roman" w:hAnsi="Times New Roman" w:eastAsia="新宋体" w:cs="Times New Roman"/>
          <w:color w:val="auto"/>
          <w:sz w:val="22"/>
          <w:szCs w:val="22"/>
          <w:highlight w:val="none"/>
        </w:rPr>
        <w:t>乙方为中小企业：在合同签订生效以及具备实施条件后，乙方须向甲方提交与预付款等额的“预付款保函”</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合同预付款为合同金额的</w:t>
      </w:r>
      <w:r>
        <w:rPr>
          <w:rFonts w:hint="eastAsia" w:ascii="Times New Roman" w:hAnsi="Times New Roman" w:eastAsia="新宋体" w:cs="Times New Roman"/>
          <w:color w:val="auto"/>
          <w:sz w:val="22"/>
          <w:szCs w:val="22"/>
          <w:highlight w:val="none"/>
          <w:lang w:val="en-US" w:eastAsia="zh-CN"/>
        </w:rPr>
        <w:t>30</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。甲方收到“预付款保函”后7个工作日内支付预付款；</w:t>
      </w:r>
      <w:r>
        <w:rPr>
          <w:rFonts w:hint="eastAsia" w:ascii="Times New Roman" w:hAnsi="Times New Roman" w:eastAsia="新宋体" w:cs="Times New Roman"/>
          <w:color w:val="auto"/>
          <w:sz w:val="22"/>
          <w:szCs w:val="22"/>
          <w:highlight w:val="none"/>
          <w:lang w:eastAsia="zh-CN"/>
        </w:rPr>
        <w:t>待</w:t>
      </w:r>
      <w:r>
        <w:rPr>
          <w:rFonts w:hint="default" w:ascii="Times New Roman" w:hAnsi="Times New Roman" w:eastAsia="新宋体" w:cs="Times New Roman"/>
          <w:color w:val="auto"/>
          <w:sz w:val="22"/>
          <w:szCs w:val="22"/>
          <w:highlight w:val="none"/>
        </w:rPr>
        <w:t>（每批）货物验收合格后，乙方开具合同货物</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发票，甲方在收到</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发票后</w:t>
      </w:r>
      <w:r>
        <w:rPr>
          <w:rFonts w:hint="eastAsia" w:ascii="Times New Roman" w:hAnsi="Times New Roman" w:eastAsia="新宋体" w:cs="Times New Roman"/>
          <w:color w:val="auto"/>
          <w:sz w:val="22"/>
          <w:szCs w:val="22"/>
          <w:highlight w:val="none"/>
          <w:lang w:val="en-US" w:eastAsia="zh-CN"/>
        </w:rPr>
        <w:t>3个月内</w:t>
      </w:r>
      <w:r>
        <w:rPr>
          <w:rFonts w:hint="default" w:ascii="Times New Roman" w:hAnsi="Times New Roman" w:eastAsia="新宋体" w:cs="Times New Roman"/>
          <w:color w:val="auto"/>
          <w:sz w:val="22"/>
          <w:szCs w:val="22"/>
          <w:highlight w:val="none"/>
        </w:rPr>
        <w:t>支付至</w:t>
      </w:r>
      <w:r>
        <w:rPr>
          <w:rFonts w:hint="eastAsia" w:ascii="Times New Roman" w:hAnsi="Times New Roman" w:eastAsia="新宋体" w:cs="Times New Roman"/>
          <w:color w:val="auto"/>
          <w:sz w:val="22"/>
          <w:szCs w:val="22"/>
          <w:highlight w:val="none"/>
          <w:lang w:val="en-US" w:eastAsia="zh-CN"/>
        </w:rPr>
        <w:t>100</w:t>
      </w:r>
      <w:r>
        <w:rPr>
          <w:rFonts w:hint="default" w:ascii="Times New Roman" w:hAnsi="Times New Roman" w:eastAsia="新宋体" w:cs="Times New Roman"/>
          <w:color w:val="auto"/>
          <w:sz w:val="22"/>
          <w:szCs w:val="22"/>
          <w:highlight w:val="none"/>
        </w:rPr>
        <w:t>%合同货款</w:t>
      </w:r>
      <w:r>
        <w:rPr>
          <w:rFonts w:hint="eastAsia" w:ascii="Times New Roman" w:hAnsi="Times New Roman" w:eastAsia="新宋体" w:cs="Times New Roman"/>
          <w:color w:val="auto"/>
          <w:sz w:val="22"/>
          <w:szCs w:val="22"/>
          <w:highlight w:val="none"/>
          <w:lang w:eastAsia="zh-CN"/>
        </w:rPr>
        <w:t>。</w:t>
      </w:r>
    </w:p>
    <w:p>
      <w:pPr>
        <w:pStyle w:val="20"/>
        <w:numPr>
          <w:ilvl w:val="0"/>
          <w:numId w:val="0"/>
        </w:numPr>
        <w:tabs>
          <w:tab w:val="left" w:pos="797"/>
          <w:tab w:val="left" w:pos="2632"/>
          <w:tab w:val="left" w:pos="6150"/>
          <w:tab w:val="left" w:pos="7098"/>
          <w:tab w:val="left" w:pos="8095"/>
        </w:tabs>
        <w:spacing w:before="118"/>
        <w:ind w:left="351" w:leftChars="0"/>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4、其他方式：</w:t>
      </w:r>
    </w:p>
    <w:p>
      <w:pPr>
        <w:pStyle w:val="3"/>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20"/>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20"/>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20"/>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20"/>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上述的货物在质保期内免费保修，因人为因素出现的故障不在免费保修范围内。超过保修期的机器设备，终生维修，维修时只收部件成本费。乙方应当在</w:t>
      </w:r>
      <w:r>
        <w:rPr>
          <w:rFonts w:hint="eastAsia"/>
          <w:color w:val="000000" w:themeColor="text1"/>
          <w:sz w:val="22"/>
          <w:szCs w:val="22"/>
          <w:lang w:eastAsia="zh-CN"/>
          <w14:textFill>
            <w14:solidFill>
              <w14:schemeClr w14:val="tx1"/>
            </w14:solidFill>
          </w14:textFill>
        </w:rPr>
        <w:t>接到</w:t>
      </w:r>
      <w:r>
        <w:rPr>
          <w:rFonts w:hint="eastAsia"/>
          <w:color w:val="000000" w:themeColor="text1"/>
          <w:sz w:val="22"/>
          <w:szCs w:val="22"/>
          <w14:textFill>
            <w14:solidFill>
              <w14:schemeClr w14:val="tx1"/>
            </w14:solidFill>
          </w14:textFill>
        </w:rPr>
        <w:t>甲方通知维修后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14:textFill>
            <w14:solidFill>
              <w14:schemeClr w14:val="tx1"/>
            </w14:solidFill>
          </w14:textFill>
        </w:rPr>
        <w:t>日内到达货物所在地进行维修。</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十一、调试和验收</w:t>
      </w:r>
    </w:p>
    <w:p>
      <w:pPr>
        <w:pStyle w:val="20"/>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14:textFill>
            <w14:solidFill>
              <w14:schemeClr w14:val="tx1"/>
            </w14:solidFill>
          </w14:textFill>
        </w:rPr>
        <w:t>二十</w:t>
      </w:r>
      <w:r>
        <w:rPr>
          <w:color w:val="000000" w:themeColor="text1"/>
          <w:sz w:val="22"/>
          <w:szCs w:val="22"/>
          <w14:textFill>
            <w14:solidFill>
              <w14:schemeClr w14:val="tx1"/>
            </w14:solidFill>
          </w14:textFill>
        </w:rPr>
        <w:t>个工作日内验收</w:t>
      </w:r>
      <w:r>
        <w:rPr>
          <w:rFonts w:hint="eastAsia"/>
          <w:color w:val="000000" w:themeColor="text1"/>
          <w:sz w:val="22"/>
          <w:szCs w:val="22"/>
          <w14:textFill>
            <w14:solidFill>
              <w14:schemeClr w14:val="tx1"/>
            </w14:solidFill>
          </w14:textFill>
        </w:rPr>
        <w:t>（质量等隐蔽瑕疵除外）。</w:t>
      </w:r>
    </w:p>
    <w:p>
      <w:pPr>
        <w:pStyle w:val="20"/>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20"/>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20"/>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w:t>
      </w:r>
      <w:r>
        <w:rPr>
          <w:rFonts w:hint="eastAsia"/>
          <w:color w:val="000000" w:themeColor="text1"/>
          <w:sz w:val="22"/>
          <w:szCs w:val="22"/>
          <w:lang w:eastAsia="zh-CN"/>
          <w14:textFill>
            <w14:solidFill>
              <w14:schemeClr w14:val="tx1"/>
            </w14:solidFill>
          </w14:textFill>
        </w:rPr>
        <w:t>支付</w:t>
      </w:r>
      <w:r>
        <w:rPr>
          <w:color w:val="000000" w:themeColor="text1"/>
          <w:sz w:val="22"/>
          <w:szCs w:val="22"/>
          <w14:textFill>
            <w14:solidFill>
              <w14:schemeClr w14:val="tx1"/>
            </w14:solidFill>
          </w14:textFill>
        </w:rPr>
        <w:t>拒收货款总值的</w:t>
      </w:r>
      <w:r>
        <w:rPr>
          <w:color w:val="000000" w:themeColor="text1"/>
          <w:spacing w:val="3"/>
          <w:sz w:val="22"/>
          <w:szCs w:val="22"/>
          <w:u w:val="none" w:color="auto"/>
          <w14:textFill>
            <w14:solidFill>
              <w14:schemeClr w14:val="tx1"/>
            </w14:solidFill>
          </w14:textFill>
        </w:rPr>
        <w:t>百分之五</w:t>
      </w:r>
      <w:r>
        <w:rPr>
          <w:color w:val="000000" w:themeColor="text1"/>
          <w:sz w:val="22"/>
          <w:szCs w:val="22"/>
          <w14:textFill>
            <w14:solidFill>
              <w14:schemeClr w14:val="tx1"/>
            </w14:solidFill>
          </w14:textFill>
        </w:rPr>
        <w:t>违约金。</w:t>
      </w:r>
    </w:p>
    <w:p>
      <w:pPr>
        <w:pStyle w:val="20"/>
        <w:numPr>
          <w:ilvl w:val="0"/>
          <w:numId w:val="0"/>
        </w:numPr>
        <w:tabs>
          <w:tab w:val="left" w:pos="522"/>
        </w:tabs>
        <w:spacing w:before="117"/>
        <w:ind w:left="351" w:leftChars="0"/>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甲方无故逾期验收和办理货款支付手续的</w:t>
      </w:r>
      <w:r>
        <w:rPr>
          <w:rFonts w:hint="eastAsia" w:ascii="Verdana" w:eastAsia="宋体"/>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甲方应按逾期付款总额每日</w:t>
      </w:r>
      <w:r>
        <w:rPr>
          <w:color w:val="000000" w:themeColor="text1"/>
          <w:spacing w:val="2"/>
          <w:sz w:val="22"/>
          <w:szCs w:val="22"/>
          <w:u w:val="none" w:color="auto"/>
          <w14:textFill>
            <w14:solidFill>
              <w14:schemeClr w14:val="tx1"/>
            </w14:solidFill>
          </w14:textFill>
        </w:rPr>
        <w:t>万分之五</w:t>
      </w:r>
      <w:r>
        <w:rPr>
          <w:color w:val="000000" w:themeColor="text1"/>
          <w:sz w:val="22"/>
          <w:szCs w:val="22"/>
          <w14:textFill>
            <w14:solidFill>
              <w14:schemeClr w14:val="tx1"/>
            </w14:solidFill>
          </w14:textFill>
        </w:rPr>
        <w:t>向乙方支付违约金</w:t>
      </w:r>
      <w:r>
        <w:rPr>
          <w:rFonts w:hint="eastAsia"/>
          <w:color w:val="000000" w:themeColor="text1"/>
          <w:sz w:val="22"/>
          <w:szCs w:val="22"/>
          <w:lang w:eastAsia="zh-CN"/>
          <w14:textFill>
            <w14:solidFill>
              <w14:schemeClr w14:val="tx1"/>
            </w14:solidFill>
          </w14:textFill>
        </w:rPr>
        <w:t>，最高不超过合同总金额的</w:t>
      </w:r>
      <w:r>
        <w:rPr>
          <w:rFonts w:hint="eastAsia"/>
          <w:color w:val="000000" w:themeColor="text1"/>
          <w:sz w:val="22"/>
          <w:szCs w:val="22"/>
          <w:lang w:val="en-US" w:eastAsia="zh-CN"/>
          <w14:textFill>
            <w14:solidFill>
              <w14:schemeClr w14:val="tx1"/>
            </w14:solidFill>
          </w14:textFill>
        </w:rPr>
        <w:t>5%。</w:t>
      </w:r>
    </w:p>
    <w:p>
      <w:pPr>
        <w:pStyle w:val="20"/>
        <w:numPr>
          <w:ilvl w:val="0"/>
          <w:numId w:val="0"/>
        </w:numPr>
        <w:tabs>
          <w:tab w:val="left" w:pos="522"/>
        </w:tabs>
        <w:spacing w:before="118"/>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乙方逾期交付货物的，乙方应按逾期交货总额每日</w:t>
      </w:r>
      <w:r>
        <w:rPr>
          <w:color w:val="000000" w:themeColor="text1"/>
          <w:spacing w:val="15"/>
          <w:sz w:val="22"/>
          <w:szCs w:val="22"/>
          <w:u w:val="none" w:color="auto"/>
          <w14:textFill>
            <w14:solidFill>
              <w14:schemeClr w14:val="tx1"/>
            </w14:solidFill>
          </w14:textFill>
        </w:rPr>
        <w:t>千分之六</w:t>
      </w:r>
      <w:r>
        <w:rPr>
          <w:color w:val="000000" w:themeColor="text1"/>
          <w:sz w:val="22"/>
          <w:szCs w:val="22"/>
          <w14:textFill>
            <w14:solidFill>
              <w14:schemeClr w14:val="tx1"/>
            </w14:solidFill>
          </w14:textFill>
        </w:rPr>
        <w:t>向甲方支付违约金，由甲方从待付货款中扣除。逾期超过约定日期</w:t>
      </w:r>
      <w:r>
        <w:rPr>
          <w:rFonts w:hint="eastAsia"/>
          <w:color w:val="000000" w:themeColor="text1"/>
          <w:sz w:val="22"/>
          <w:szCs w:val="22"/>
          <w14:textFill>
            <w14:solidFill>
              <w14:schemeClr w14:val="tx1"/>
            </w14:solidFill>
          </w14:textFill>
        </w:rPr>
        <w:t>10个工作日不能交货的，甲方可解除本合同。乙方因逾期交货或因其他违约行为导致甲方解除合同的，乙方应向甲方支付合同总值</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u w:val="none"/>
          <w14:textFill>
            <w14:solidFill>
              <w14:schemeClr w14:val="tx1"/>
            </w14:solidFill>
          </w14:textFill>
        </w:rPr>
        <w:t>5%</w:t>
      </w:r>
      <w:r>
        <w:rPr>
          <w:rFonts w:hint="eastAsia"/>
          <w:color w:val="000000" w:themeColor="text1"/>
          <w:sz w:val="22"/>
          <w:szCs w:val="22"/>
          <w:u w:val="none"/>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20"/>
        <w:numPr>
          <w:ilvl w:val="0"/>
          <w:numId w:val="0"/>
        </w:numPr>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乙方所交的货物品种、型号、规格、技术参数、质量不符合合同</w:t>
      </w:r>
      <w:r>
        <w:rPr>
          <w:rFonts w:hint="eastAsia"/>
          <w:color w:val="000000" w:themeColor="text1"/>
          <w:sz w:val="22"/>
          <w:szCs w:val="22"/>
          <w:lang w:eastAsia="zh-CN"/>
          <w14:textFill>
            <w14:solidFill>
              <w14:schemeClr w14:val="tx1"/>
            </w14:solidFill>
          </w14:textFill>
        </w:rPr>
        <w:t>约定</w:t>
      </w:r>
      <w:r>
        <w:rPr>
          <w:rFonts w:hint="eastAsia"/>
          <w:color w:val="000000" w:themeColor="text1"/>
          <w:sz w:val="22"/>
          <w:szCs w:val="22"/>
          <w14:textFill>
            <w14:solidFill>
              <w14:schemeClr w14:val="tx1"/>
            </w14:solidFill>
          </w14:textFill>
        </w:rPr>
        <w:t>及招标文件规定标准的，甲方有权拒收该货物，乙方愿意更换货物，但逾期交货的，按乙方逾期交货处理。乙方拒绝更换货物的，甲方可单方面解除合同。</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20"/>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3"/>
        <w:spacing w:before="107"/>
        <w:rPr>
          <w:sz w:val="22"/>
          <w:szCs w:val="22"/>
        </w:rPr>
      </w:pPr>
      <w:r>
        <w:rPr>
          <w:sz w:val="22"/>
          <w:szCs w:val="22"/>
        </w:rPr>
        <w:t>十六、合同生效及其它</w:t>
      </w:r>
    </w:p>
    <w:p>
      <w:pPr>
        <w:pStyle w:val="20"/>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本合同经甲、乙双方签字并加盖单位公章后生效。</w:t>
      </w:r>
    </w:p>
    <w:p>
      <w:pPr>
        <w:pStyle w:val="20"/>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20"/>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20"/>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20"/>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4"/>
        <w:spacing w:before="106" w:line="264" w:lineRule="auto"/>
        <w:ind w:left="105" w:right="209"/>
        <w:rPr>
          <w:sz w:val="22"/>
          <w:szCs w:val="22"/>
        </w:rPr>
      </w:pPr>
      <w:r>
        <w:rPr>
          <w:rFonts w:hint="eastAsia"/>
          <w:sz w:val="22"/>
          <w:szCs w:val="22"/>
        </w:rPr>
        <w:t>地址：温州市六虹桥路蛟尾路9号                   地址：</w:t>
      </w:r>
    </w:p>
    <w:p>
      <w:pPr>
        <w:pStyle w:val="4"/>
        <w:spacing w:before="106" w:line="264" w:lineRule="auto"/>
        <w:ind w:left="105" w:right="209"/>
        <w:rPr>
          <w:sz w:val="22"/>
          <w:szCs w:val="22"/>
        </w:rPr>
      </w:pPr>
      <w:r>
        <w:rPr>
          <w:rFonts w:hint="eastAsia"/>
          <w:sz w:val="22"/>
          <w:szCs w:val="22"/>
        </w:rPr>
        <w:t xml:space="preserve">法定（授权）代表人：                            法定（授权）代表人： </w:t>
      </w:r>
    </w:p>
    <w:p>
      <w:pPr>
        <w:pStyle w:val="4"/>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4"/>
        <w:rPr>
          <w:sz w:val="20"/>
        </w:rPr>
      </w:pPr>
    </w:p>
    <w:tbl>
      <w:tblPr>
        <w:tblStyle w:val="11"/>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4"/>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九、本合同一式三份，甲、乙双方各执一份，甲方纪检监察部门执一份，并从签订之日起生效。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MTM1ODcxZjQ3NGE4ODE2Njg0ODFkZTMzOWI0ZjU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7761DC"/>
    <w:rsid w:val="037819C8"/>
    <w:rsid w:val="04165086"/>
    <w:rsid w:val="079468F0"/>
    <w:rsid w:val="088815A9"/>
    <w:rsid w:val="09380640"/>
    <w:rsid w:val="0A277157"/>
    <w:rsid w:val="0A323667"/>
    <w:rsid w:val="0A964758"/>
    <w:rsid w:val="0B691EBF"/>
    <w:rsid w:val="0BDB7828"/>
    <w:rsid w:val="0D3C3F90"/>
    <w:rsid w:val="0D6B27A0"/>
    <w:rsid w:val="0D737863"/>
    <w:rsid w:val="0F9D510C"/>
    <w:rsid w:val="10827943"/>
    <w:rsid w:val="109B7C74"/>
    <w:rsid w:val="11D15B1C"/>
    <w:rsid w:val="11D56F8A"/>
    <w:rsid w:val="12531874"/>
    <w:rsid w:val="129A029D"/>
    <w:rsid w:val="12C9410A"/>
    <w:rsid w:val="14C02644"/>
    <w:rsid w:val="157B401A"/>
    <w:rsid w:val="165B3C1A"/>
    <w:rsid w:val="17453125"/>
    <w:rsid w:val="182217CF"/>
    <w:rsid w:val="184F31D7"/>
    <w:rsid w:val="19915A12"/>
    <w:rsid w:val="1A2E6DE6"/>
    <w:rsid w:val="1D4821A9"/>
    <w:rsid w:val="202B56B1"/>
    <w:rsid w:val="22723315"/>
    <w:rsid w:val="22CF7097"/>
    <w:rsid w:val="232E51F6"/>
    <w:rsid w:val="23705E06"/>
    <w:rsid w:val="23884864"/>
    <w:rsid w:val="24C52651"/>
    <w:rsid w:val="24E75A4A"/>
    <w:rsid w:val="27E45486"/>
    <w:rsid w:val="28DD687E"/>
    <w:rsid w:val="2B057E38"/>
    <w:rsid w:val="2BA52826"/>
    <w:rsid w:val="2D7F5632"/>
    <w:rsid w:val="2E46068D"/>
    <w:rsid w:val="2EB05F76"/>
    <w:rsid w:val="2F3C6CF1"/>
    <w:rsid w:val="2FBD42B3"/>
    <w:rsid w:val="30D412A1"/>
    <w:rsid w:val="30E84F1F"/>
    <w:rsid w:val="316641F0"/>
    <w:rsid w:val="31BF6098"/>
    <w:rsid w:val="31F8416E"/>
    <w:rsid w:val="32CE7A3F"/>
    <w:rsid w:val="33951D5C"/>
    <w:rsid w:val="34117E05"/>
    <w:rsid w:val="351B0D6F"/>
    <w:rsid w:val="351B624E"/>
    <w:rsid w:val="35633FD8"/>
    <w:rsid w:val="37C66C9B"/>
    <w:rsid w:val="39BD6D12"/>
    <w:rsid w:val="3BB420F5"/>
    <w:rsid w:val="3DB75172"/>
    <w:rsid w:val="3F1B3C4A"/>
    <w:rsid w:val="402E62DF"/>
    <w:rsid w:val="402F4957"/>
    <w:rsid w:val="405108FA"/>
    <w:rsid w:val="4136403A"/>
    <w:rsid w:val="41EF774F"/>
    <w:rsid w:val="42660058"/>
    <w:rsid w:val="43824C1A"/>
    <w:rsid w:val="43A157C9"/>
    <w:rsid w:val="449C5243"/>
    <w:rsid w:val="449E2D2B"/>
    <w:rsid w:val="458A740C"/>
    <w:rsid w:val="45905890"/>
    <w:rsid w:val="46094A05"/>
    <w:rsid w:val="460A3EB2"/>
    <w:rsid w:val="477517FF"/>
    <w:rsid w:val="479F5F87"/>
    <w:rsid w:val="497E50E4"/>
    <w:rsid w:val="49CC2349"/>
    <w:rsid w:val="4A254910"/>
    <w:rsid w:val="4AA864D5"/>
    <w:rsid w:val="4B956476"/>
    <w:rsid w:val="4CBE1552"/>
    <w:rsid w:val="4D3D3121"/>
    <w:rsid w:val="4DCB17F7"/>
    <w:rsid w:val="4ED83989"/>
    <w:rsid w:val="5105209D"/>
    <w:rsid w:val="5273518F"/>
    <w:rsid w:val="529E0326"/>
    <w:rsid w:val="53423D16"/>
    <w:rsid w:val="534B0A6F"/>
    <w:rsid w:val="539D45B7"/>
    <w:rsid w:val="53CA557A"/>
    <w:rsid w:val="545A32FC"/>
    <w:rsid w:val="547D6E0D"/>
    <w:rsid w:val="55382DBA"/>
    <w:rsid w:val="554259DD"/>
    <w:rsid w:val="55596194"/>
    <w:rsid w:val="56A54B82"/>
    <w:rsid w:val="584110E8"/>
    <w:rsid w:val="587C329C"/>
    <w:rsid w:val="595B205E"/>
    <w:rsid w:val="5A4777C5"/>
    <w:rsid w:val="5A6E001E"/>
    <w:rsid w:val="5AE71C9E"/>
    <w:rsid w:val="5CD36D91"/>
    <w:rsid w:val="5DEC7787"/>
    <w:rsid w:val="5DFE7766"/>
    <w:rsid w:val="60F93F09"/>
    <w:rsid w:val="65D31C24"/>
    <w:rsid w:val="6634293C"/>
    <w:rsid w:val="669F4579"/>
    <w:rsid w:val="680678AC"/>
    <w:rsid w:val="683E0693"/>
    <w:rsid w:val="685E7C65"/>
    <w:rsid w:val="68AB5C34"/>
    <w:rsid w:val="694279A9"/>
    <w:rsid w:val="698F00A6"/>
    <w:rsid w:val="6A670A41"/>
    <w:rsid w:val="6A800692"/>
    <w:rsid w:val="6BF3478F"/>
    <w:rsid w:val="6D370E4B"/>
    <w:rsid w:val="6DE10695"/>
    <w:rsid w:val="6E0B49D4"/>
    <w:rsid w:val="6E6658CD"/>
    <w:rsid w:val="6E7E61B3"/>
    <w:rsid w:val="6F1A55B9"/>
    <w:rsid w:val="6F9841D5"/>
    <w:rsid w:val="711B411C"/>
    <w:rsid w:val="7392213F"/>
    <w:rsid w:val="739F5CC0"/>
    <w:rsid w:val="73F75A9D"/>
    <w:rsid w:val="748F3673"/>
    <w:rsid w:val="755C54CB"/>
    <w:rsid w:val="762B73A9"/>
    <w:rsid w:val="772F4719"/>
    <w:rsid w:val="773504DF"/>
    <w:rsid w:val="78667688"/>
    <w:rsid w:val="7A192AA7"/>
    <w:rsid w:val="7B395E66"/>
    <w:rsid w:val="7C0B3B0A"/>
    <w:rsid w:val="7C4831AB"/>
    <w:rsid w:val="7CA6287C"/>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1"/>
    <w:pPr>
      <w:autoSpaceDE w:val="0"/>
      <w:autoSpaceDN w:val="0"/>
      <w:jc w:val="left"/>
    </w:pPr>
    <w:rPr>
      <w:rFonts w:ascii="宋体" w:hAnsi="宋体" w:eastAsia="宋体" w:cs="宋体"/>
      <w:kern w:val="0"/>
      <w:sz w:val="17"/>
      <w:szCs w:val="17"/>
      <w:lang w:val="zh-CN" w:bidi="zh-CN"/>
    </w:rPr>
  </w:style>
  <w:style w:type="paragraph" w:styleId="5">
    <w:name w:val="Plain Text"/>
    <w:basedOn w:val="1"/>
    <w:autoRedefine/>
    <w:qFormat/>
    <w:uiPriority w:val="0"/>
    <w:rPr>
      <w:rFonts w:ascii="宋体" w:hAnsi="Courier New" w:cs="Courier New"/>
      <w:szCs w:val="21"/>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w:basedOn w:val="4"/>
    <w:autoRedefine/>
    <w:qFormat/>
    <w:uiPriority w:val="0"/>
    <w:pPr>
      <w:ind w:firstLine="420"/>
    </w:pPr>
    <w:rPr>
      <w:rFonts w:ascii="Calibri" w:hAnsi="Calibri" w:eastAsia="宋体" w:cs="Times New Roman"/>
    </w:rPr>
  </w:style>
  <w:style w:type="table" w:styleId="12">
    <w:name w:val="Table Grid"/>
    <w:basedOn w:val="11"/>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Emphasis"/>
    <w:autoRedefine/>
    <w:qFormat/>
    <w:uiPriority w:val="20"/>
    <w:rPr>
      <w:i/>
      <w:iCs/>
    </w:rPr>
  </w:style>
  <w:style w:type="character" w:styleId="16">
    <w:name w:val="Hyperlink"/>
    <w:basedOn w:val="13"/>
    <w:autoRedefine/>
    <w:semiHidden/>
    <w:unhideWhenUsed/>
    <w:qFormat/>
    <w:uiPriority w:val="99"/>
    <w:rPr>
      <w:color w:val="0000FF"/>
      <w:u w:val="single"/>
    </w:rPr>
  </w:style>
  <w:style w:type="character" w:customStyle="1" w:styleId="17">
    <w:name w:val="页眉 Char"/>
    <w:basedOn w:val="13"/>
    <w:link w:val="7"/>
    <w:autoRedefine/>
    <w:qFormat/>
    <w:uiPriority w:val="99"/>
    <w:rPr>
      <w:sz w:val="18"/>
      <w:szCs w:val="18"/>
    </w:rPr>
  </w:style>
  <w:style w:type="character" w:customStyle="1" w:styleId="18">
    <w:name w:val="页脚 Char"/>
    <w:basedOn w:val="13"/>
    <w:link w:val="6"/>
    <w:autoRedefine/>
    <w:qFormat/>
    <w:uiPriority w:val="99"/>
    <w:rPr>
      <w:sz w:val="18"/>
      <w:szCs w:val="18"/>
    </w:rPr>
  </w:style>
  <w:style w:type="paragraph" w:customStyle="1" w:styleId="19">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20">
    <w:name w:val="List Paragraph"/>
    <w:basedOn w:val="1"/>
    <w:autoRedefine/>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21">
    <w:name w:val="NormalCharacter"/>
    <w:autoRedefine/>
    <w:semiHidden/>
    <w:qFormat/>
    <w:uiPriority w:val="0"/>
  </w:style>
  <w:style w:type="character" w:customStyle="1" w:styleId="22">
    <w:name w:val="font31"/>
    <w:basedOn w:val="13"/>
    <w:autoRedefine/>
    <w:qFormat/>
    <w:uiPriority w:val="0"/>
    <w:rPr>
      <w:rFonts w:hint="eastAsia" w:ascii="宋体" w:hAnsi="宋体" w:eastAsia="宋体" w:cs="宋体"/>
      <w:color w:val="000000"/>
      <w:sz w:val="24"/>
      <w:szCs w:val="24"/>
      <w:u w:val="none"/>
    </w:rPr>
  </w:style>
  <w:style w:type="character" w:customStyle="1" w:styleId="23">
    <w:name w:val="font11"/>
    <w:basedOn w:val="13"/>
    <w:autoRedefine/>
    <w:qFormat/>
    <w:uiPriority w:val="0"/>
    <w:rPr>
      <w:rFonts w:hint="eastAsia" w:ascii="宋体" w:hAnsi="宋体" w:eastAsia="宋体" w:cs="宋体"/>
      <w:color w:val="000000"/>
      <w:sz w:val="24"/>
      <w:szCs w:val="24"/>
      <w:u w:val="none"/>
    </w:rPr>
  </w:style>
  <w:style w:type="character" w:customStyle="1" w:styleId="24">
    <w:name w:val="font41"/>
    <w:basedOn w:val="13"/>
    <w:autoRedefine/>
    <w:qFormat/>
    <w:uiPriority w:val="0"/>
    <w:rPr>
      <w:rFonts w:hint="eastAsia" w:ascii="宋体" w:hAnsi="宋体" w:eastAsia="宋体" w:cs="宋体"/>
      <w:b/>
      <w:bCs/>
      <w:color w:val="000000"/>
      <w:sz w:val="24"/>
      <w:szCs w:val="24"/>
      <w:u w:val="none"/>
    </w:rPr>
  </w:style>
  <w:style w:type="character" w:customStyle="1" w:styleId="25">
    <w:name w:val="Anrede1IhrZeichen"/>
    <w:autoRedefine/>
    <w:qFormat/>
    <w:uiPriority w:val="0"/>
    <w:rPr>
      <w:rFonts w:hint="default" w:ascii="Arial" w:hAnsi="Arial"/>
      <w:sz w:val="20"/>
    </w:rPr>
  </w:style>
  <w:style w:type="paragraph" w:customStyle="1" w:styleId="26">
    <w:name w:val="AbsatzTableFormat"/>
    <w:basedOn w:val="1"/>
    <w:autoRedefine/>
    <w:qFormat/>
    <w:uiPriority w:val="0"/>
    <w:pPr>
      <w:widowControl/>
      <w:jc w:val="left"/>
    </w:pPr>
    <w:rPr>
      <w:rFonts w:ascii="Arial Narrow" w:hAnsi="Arial Narrow"/>
      <w:bCs/>
      <w:kern w:val="0"/>
      <w:sz w:val="22"/>
      <w:szCs w:val="21"/>
      <w:lang w:val="de-DE"/>
    </w:rPr>
  </w:style>
  <w:style w:type="paragraph" w:customStyle="1" w:styleId="27">
    <w:name w:val="Plain Text1"/>
    <w:basedOn w:val="28"/>
    <w:autoRedefine/>
    <w:qFormat/>
    <w:uiPriority w:val="0"/>
    <w:pPr>
      <w:widowControl/>
      <w:jc w:val="left"/>
    </w:pPr>
    <w:rPr>
      <w:rFonts w:ascii="宋体" w:hAnsi="Courier New"/>
    </w:rPr>
  </w:style>
  <w:style w:type="paragraph" w:customStyle="1" w:styleId="28">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14</Pages>
  <Words>6607</Words>
  <Characters>6852</Characters>
  <Lines>6</Lines>
  <Paragraphs>1</Paragraphs>
  <TotalTime>5</TotalTime>
  <ScaleCrop>false</ScaleCrop>
  <LinksUpToDate>false</LinksUpToDate>
  <CharactersWithSpaces>7239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李恩贤</cp:lastModifiedBy>
  <dcterms:modified xsi:type="dcterms:W3CDTF">2024-05-13T08:24:32Z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2052-12.1.0.16120</vt:lpwstr>
  </property>
  <property fmtid="{D5CDD505-2E9C-101B-9397-08002B2CF9AE}" pid="4" name="ICV">
    <vt:lpwstr>99012001CC8449E1B44B4987A03F7E88</vt:lpwstr>
  </property>
</Properties>
</file>