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840"/>
        </w:tabs>
        <w:adjustRightInd/>
        <w:snapToGrid/>
        <w:spacing w:before="120" w:after="120" w:line="360" w:lineRule="auto"/>
        <w:jc w:val="center"/>
        <w:rPr>
          <w:rFonts w:hint="eastAsia"/>
          <w:b/>
          <w:bCs/>
          <w:sz w:val="28"/>
          <w:szCs w:val="28"/>
        </w:rPr>
      </w:pPr>
      <w:bookmarkStart w:id="0" w:name="_Toc451522337"/>
      <w:r>
        <w:rPr>
          <w:rFonts w:hint="eastAsia" w:ascii="宋体" w:hAnsi="宋体" w:eastAsia="宋体" w:cs="宋体"/>
          <w:color w:val="000000"/>
          <w:sz w:val="44"/>
          <w:szCs w:val="44"/>
        </w:rPr>
        <w:t>温州市中医院</w:t>
      </w:r>
      <w:r>
        <w:rPr>
          <w:rFonts w:hint="eastAsia" w:hAnsi="宋体" w:cs="宋体"/>
          <w:color w:val="000000"/>
          <w:sz w:val="44"/>
          <w:szCs w:val="44"/>
          <w:lang w:val="en-US" w:eastAsia="zh-CN"/>
        </w:rPr>
        <w:t>公务用车维修</w:t>
      </w:r>
      <w:r>
        <w:rPr>
          <w:rFonts w:hint="eastAsia" w:ascii="宋体" w:hAnsi="宋体" w:eastAsia="宋体" w:cs="宋体"/>
          <w:color w:val="000000"/>
          <w:sz w:val="44"/>
          <w:szCs w:val="44"/>
        </w:rPr>
        <w:t>采购</w:t>
      </w:r>
      <w:bookmarkEnd w:id="0"/>
      <w:r>
        <w:rPr>
          <w:rFonts w:hint="eastAsia" w:ascii="宋体" w:hAnsi="宋体" w:eastAsia="宋体" w:cs="宋体"/>
          <w:color w:val="000000"/>
          <w:sz w:val="44"/>
          <w:szCs w:val="44"/>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公务用车维修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899</w:t>
      </w:r>
      <w:r>
        <w:rPr>
          <w:rFonts w:hint="eastAsia" w:ascii="宋体" w:hAnsi="宋体" w:eastAsia="宋体" w:cs="宋体"/>
          <w:sz w:val="24"/>
          <w:szCs w:val="24"/>
          <w:lang w:val="en-US" w:eastAsia="zh-CN"/>
        </w:rPr>
        <w:t>00元</w:t>
      </w:r>
      <w:r>
        <w:rPr>
          <w:rFonts w:hint="eastAsia" w:ascii="宋体" w:hAnsi="宋体" w:cs="宋体"/>
          <w:sz w:val="24"/>
          <w:szCs w:val="24"/>
          <w:lang w:val="en-US" w:eastAsia="zh-CN"/>
        </w:rPr>
        <w:t>/年；两年总预算金额：179800元</w:t>
      </w:r>
    </w:p>
    <w:p>
      <w:pPr>
        <w:numPr>
          <w:ilvl w:val="0"/>
          <w:numId w:val="2"/>
        </w:numPr>
        <w:spacing w:line="360" w:lineRule="auto"/>
        <w:rPr>
          <w:rFonts w:hint="eastAsia" w:ascii="宋体" w:hAnsi="宋体" w:cs="宋体"/>
          <w:b/>
          <w:sz w:val="28"/>
          <w:szCs w:val="28"/>
        </w:rPr>
      </w:pPr>
      <w:r>
        <w:rPr>
          <w:rFonts w:hint="eastAsia" w:ascii="宋体" w:hAnsi="宋体" w:cs="宋体"/>
          <w:b/>
          <w:sz w:val="28"/>
          <w:szCs w:val="28"/>
        </w:rPr>
        <w:t>项目内容</w:t>
      </w:r>
    </w:p>
    <w:p>
      <w:pPr>
        <w:numPr>
          <w:ilvl w:val="0"/>
          <w:numId w:val="0"/>
        </w:num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1、</w:t>
      </w:r>
      <w:r>
        <w:rPr>
          <w:rFonts w:hint="eastAsia" w:ascii="宋体" w:hAnsi="宋体" w:cs="宋体"/>
          <w:b w:val="0"/>
          <w:bCs/>
          <w:sz w:val="24"/>
          <w:szCs w:val="24"/>
          <w:lang w:val="en-US" w:eastAsia="zh-CN"/>
        </w:rPr>
        <w:t>中标供应商需对</w:t>
      </w:r>
      <w:r>
        <w:rPr>
          <w:rFonts w:hint="eastAsia" w:ascii="宋体" w:hAnsi="宋体" w:cs="宋体"/>
          <w:b w:val="0"/>
          <w:bCs/>
          <w:sz w:val="24"/>
          <w:szCs w:val="24"/>
        </w:rPr>
        <w:t>温州市中医院公务用车进行维修，维修内容包括整车修理、总成修理、一二级维护和小修等；</w:t>
      </w:r>
    </w:p>
    <w:p>
      <w:pPr>
        <w:numPr>
          <w:ilvl w:val="0"/>
          <w:numId w:val="0"/>
        </w:num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2、一次性维修金额在1000元以下（含1000元）的，由温州市中医院车辆直接管理人确认和分管领导签名同意后方可进行维修；</w:t>
      </w:r>
    </w:p>
    <w:p>
      <w:pPr>
        <w:numPr>
          <w:ilvl w:val="0"/>
          <w:numId w:val="0"/>
        </w:num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3、一次性维修金额在1000元以上的，温州市中医院委托第三方（中国人民财产保险股份有限公司温州分公司）核价确定，由温州市中医院车辆直接管理人确认和分管领导签名同意后方可进行维修；</w:t>
      </w:r>
    </w:p>
    <w:p>
      <w:pPr>
        <w:numPr>
          <w:ilvl w:val="0"/>
          <w:numId w:val="0"/>
        </w:num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4、随到随修，急用急修，小修不过夜，总成大修不超过5天、整车大修不超过15天完成；</w:t>
      </w:r>
    </w:p>
    <w:p>
      <w:pPr>
        <w:numPr>
          <w:ilvl w:val="0"/>
          <w:numId w:val="0"/>
        </w:numPr>
        <w:spacing w:line="360" w:lineRule="auto"/>
        <w:ind w:firstLine="480" w:firstLineChars="200"/>
        <w:rPr>
          <w:rFonts w:hint="eastAsia" w:ascii="宋体" w:hAnsi="宋体" w:cs="宋体"/>
          <w:b w:val="0"/>
          <w:bCs/>
          <w:sz w:val="24"/>
          <w:szCs w:val="24"/>
        </w:rPr>
      </w:pPr>
      <w:r>
        <w:rPr>
          <w:rFonts w:hint="eastAsia" w:ascii="宋体" w:hAnsi="宋体" w:cs="宋体"/>
          <w:b w:val="0"/>
          <w:bCs/>
          <w:sz w:val="24"/>
          <w:szCs w:val="24"/>
        </w:rPr>
        <w:t>5、其他未尽事宜，参照《温州市市级机关事业单位公务用车维修管理办法》（温财采【2013】851号）执行。</w:t>
      </w:r>
    </w:p>
    <w:p>
      <w:pPr>
        <w:numPr>
          <w:ilvl w:val="0"/>
          <w:numId w:val="2"/>
        </w:numPr>
        <w:spacing w:line="360" w:lineRule="auto"/>
        <w:rPr>
          <w:rFonts w:hint="eastAsia" w:ascii="宋体" w:hAnsi="宋体" w:cs="宋体"/>
          <w:b/>
          <w:sz w:val="28"/>
          <w:szCs w:val="28"/>
        </w:rPr>
      </w:pPr>
      <w:r>
        <w:rPr>
          <w:rFonts w:hint="eastAsia" w:ascii="宋体" w:hAnsi="宋体" w:cs="宋体"/>
          <w:b/>
          <w:sz w:val="28"/>
          <w:szCs w:val="28"/>
          <w:lang w:val="en-US" w:eastAsia="zh-CN"/>
        </w:rPr>
        <w:t>车辆信息</w:t>
      </w:r>
    </w:p>
    <w:tbl>
      <w:tblPr>
        <w:tblStyle w:val="18"/>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3900"/>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b/>
                <w:bCs/>
                <w:i w:val="0"/>
                <w:iCs w:val="0"/>
                <w:caps w:val="0"/>
                <w:color w:val="auto"/>
                <w:spacing w:val="0"/>
                <w:kern w:val="0"/>
                <w:sz w:val="24"/>
                <w:szCs w:val="24"/>
                <w:lang w:val="en-US" w:eastAsia="zh-CN" w:bidi="ar"/>
              </w:rPr>
            </w:pPr>
            <w:r>
              <w:rPr>
                <w:rFonts w:hint="eastAsia" w:ascii="宋体" w:hAnsi="宋体" w:cs="宋体"/>
                <w:b/>
                <w:bCs/>
                <w:i w:val="0"/>
                <w:iCs w:val="0"/>
                <w:caps w:val="0"/>
                <w:color w:val="auto"/>
                <w:spacing w:val="0"/>
                <w:kern w:val="0"/>
                <w:sz w:val="24"/>
                <w:szCs w:val="24"/>
                <w:lang w:val="en-US" w:eastAsia="zh-CN" w:bidi="ar"/>
              </w:rPr>
              <w:t>序号</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bCs/>
                <w:color w:val="auto"/>
                <w:sz w:val="24"/>
                <w:szCs w:val="24"/>
                <w:vertAlign w:val="baseline"/>
                <w:lang w:val="en-US" w:eastAsia="zh-CN"/>
              </w:rPr>
            </w:pPr>
            <w:r>
              <w:rPr>
                <w:rFonts w:ascii="宋体" w:hAnsi="宋体" w:eastAsia="宋体" w:cs="宋体"/>
                <w:b/>
                <w:bCs/>
                <w:i w:val="0"/>
                <w:iCs w:val="0"/>
                <w:caps w:val="0"/>
                <w:color w:val="auto"/>
                <w:spacing w:val="0"/>
                <w:kern w:val="0"/>
                <w:sz w:val="24"/>
                <w:szCs w:val="24"/>
                <w:lang w:val="en-US" w:eastAsia="zh-CN" w:bidi="ar"/>
              </w:rPr>
              <w:t>品牌类型</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bCs/>
                <w:color w:val="auto"/>
                <w:sz w:val="24"/>
                <w:szCs w:val="24"/>
                <w:vertAlign w:val="baseline"/>
                <w:lang w:val="en-US" w:eastAsia="zh-CN"/>
              </w:rPr>
            </w:pPr>
            <w:r>
              <w:rPr>
                <w:rFonts w:ascii="宋体" w:hAnsi="宋体" w:eastAsia="宋体" w:cs="宋体"/>
                <w:b/>
                <w:bCs/>
                <w:i w:val="0"/>
                <w:iCs w:val="0"/>
                <w:caps w:val="0"/>
                <w:color w:val="auto"/>
                <w:spacing w:val="0"/>
                <w:kern w:val="0"/>
                <w:sz w:val="24"/>
                <w:szCs w:val="24"/>
                <w:lang w:val="en-US" w:eastAsia="zh-CN" w:bidi="ar"/>
              </w:rPr>
              <w:t>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cs="宋体"/>
                <w:i w:val="0"/>
                <w:iCs w:val="0"/>
                <w:caps w:val="0"/>
                <w:color w:val="auto"/>
                <w:spacing w:val="0"/>
                <w:kern w:val="0"/>
                <w:sz w:val="24"/>
                <w:szCs w:val="24"/>
                <w:lang w:val="en-US" w:eastAsia="zh-CN" w:bidi="ar"/>
              </w:rPr>
              <w:t>1</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广本奥德赛</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aps w:val="0"/>
                <w:color w:val="auto"/>
                <w:spacing w:val="0"/>
                <w:kern w:val="0"/>
                <w:sz w:val="24"/>
                <w:szCs w:val="24"/>
                <w:lang w:val="en-US" w:eastAsia="zh-CN" w:bidi="ar"/>
              </w:rPr>
              <w:t>MPV</w:t>
            </w:r>
            <w:r>
              <w:rPr>
                <w:rFonts w:ascii="宋体" w:hAnsi="宋体" w:eastAsia="宋体" w:cs="宋体"/>
                <w:i w:val="0"/>
                <w:iCs w:val="0"/>
                <w:caps w:val="0"/>
                <w:color w:val="auto"/>
                <w:spacing w:val="0"/>
                <w:kern w:val="0"/>
                <w:sz w:val="24"/>
                <w:szCs w:val="24"/>
                <w:lang w:val="en-US" w:eastAsia="zh-CN" w:bidi="ar"/>
              </w:rPr>
              <w:t>商务车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cs="宋体"/>
                <w:i w:val="0"/>
                <w:iCs w:val="0"/>
                <w:caps w:val="0"/>
                <w:color w:val="auto"/>
                <w:spacing w:val="0"/>
                <w:kern w:val="0"/>
                <w:sz w:val="24"/>
                <w:szCs w:val="24"/>
                <w:lang w:val="en-US" w:eastAsia="zh-CN" w:bidi="ar"/>
              </w:rPr>
              <w:t>2</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依维柯轻型</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中型客车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魁士牌</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cs="宋体"/>
                <w:i w:val="0"/>
                <w:iCs w:val="0"/>
                <w:caps w:val="0"/>
                <w:color w:val="auto"/>
                <w:spacing w:val="0"/>
                <w:kern w:val="0"/>
                <w:sz w:val="24"/>
                <w:szCs w:val="24"/>
                <w:lang w:val="en-US" w:eastAsia="zh-CN" w:bidi="ar"/>
              </w:rPr>
              <w:t>4</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西北牌</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cs="宋体"/>
                <w:i w:val="0"/>
                <w:iCs w:val="0"/>
                <w:caps w:val="0"/>
                <w:color w:val="auto"/>
                <w:spacing w:val="0"/>
                <w:kern w:val="0"/>
                <w:sz w:val="24"/>
                <w:szCs w:val="24"/>
                <w:lang w:val="en-US" w:eastAsia="zh-CN" w:bidi="ar"/>
              </w:rPr>
              <w:t>5</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新阳牌</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申驰牌</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cs="宋体"/>
                <w:i w:val="0"/>
                <w:iCs w:val="0"/>
                <w:caps w:val="0"/>
                <w:color w:val="auto"/>
                <w:spacing w:val="0"/>
                <w:kern w:val="0"/>
                <w:sz w:val="24"/>
                <w:szCs w:val="24"/>
                <w:lang w:val="en-US" w:eastAsia="zh-CN" w:bidi="ar"/>
              </w:rPr>
              <w:t>7</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上汽大通</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凯福莱牌</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top"/>
          </w:tcPr>
          <w:p>
            <w:pPr>
              <w:keepNext w:val="0"/>
              <w:keepLines w:val="0"/>
              <w:widowControl/>
              <w:suppressLineNumbers w:val="0"/>
              <w:spacing w:before="0" w:beforeAutospacing="1" w:after="0" w:afterAutospacing="1"/>
              <w:ind w:left="0" w:leftChars="0" w:right="0" w:rightChars="0"/>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3900"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程力重工牌</w:t>
            </w:r>
          </w:p>
        </w:tc>
        <w:tc>
          <w:tcPr>
            <w:tcW w:w="4125" w:type="dxa"/>
            <w:vAlign w:val="top"/>
          </w:tcPr>
          <w:p>
            <w:pPr>
              <w:keepNext w:val="0"/>
              <w:keepLines w:val="0"/>
              <w:widowControl/>
              <w:suppressLineNumbers w:val="0"/>
              <w:spacing w:before="0" w:beforeAutospacing="1" w:after="0" w:afterAutospacing="1"/>
              <w:ind w:left="0" w:leftChars="0" w:right="0" w:rightChars="0"/>
              <w:jc w:val="center"/>
              <w:rPr>
                <w:rFonts w:hint="eastAsia" w:ascii="宋体" w:hAnsi="宋体" w:eastAsia="宋体" w:cs="宋体"/>
                <w:b w:val="0"/>
                <w:bCs/>
                <w:color w:val="auto"/>
                <w:sz w:val="24"/>
                <w:szCs w:val="24"/>
                <w:vertAlign w:val="baseline"/>
                <w:lang w:val="en-US" w:eastAsia="zh-CN"/>
              </w:rPr>
            </w:pPr>
            <w:r>
              <w:rPr>
                <w:rFonts w:ascii="宋体" w:hAnsi="宋体" w:eastAsia="宋体" w:cs="宋体"/>
                <w:i w:val="0"/>
                <w:iCs w:val="0"/>
                <w:caps w:val="0"/>
                <w:color w:val="auto"/>
                <w:spacing w:val="0"/>
                <w:kern w:val="0"/>
                <w:sz w:val="24"/>
                <w:szCs w:val="24"/>
                <w:lang w:val="en-US" w:eastAsia="zh-CN" w:bidi="ar"/>
              </w:rPr>
              <w:t>其他（救护车）</w:t>
            </w:r>
          </w:p>
        </w:tc>
      </w:tr>
    </w:tbl>
    <w:p>
      <w:pPr>
        <w:numPr>
          <w:ilvl w:val="0"/>
          <w:numId w:val="0"/>
        </w:numPr>
        <w:spacing w:line="360" w:lineRule="auto"/>
        <w:rPr>
          <w:rFonts w:hint="eastAsia" w:ascii="宋体" w:hAnsi="宋体" w:eastAsia="宋体" w:cs="宋体"/>
          <w:b w:val="0"/>
          <w:bCs/>
          <w:sz w:val="24"/>
          <w:szCs w:val="24"/>
          <w:lang w:val="en-US" w:eastAsia="zh-CN"/>
        </w:rPr>
      </w:pPr>
    </w:p>
    <w:p>
      <w:pPr>
        <w:spacing w:line="360" w:lineRule="auto"/>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四、服务期限：</w:t>
      </w:r>
    </w:p>
    <w:p>
      <w:pPr>
        <w:spacing w:line="360" w:lineRule="auto"/>
        <w:ind w:firstLine="480" w:firstLineChars="200"/>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从合同签订生效日起两年。（合同期满后，视维修供应商服务能力与质量可续签合同一年）</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pStyle w:val="2"/>
        <w:spacing w:line="360" w:lineRule="auto"/>
        <w:ind w:left="0" w:leftChars="0" w:firstLine="480" w:firstLineChars="200"/>
        <w:rPr>
          <w:rFonts w:hint="eastAsia" w:ascii="宋体" w:hAnsi="宋体"/>
          <w:b/>
          <w:bCs/>
          <w:color w:val="000000"/>
          <w:sz w:val="28"/>
          <w:szCs w:val="28"/>
          <w:lang w:val="en-US" w:eastAsia="zh-CN"/>
        </w:rPr>
      </w:pPr>
      <w:r>
        <w:rPr>
          <w:rFonts w:hint="eastAsia" w:ascii="宋体" w:hAnsi="宋体" w:cs="黑体"/>
          <w:b w:val="0"/>
          <w:bCs w:val="0"/>
          <w:sz w:val="24"/>
          <w:szCs w:val="24"/>
          <w:lang w:val="en-US" w:eastAsia="zh-CN"/>
        </w:rPr>
        <w:t>采购人对车辆维修单核对确认无误后每月按实际维修情况进行费用结算，中标人开具发票，采购人在收到中标人发票后三个月内支付。</w:t>
      </w:r>
    </w:p>
    <w:p>
      <w:pPr>
        <w:spacing w:line="360" w:lineRule="auto"/>
        <w:rPr>
          <w:rFonts w:hint="eastAsia" w:ascii="宋体" w:hAnsi="宋体"/>
          <w:b/>
          <w:bCs/>
          <w:color w:val="000000"/>
          <w:sz w:val="28"/>
          <w:szCs w:val="28"/>
          <w:lang w:val="en-US" w:eastAsia="zh-CN"/>
        </w:rPr>
      </w:pPr>
    </w:p>
    <w:p>
      <w:pPr>
        <w:spacing w:line="360" w:lineRule="auto"/>
        <w:rPr>
          <w:rFonts w:hint="default"/>
          <w:lang w:val="en-US" w:eastAsia="zh-CN"/>
        </w:rPr>
      </w:pPr>
      <w:r>
        <w:rPr>
          <w:rFonts w:hint="eastAsia" w:ascii="宋体" w:hAnsi="宋体"/>
          <w:b/>
          <w:bCs/>
          <w:color w:val="000000"/>
          <w:sz w:val="28"/>
          <w:szCs w:val="28"/>
          <w:lang w:val="en-US" w:eastAsia="zh-CN"/>
        </w:rPr>
        <w:t>六</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20"/>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70"/>
        <w:gridCol w:w="622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47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评分项目</w:t>
            </w:r>
          </w:p>
        </w:tc>
        <w:tc>
          <w:tcPr>
            <w:tcW w:w="622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评 分 细 则</w:t>
            </w:r>
          </w:p>
        </w:tc>
        <w:tc>
          <w:tcPr>
            <w:tcW w:w="1110"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7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修理点距离</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（10分）</w:t>
            </w:r>
          </w:p>
        </w:tc>
        <w:tc>
          <w:tcPr>
            <w:tcW w:w="6225" w:type="dxa"/>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综合修理地</w:t>
            </w:r>
            <w:r>
              <w:rPr>
                <w:rFonts w:hint="eastAsia" w:ascii="宋体" w:hAnsi="宋体" w:eastAsia="宋体" w:cs="宋体"/>
                <w:sz w:val="21"/>
                <w:szCs w:val="21"/>
              </w:rPr>
              <w:t>点距离温州市中医院（六虹桥</w:t>
            </w:r>
            <w:r>
              <w:rPr>
                <w:rFonts w:hint="eastAsia" w:ascii="宋体" w:hAnsi="宋体" w:eastAsia="宋体" w:cs="宋体"/>
                <w:sz w:val="21"/>
                <w:szCs w:val="21"/>
                <w:lang w:val="en-US" w:eastAsia="zh-CN"/>
              </w:rPr>
              <w:t>新</w:t>
            </w:r>
            <w:r>
              <w:rPr>
                <w:rFonts w:hint="eastAsia" w:ascii="宋体" w:hAnsi="宋体" w:eastAsia="宋体" w:cs="宋体"/>
                <w:sz w:val="21"/>
                <w:szCs w:val="21"/>
              </w:rPr>
              <w:t>院区）在2.5公里（含）以内的得10分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超出距离范围的，</w:t>
            </w:r>
            <w:r>
              <w:rPr>
                <w:rFonts w:hint="eastAsia" w:ascii="宋体" w:hAnsi="宋体" w:eastAsia="宋体" w:cs="宋体"/>
                <w:sz w:val="21"/>
                <w:szCs w:val="21"/>
              </w:rPr>
              <w:t>每多</w:t>
            </w:r>
            <w:r>
              <w:rPr>
                <w:rFonts w:hint="eastAsia" w:ascii="宋体" w:hAnsi="宋体" w:eastAsia="宋体" w:cs="宋体"/>
                <w:sz w:val="21"/>
                <w:szCs w:val="21"/>
                <w:lang w:val="en-US" w:eastAsia="zh-CN"/>
              </w:rPr>
              <w:t>0.1公里</w:t>
            </w:r>
            <w:r>
              <w:rPr>
                <w:rFonts w:hint="eastAsia" w:ascii="宋体" w:hAnsi="宋体" w:eastAsia="宋体" w:cs="宋体"/>
                <w:sz w:val="21"/>
                <w:szCs w:val="21"/>
              </w:rPr>
              <w:t>减1分，直至减至0分为止</w:t>
            </w:r>
            <w:r>
              <w:rPr>
                <w:rFonts w:hint="eastAsia" w:ascii="宋体" w:hAnsi="宋体" w:eastAsia="宋体" w:cs="宋体"/>
                <w:sz w:val="21"/>
                <w:szCs w:val="21"/>
                <w:lang w:eastAsia="zh-CN"/>
              </w:rPr>
              <w:t>。</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判断依据：</w:t>
            </w:r>
          </w:p>
          <w:p>
            <w:pPr>
              <w:numPr>
                <w:ilvl w:val="0"/>
                <w:numId w:val="3"/>
              </w:numPr>
              <w:jc w:val="left"/>
              <w:rPr>
                <w:rFonts w:hint="eastAsia" w:ascii="宋体" w:hAnsi="宋体" w:eastAsia="宋体" w:cs="宋体"/>
                <w:sz w:val="21"/>
                <w:szCs w:val="21"/>
              </w:rPr>
            </w:pPr>
            <w:r>
              <w:rPr>
                <w:rFonts w:hint="eastAsia" w:ascii="宋体" w:hAnsi="宋体" w:eastAsia="宋体" w:cs="宋体"/>
                <w:sz w:val="21"/>
                <w:szCs w:val="21"/>
              </w:rPr>
              <w:t>以手机</w:t>
            </w:r>
            <w:r>
              <w:rPr>
                <w:rFonts w:hint="eastAsia" w:ascii="宋体" w:hAnsi="宋体" w:eastAsia="宋体" w:cs="宋体"/>
                <w:sz w:val="21"/>
                <w:szCs w:val="21"/>
                <w:lang w:eastAsia="zh-CN"/>
              </w:rPr>
              <w:t>“</w:t>
            </w:r>
            <w:r>
              <w:rPr>
                <w:rFonts w:hint="eastAsia" w:ascii="宋体" w:hAnsi="宋体" w:eastAsia="宋体" w:cs="宋体"/>
                <w:sz w:val="21"/>
                <w:szCs w:val="21"/>
              </w:rPr>
              <w:t>高德地图</w:t>
            </w:r>
            <w:r>
              <w:rPr>
                <w:rFonts w:hint="eastAsia" w:ascii="宋体" w:hAnsi="宋体" w:eastAsia="宋体" w:cs="宋体"/>
                <w:sz w:val="21"/>
                <w:szCs w:val="21"/>
                <w:lang w:eastAsia="zh-CN"/>
              </w:rPr>
              <w:t>”</w:t>
            </w:r>
            <w:r>
              <w:rPr>
                <w:rFonts w:hint="eastAsia" w:ascii="宋体" w:hAnsi="宋体" w:eastAsia="宋体" w:cs="宋体"/>
                <w:sz w:val="21"/>
                <w:szCs w:val="21"/>
              </w:rPr>
              <w:t>APP显示数据为准</w:t>
            </w:r>
            <w:r>
              <w:rPr>
                <w:rFonts w:hint="eastAsia" w:ascii="宋体" w:hAnsi="宋体" w:eastAsia="宋体" w:cs="宋体"/>
                <w:sz w:val="21"/>
                <w:szCs w:val="21"/>
                <w:lang w:eastAsia="zh-CN"/>
              </w:rPr>
              <w:t>；</w:t>
            </w:r>
          </w:p>
          <w:p>
            <w:pPr>
              <w:numPr>
                <w:ilvl w:val="0"/>
                <w:numId w:val="3"/>
              </w:numPr>
              <w:jc w:val="left"/>
              <w:rPr>
                <w:rFonts w:hint="eastAsia" w:ascii="宋体" w:hAnsi="宋体" w:eastAsia="宋体" w:cs="宋体"/>
                <w:sz w:val="21"/>
                <w:szCs w:val="21"/>
              </w:rPr>
            </w:pPr>
            <w:r>
              <w:rPr>
                <w:rFonts w:hint="eastAsia" w:ascii="宋体" w:hAnsi="宋体" w:eastAsia="宋体" w:cs="宋体"/>
                <w:sz w:val="21"/>
                <w:szCs w:val="21"/>
                <w:lang w:val="en-US" w:eastAsia="zh-CN"/>
              </w:rPr>
              <w:t>选择“高德地图”APP中的“驾车”模式；</w:t>
            </w:r>
          </w:p>
          <w:p>
            <w:pPr>
              <w:numPr>
                <w:ilvl w:val="0"/>
                <w:numId w:val="3"/>
              </w:numPr>
              <w:jc w:val="left"/>
              <w:rPr>
                <w:rFonts w:hint="eastAsia" w:ascii="宋体" w:hAnsi="宋体" w:eastAsia="宋体" w:cs="宋体"/>
                <w:sz w:val="21"/>
                <w:szCs w:val="21"/>
              </w:rPr>
            </w:pPr>
            <w:r>
              <w:rPr>
                <w:rFonts w:hint="eastAsia" w:ascii="宋体" w:hAnsi="宋体" w:eastAsia="宋体" w:cs="宋体"/>
                <w:sz w:val="21"/>
                <w:szCs w:val="21"/>
                <w:lang w:val="en-US" w:eastAsia="zh-CN"/>
              </w:rPr>
              <w:t>设置起点为：温州市中医院（六虹桥新院区），设置终点为：具体修理点名称；</w:t>
            </w:r>
          </w:p>
          <w:p>
            <w:pPr>
              <w:numPr>
                <w:ilvl w:val="0"/>
                <w:numId w:val="3"/>
              </w:numPr>
              <w:jc w:val="left"/>
              <w:rPr>
                <w:rFonts w:hint="eastAsia" w:ascii="宋体" w:hAnsi="宋体" w:eastAsia="宋体" w:cs="宋体"/>
                <w:sz w:val="21"/>
                <w:szCs w:val="21"/>
              </w:rPr>
            </w:pPr>
            <w:r>
              <w:rPr>
                <w:rFonts w:hint="eastAsia" w:ascii="宋体" w:hAnsi="宋体" w:eastAsia="宋体" w:cs="宋体"/>
                <w:sz w:val="21"/>
                <w:szCs w:val="21"/>
                <w:lang w:val="en-US" w:eastAsia="zh-CN"/>
              </w:rPr>
              <w:t>通过以上规则设置后，以APP</w:t>
            </w:r>
            <w:r>
              <w:rPr>
                <w:rFonts w:hint="eastAsia" w:ascii="宋体" w:hAnsi="宋体" w:eastAsia="宋体" w:cs="宋体"/>
                <w:sz w:val="21"/>
                <w:szCs w:val="21"/>
              </w:rPr>
              <w:t>最短距离显示数据为准，</w:t>
            </w:r>
            <w:r>
              <w:rPr>
                <w:rFonts w:hint="eastAsia" w:ascii="宋体" w:hAnsi="宋体" w:eastAsia="宋体" w:cs="宋体"/>
                <w:sz w:val="21"/>
                <w:szCs w:val="21"/>
                <w:lang w:val="en-US" w:eastAsia="zh-CN"/>
              </w:rPr>
              <w:t>需</w:t>
            </w:r>
            <w:r>
              <w:rPr>
                <w:rFonts w:hint="eastAsia" w:ascii="宋体" w:hAnsi="宋体" w:eastAsia="宋体" w:cs="宋体"/>
                <w:sz w:val="21"/>
                <w:szCs w:val="21"/>
              </w:rPr>
              <w:t>提供手机</w:t>
            </w:r>
            <w:r>
              <w:rPr>
                <w:rFonts w:hint="eastAsia" w:ascii="宋体" w:hAnsi="宋体" w:eastAsia="宋体" w:cs="宋体"/>
                <w:sz w:val="21"/>
                <w:szCs w:val="21"/>
                <w:lang w:eastAsia="zh-CN"/>
              </w:rPr>
              <w:t>“</w:t>
            </w:r>
            <w:r>
              <w:rPr>
                <w:rFonts w:hint="eastAsia" w:ascii="宋体" w:hAnsi="宋体" w:eastAsia="宋体" w:cs="宋体"/>
                <w:sz w:val="21"/>
                <w:szCs w:val="21"/>
              </w:rPr>
              <w:t>高德地图</w:t>
            </w:r>
            <w:r>
              <w:rPr>
                <w:rFonts w:hint="eastAsia" w:ascii="宋体" w:hAnsi="宋体" w:eastAsia="宋体" w:cs="宋体"/>
                <w:sz w:val="21"/>
                <w:szCs w:val="21"/>
                <w:lang w:eastAsia="zh-CN"/>
              </w:rPr>
              <w:t>”</w:t>
            </w:r>
            <w:r>
              <w:rPr>
                <w:rFonts w:hint="eastAsia" w:ascii="宋体" w:hAnsi="宋体" w:eastAsia="宋体" w:cs="宋体"/>
                <w:sz w:val="21"/>
                <w:szCs w:val="21"/>
              </w:rPr>
              <w:t>APP</w:t>
            </w:r>
            <w:r>
              <w:rPr>
                <w:rFonts w:hint="eastAsia" w:ascii="宋体" w:hAnsi="宋体" w:eastAsia="宋体" w:cs="宋体"/>
                <w:sz w:val="21"/>
                <w:szCs w:val="21"/>
                <w:lang w:val="en-US" w:eastAsia="zh-CN"/>
              </w:rPr>
              <w:t>显示数据</w:t>
            </w:r>
            <w:r>
              <w:rPr>
                <w:rFonts w:hint="eastAsia" w:ascii="宋体" w:hAnsi="宋体" w:eastAsia="宋体" w:cs="宋体"/>
                <w:sz w:val="21"/>
                <w:szCs w:val="21"/>
              </w:rPr>
              <w:t>截图，</w:t>
            </w:r>
            <w:r>
              <w:rPr>
                <w:rFonts w:hint="eastAsia" w:ascii="宋体" w:hAnsi="宋体" w:eastAsia="宋体" w:cs="宋体"/>
                <w:sz w:val="21"/>
                <w:szCs w:val="21"/>
                <w:lang w:val="en-US" w:eastAsia="zh-CN"/>
              </w:rPr>
              <w:t>未提供截图或未按照以上规则设置显示的数据</w:t>
            </w:r>
            <w:r>
              <w:rPr>
                <w:rFonts w:hint="eastAsia" w:ascii="宋体" w:hAnsi="宋体" w:eastAsia="宋体" w:cs="宋体"/>
                <w:sz w:val="21"/>
                <w:szCs w:val="21"/>
              </w:rPr>
              <w:t>不得分）</w:t>
            </w:r>
            <w:r>
              <w:rPr>
                <w:rFonts w:hint="eastAsia" w:ascii="宋体" w:hAnsi="宋体" w:eastAsia="宋体" w:cs="宋体"/>
                <w:sz w:val="21"/>
                <w:szCs w:val="21"/>
                <w:lang w:eastAsia="zh-CN"/>
              </w:rPr>
              <w:t>。</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p>
            <w:pPr>
              <w:jc w:val="center"/>
              <w:rPr>
                <w:rFonts w:hint="eastAsia" w:ascii="宋体" w:hAnsi="宋体" w:eastAsia="宋体" w:cs="宋体"/>
                <w:sz w:val="21"/>
                <w:szCs w:val="21"/>
              </w:rPr>
            </w:pPr>
          </w:p>
        </w:tc>
        <w:tc>
          <w:tcPr>
            <w:tcW w:w="147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场地设施（</w:t>
            </w:r>
            <w:r>
              <w:rPr>
                <w:rFonts w:hint="eastAsia" w:ascii="宋体" w:hAnsi="宋体" w:eastAsia="宋体" w:cs="宋体"/>
                <w:sz w:val="21"/>
                <w:szCs w:val="21"/>
                <w:lang w:val="en-US" w:eastAsia="zh-CN"/>
              </w:rPr>
              <w:t>21</w:t>
            </w:r>
            <w:r>
              <w:rPr>
                <w:rFonts w:hint="eastAsia" w:ascii="宋体" w:hAnsi="宋体" w:eastAsia="宋体" w:cs="宋体"/>
                <w:sz w:val="21"/>
                <w:szCs w:val="21"/>
              </w:rPr>
              <w:t>分）</w:t>
            </w:r>
          </w:p>
        </w:tc>
        <w:tc>
          <w:tcPr>
            <w:tcW w:w="6225"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维修车间面积（标准结构的维修车间，不含露天区域）≥1000M²的得2分，需提供平面尺寸图，否则不得分。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维修车间内具备机修工位数10个（含）以上得5分，每少1个机修工位减0.5分，直至减至0分为止；需提供平面图或相关佐证，否则不得分。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具备</w:t>
            </w:r>
            <w:r>
              <w:rPr>
                <w:rFonts w:hint="eastAsia" w:ascii="宋体" w:hAnsi="宋体" w:eastAsia="宋体" w:cs="宋体"/>
                <w:sz w:val="21"/>
                <w:szCs w:val="21"/>
              </w:rPr>
              <w:t>客户接待休息室的得2分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w:t>
            </w:r>
            <w:r>
              <w:rPr>
                <w:rFonts w:hint="eastAsia" w:ascii="宋体" w:hAnsi="宋体" w:eastAsia="宋体" w:cs="宋体"/>
                <w:sz w:val="21"/>
                <w:szCs w:val="21"/>
              </w:rPr>
              <w:t>附经营场所一览表</w:t>
            </w:r>
            <w:r>
              <w:rPr>
                <w:rFonts w:hint="eastAsia" w:ascii="宋体" w:hAnsi="宋体" w:eastAsia="宋体" w:cs="宋体"/>
                <w:sz w:val="21"/>
                <w:szCs w:val="21"/>
                <w:lang w:eastAsia="zh-CN"/>
              </w:rPr>
              <w:t>、</w:t>
            </w:r>
            <w:r>
              <w:rPr>
                <w:rFonts w:hint="eastAsia" w:ascii="宋体" w:hAnsi="宋体" w:eastAsia="宋体" w:cs="宋体"/>
                <w:sz w:val="21"/>
                <w:szCs w:val="21"/>
              </w:rPr>
              <w:t>彩照</w:t>
            </w:r>
            <w:r>
              <w:rPr>
                <w:rFonts w:hint="eastAsia" w:ascii="宋体" w:hAnsi="宋体" w:eastAsia="宋体" w:cs="宋体"/>
                <w:sz w:val="21"/>
                <w:szCs w:val="21"/>
                <w:lang w:val="en-US" w:eastAsia="zh-CN"/>
              </w:rPr>
              <w:t>及</w:t>
            </w:r>
            <w:r>
              <w:rPr>
                <w:rFonts w:hint="eastAsia" w:ascii="宋体" w:hAnsi="宋体" w:eastAsia="宋体" w:cs="宋体"/>
                <w:sz w:val="21"/>
                <w:szCs w:val="21"/>
              </w:rPr>
              <w:t>平面图，</w:t>
            </w:r>
            <w:r>
              <w:rPr>
                <w:rFonts w:hint="eastAsia" w:ascii="宋体" w:hAnsi="宋体" w:eastAsia="宋体" w:cs="宋体"/>
                <w:sz w:val="21"/>
                <w:szCs w:val="21"/>
                <w:lang w:val="en-US" w:eastAsia="zh-CN"/>
              </w:rPr>
              <w:t>缺一不予认可得分</w:t>
            </w:r>
            <w:r>
              <w:rPr>
                <w:rFonts w:hint="eastAsia" w:ascii="宋体" w:hAnsi="宋体" w:eastAsia="宋体" w:cs="宋体"/>
                <w:sz w:val="21"/>
                <w:szCs w:val="21"/>
              </w:rPr>
              <w:t>。</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具备配件库</w:t>
            </w:r>
            <w:r>
              <w:rPr>
                <w:rFonts w:hint="eastAsia" w:ascii="宋体" w:hAnsi="宋体" w:eastAsia="宋体" w:cs="宋体"/>
                <w:sz w:val="21"/>
                <w:szCs w:val="21"/>
                <w:lang w:val="en-US" w:eastAsia="zh-CN"/>
              </w:rPr>
              <w:t>的</w:t>
            </w:r>
            <w:r>
              <w:rPr>
                <w:rFonts w:hint="eastAsia" w:ascii="宋体" w:hAnsi="宋体" w:eastAsia="宋体" w:cs="宋体"/>
                <w:sz w:val="21"/>
                <w:szCs w:val="21"/>
              </w:rPr>
              <w:t>得2分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w:t>
            </w:r>
            <w:r>
              <w:rPr>
                <w:rFonts w:hint="eastAsia" w:ascii="宋体" w:hAnsi="宋体" w:eastAsia="宋体" w:cs="宋体"/>
                <w:sz w:val="21"/>
                <w:szCs w:val="21"/>
              </w:rPr>
              <w:t>提供配件库平面图</w:t>
            </w:r>
            <w:r>
              <w:rPr>
                <w:rFonts w:hint="eastAsia" w:ascii="宋体" w:hAnsi="宋体" w:eastAsia="宋体" w:cs="宋体"/>
                <w:sz w:val="21"/>
                <w:szCs w:val="21"/>
                <w:lang w:val="en-US" w:eastAsia="zh-CN"/>
              </w:rPr>
              <w:t>及</w:t>
            </w:r>
            <w:r>
              <w:rPr>
                <w:rFonts w:hint="eastAsia" w:ascii="宋体" w:hAnsi="宋体" w:eastAsia="宋体" w:cs="宋体"/>
                <w:sz w:val="21"/>
                <w:szCs w:val="21"/>
              </w:rPr>
              <w:t>实景图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缺一不予认可得分。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配备有如下设备且提供材料完善的：（共10分）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1、电控系统检测设备（1分）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2、电喷燃油系统清洗设备（1分）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3、发动机检测仪（1分）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4、新能源落地式充电桩（1分）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5、悬架装置检测台（1分）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发动机净化</w:t>
            </w:r>
            <w:r>
              <w:rPr>
                <w:rFonts w:hint="eastAsia" w:ascii="宋体" w:hAnsi="宋体" w:eastAsia="宋体" w:cs="宋体"/>
                <w:sz w:val="21"/>
                <w:szCs w:val="21"/>
              </w:rPr>
              <w:t>设备（1分）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7、电脑诊断仪（1分）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8、尾气分析仪（1分）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9、举升机（1分）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10、烤漆房（1分）</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t>（每样设备需提供发票</w:t>
            </w:r>
            <w:r>
              <w:rPr>
                <w:rFonts w:hint="eastAsia" w:ascii="宋体" w:hAnsi="宋体" w:eastAsia="宋体" w:cs="宋体"/>
                <w:sz w:val="21"/>
                <w:szCs w:val="21"/>
                <w:lang w:val="en-US" w:eastAsia="zh-CN"/>
              </w:rPr>
              <w:t>复印件</w:t>
            </w:r>
            <w:r>
              <w:rPr>
                <w:rFonts w:hint="eastAsia" w:ascii="宋体" w:hAnsi="宋体" w:eastAsia="宋体" w:cs="宋体"/>
                <w:sz w:val="21"/>
                <w:szCs w:val="21"/>
              </w:rPr>
              <w:t>或</w:t>
            </w:r>
            <w:r>
              <w:rPr>
                <w:rFonts w:hint="eastAsia" w:ascii="宋体" w:hAnsi="宋体" w:eastAsia="宋体" w:cs="宋体"/>
                <w:sz w:val="21"/>
                <w:szCs w:val="21"/>
                <w:lang w:val="en-US" w:eastAsia="zh-CN"/>
              </w:rPr>
              <w:t>采购合同复印件</w:t>
            </w:r>
            <w:r>
              <w:rPr>
                <w:rFonts w:hint="eastAsia" w:ascii="宋体" w:hAnsi="宋体" w:eastAsia="宋体" w:cs="宋体"/>
                <w:sz w:val="21"/>
                <w:szCs w:val="21"/>
              </w:rPr>
              <w:t>，</w:t>
            </w:r>
            <w:r>
              <w:rPr>
                <w:rFonts w:hint="eastAsia" w:ascii="宋体" w:hAnsi="宋体" w:eastAsia="宋体" w:cs="宋体"/>
                <w:sz w:val="21"/>
                <w:szCs w:val="21"/>
                <w:lang w:val="en-US" w:eastAsia="zh-CN"/>
              </w:rPr>
              <w:t>并加盖公章，</w:t>
            </w:r>
            <w:r>
              <w:rPr>
                <w:rFonts w:hint="eastAsia" w:ascii="宋体" w:hAnsi="宋体" w:eastAsia="宋体" w:cs="宋体"/>
                <w:sz w:val="21"/>
                <w:szCs w:val="21"/>
              </w:rPr>
              <w:t>否则不得分）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7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技术力量（10分）</w:t>
            </w:r>
          </w:p>
        </w:tc>
        <w:tc>
          <w:tcPr>
            <w:tcW w:w="62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配备技术负责人员的得2分。</w:t>
            </w:r>
          </w:p>
          <w:p>
            <w:pPr>
              <w:rPr>
                <w:rFonts w:hint="eastAsia" w:ascii="宋体" w:hAnsi="宋体" w:eastAsia="宋体" w:cs="宋体"/>
                <w:sz w:val="21"/>
                <w:szCs w:val="21"/>
                <w:lang w:val="en-US" w:eastAsia="zh-CN"/>
              </w:rPr>
            </w:pPr>
            <w:r>
              <w:rPr>
                <w:rFonts w:hint="eastAsia" w:ascii="宋体" w:hAnsi="宋体" w:eastAsia="宋体" w:cs="宋体"/>
                <w:sz w:val="21"/>
                <w:szCs w:val="21"/>
              </w:rPr>
              <w:t>注：提供该名技术负责人全国统一考试合格资格证书及本行业主管部门培训颁发的从业资格证书复印件（持交通汽车类工程师或助理工程师、高级技师或技师证书）、身份证复印件、劳动合同复印件和</w:t>
            </w:r>
            <w:r>
              <w:rPr>
                <w:rFonts w:hint="eastAsia" w:ascii="宋体" w:hAnsi="宋体" w:cs="宋体"/>
                <w:sz w:val="21"/>
                <w:szCs w:val="21"/>
                <w:lang w:val="en-US" w:eastAsia="zh-CN"/>
              </w:rPr>
              <w:t>近三个月</w:t>
            </w:r>
            <w:r>
              <w:rPr>
                <w:rFonts w:hint="eastAsia" w:ascii="宋体" w:hAnsi="宋体" w:eastAsia="宋体" w:cs="宋体"/>
                <w:sz w:val="21"/>
                <w:szCs w:val="21"/>
              </w:rPr>
              <w:t>投标人为其连续缴纳社保证明复印件，缺一不予认可</w:t>
            </w:r>
            <w:r>
              <w:rPr>
                <w:rFonts w:hint="eastAsia" w:ascii="宋体" w:hAnsi="宋体" w:eastAsia="宋体" w:cs="宋体"/>
                <w:sz w:val="21"/>
                <w:szCs w:val="21"/>
                <w:lang w:val="en-US" w:eastAsia="zh-CN"/>
              </w:rPr>
              <w:t>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配备质量检验员的得2分。</w:t>
            </w:r>
          </w:p>
          <w:p>
            <w:pPr>
              <w:rPr>
                <w:rFonts w:hint="eastAsia" w:ascii="宋体" w:hAnsi="宋体" w:eastAsia="宋体" w:cs="宋体"/>
                <w:color w:val="auto"/>
                <w:sz w:val="21"/>
                <w:szCs w:val="21"/>
              </w:rPr>
            </w:pPr>
            <w:r>
              <w:rPr>
                <w:rFonts w:hint="eastAsia" w:ascii="宋体" w:hAnsi="宋体" w:eastAsia="宋体" w:cs="宋体"/>
                <w:color w:val="auto"/>
                <w:sz w:val="21"/>
                <w:szCs w:val="21"/>
              </w:rPr>
              <w:t>（注：须提供资格证书、身份证复印件、劳动合同复印件和</w:t>
            </w:r>
            <w:r>
              <w:rPr>
                <w:rFonts w:hint="eastAsia" w:ascii="宋体" w:hAnsi="宋体" w:cs="宋体"/>
                <w:color w:val="auto"/>
                <w:sz w:val="21"/>
                <w:szCs w:val="21"/>
                <w:lang w:val="en-US" w:eastAsia="zh-CN"/>
              </w:rPr>
              <w:t>近三个月</w:t>
            </w:r>
            <w:r>
              <w:rPr>
                <w:rFonts w:hint="eastAsia" w:ascii="宋体" w:hAnsi="宋体" w:eastAsia="宋体" w:cs="宋体"/>
                <w:color w:val="auto"/>
                <w:sz w:val="21"/>
                <w:szCs w:val="21"/>
              </w:rPr>
              <w:t>投标人为其连续缴纳社保证明复印件，缺一不予认可得分）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配备机修、电器、钣金、涂漆等关键岗位技术人员，有技术人员10名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以上得2分，每少1名技术人员减0.2分，直至减至0分为止。</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具有汽车维修技师职称的得2分。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具有汽车维修高级技师职称的得2分。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共</w:t>
            </w:r>
            <w:r>
              <w:rPr>
                <w:rFonts w:hint="eastAsia" w:ascii="宋体" w:hAnsi="宋体" w:eastAsia="宋体" w:cs="宋体"/>
                <w:color w:val="auto"/>
                <w:sz w:val="21"/>
                <w:szCs w:val="21"/>
              </w:rPr>
              <w:t>6分）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（注：提供相关职称证书复印件、身份证复印件、劳动合同复印件和</w:t>
            </w:r>
            <w:r>
              <w:rPr>
                <w:rFonts w:hint="eastAsia" w:ascii="宋体" w:hAnsi="宋体" w:cs="宋体"/>
                <w:color w:val="auto"/>
                <w:sz w:val="21"/>
                <w:szCs w:val="21"/>
                <w:lang w:val="en-US" w:eastAsia="zh-CN"/>
              </w:rPr>
              <w:t>近三个月</w:t>
            </w:r>
            <w:r>
              <w:rPr>
                <w:rFonts w:hint="eastAsia" w:ascii="宋体" w:hAnsi="宋体" w:eastAsia="宋体" w:cs="宋体"/>
                <w:color w:val="auto"/>
                <w:sz w:val="21"/>
                <w:szCs w:val="21"/>
              </w:rPr>
              <w:t>投标人为其连续缴纳社保证明复印件，缺一不予认可</w:t>
            </w:r>
            <w:r>
              <w:rPr>
                <w:rFonts w:hint="eastAsia" w:ascii="宋体" w:hAnsi="宋体" w:eastAsia="宋体" w:cs="宋体"/>
                <w:color w:val="auto"/>
                <w:sz w:val="21"/>
                <w:szCs w:val="21"/>
                <w:lang w:val="en-US" w:eastAsia="zh-CN"/>
              </w:rPr>
              <w:t>得分</w:t>
            </w:r>
            <w:r>
              <w:rPr>
                <w:rFonts w:hint="eastAsia" w:ascii="宋体" w:hAnsi="宋体" w:eastAsia="宋体" w:cs="宋体"/>
                <w:color w:val="auto"/>
                <w:sz w:val="21"/>
                <w:szCs w:val="21"/>
              </w:rPr>
              <w:t>）</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5" w:type="dxa"/>
            <w:vMerge w:val="restar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470"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服务能力</w:t>
            </w:r>
          </w:p>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注：涉及相关承诺的，需投标人在投标资料中体现，并加盖公章，否则不得分。</w:t>
            </w: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配备交通管理部门登记在册的专业牵引车的，得1分。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（注：以投标人提供的车辆图片和车辆行驶证复印件为准，车辆行驶证记载的车主信息应与投标人单位名称</w:t>
            </w:r>
            <w:r>
              <w:rPr>
                <w:rFonts w:hint="eastAsia" w:ascii="宋体" w:hAnsi="宋体" w:eastAsia="宋体" w:cs="宋体"/>
                <w:color w:val="auto"/>
                <w:sz w:val="21"/>
                <w:szCs w:val="21"/>
                <w:lang w:val="en-US" w:eastAsia="zh-CN"/>
              </w:rPr>
              <w:t>或单位法人代表名称</w:t>
            </w:r>
            <w:r>
              <w:rPr>
                <w:rFonts w:hint="eastAsia" w:ascii="宋体" w:hAnsi="宋体" w:eastAsia="宋体" w:cs="宋体"/>
                <w:color w:val="auto"/>
                <w:sz w:val="21"/>
                <w:szCs w:val="21"/>
              </w:rPr>
              <w:t>一致，否则不予认可）</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配备紧急救援服务专用车的，得1分。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（注：以投标人提供的车辆图片和车辆行驶证复印件为准，车辆行驶证记载的车主信息应与投标人单位名称或单位法人代表名称一致，否则不予认可）</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提供救援服务方案及市内到达现场时限。根据投标人提供的救援服务方案和市内到达现场时限情况进行比较评定，A档：2分，B档：1分，C档：0分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根据投标人承诺的车辆维修、保养完成时限进行比较评定（该时限不得超过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温州市市级机关事业单位公务用车维修管理办法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时限）。A档：2分，B档：1分，C档：0分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根据投标人承诺的零配件（除易损件外）质量保证期情况进行比较评定。A档：2分，B档：1分，C档：0分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注：该项根据《常用维修工时费标准》表中承诺的质保期进行评定；表中零配件（除易损件外）质保期标准建议不少于20000公里或1年。</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承诺</w:t>
            </w: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rPr>
              <w:t>维修车辆提供免费清洁、吸尘等服务情况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承诺遇有紧急情况时，提供伴随修理和昼夜修理服务得1分，否则不得分</w:t>
            </w:r>
            <w:r>
              <w:rPr>
                <w:rFonts w:hint="eastAsia" w:ascii="宋体" w:hAnsi="宋体" w:eastAsia="宋体" w:cs="宋体"/>
                <w:color w:val="auto"/>
                <w:sz w:val="21"/>
                <w:szCs w:val="21"/>
                <w:lang w:eastAsia="zh-CN"/>
              </w:rPr>
              <w:t>。</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restar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470"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企业规模</w:t>
            </w:r>
          </w:p>
          <w:p>
            <w:pPr>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6225"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根据投标人企业注册资本进行评分，排名第一的得2分，其余依次递减0.2分，直至减至0分为止。</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（注：需提供营业执照复印件</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加盖公章，否则不得分）</w:t>
            </w:r>
          </w:p>
        </w:tc>
        <w:tc>
          <w:tcPr>
            <w:tcW w:w="1110"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tcBorders>
              <w:top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根据投标人202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年度缴纳社保金额由大至小排名，第一名得2分，其余依次递减0.2分，直至减至0分为止。</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（注：需提供</w:t>
            </w:r>
            <w:r>
              <w:rPr>
                <w:rFonts w:hint="eastAsia" w:ascii="宋体" w:hAnsi="宋体" w:eastAsia="宋体" w:cs="宋体"/>
                <w:color w:val="auto"/>
                <w:sz w:val="21"/>
                <w:szCs w:val="21"/>
                <w:lang w:val="en-US" w:eastAsia="zh-CN"/>
              </w:rPr>
              <w:t>缴纳社保证明并</w:t>
            </w:r>
            <w:r>
              <w:rPr>
                <w:rFonts w:hint="eastAsia" w:ascii="宋体" w:hAnsi="宋体" w:eastAsia="宋体" w:cs="宋体"/>
                <w:color w:val="auto"/>
                <w:sz w:val="21"/>
                <w:szCs w:val="21"/>
              </w:rPr>
              <w:t>加盖公章，否则不得分）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tcBorders>
              <w:top w:val="single" w:color="auto" w:sz="4" w:space="0"/>
              <w:right w:val="single" w:color="auto" w:sz="4" w:space="0"/>
            </w:tcBorders>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企业202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年度业务量，排名第一得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分，其余依次递减0.2分，直至减至0分为止。</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（注：需提供</w:t>
            </w:r>
            <w:r>
              <w:rPr>
                <w:rFonts w:hint="eastAsia" w:ascii="宋体" w:hAnsi="宋体" w:eastAsia="宋体" w:cs="宋体"/>
                <w:color w:val="auto"/>
                <w:sz w:val="21"/>
                <w:szCs w:val="21"/>
                <w:lang w:val="en-US" w:eastAsia="zh-CN"/>
              </w:rPr>
              <w:t>业务量相关</w:t>
            </w:r>
            <w:r>
              <w:rPr>
                <w:rFonts w:hint="eastAsia" w:ascii="宋体" w:hAnsi="宋体" w:eastAsia="宋体" w:cs="宋体"/>
                <w:color w:val="auto"/>
                <w:sz w:val="21"/>
                <w:szCs w:val="21"/>
              </w:rPr>
              <w:t>佐证</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加盖公章，否则不得分）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47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企业内控机制（维修业务内部管理体系）</w:t>
            </w:r>
          </w:p>
          <w:p>
            <w:pPr>
              <w:jc w:val="center"/>
              <w:rPr>
                <w:rFonts w:hint="eastAsia" w:ascii="宋体" w:hAnsi="宋体" w:eastAsia="宋体" w:cs="宋体"/>
                <w:sz w:val="21"/>
                <w:szCs w:val="21"/>
              </w:rPr>
            </w:pPr>
            <w:r>
              <w:rPr>
                <w:rFonts w:hint="eastAsia" w:ascii="宋体" w:hAnsi="宋体" w:eastAsia="宋体" w:cs="宋体"/>
                <w:sz w:val="21"/>
                <w:szCs w:val="21"/>
              </w:rPr>
              <w:t>（8分）</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提供相关制度资料，酌情给分。A档：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分，B档：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分，C档：0-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470" w:type="dxa"/>
            <w:vMerge w:val="restart"/>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业绩</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年1月以来，医疗机构中标成交案例数，每提供1个得0.5分，最高1.5分</w:t>
            </w:r>
            <w:r>
              <w:rPr>
                <w:rFonts w:hint="eastAsia" w:ascii="宋体" w:hAnsi="宋体" w:eastAsia="宋体" w:cs="宋体"/>
                <w:color w:val="auto"/>
                <w:sz w:val="21"/>
                <w:szCs w:val="21"/>
                <w:lang w:eastAsia="zh-CN"/>
              </w:rPr>
              <w:t>。</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（注：需提供具体合同复印件或中标通知书复印件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加盖公章，否则不予认可）</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vMerge w:val="continue"/>
            <w:noWrap w:val="0"/>
            <w:vAlign w:val="center"/>
          </w:tcPr>
          <w:p>
            <w:pPr>
              <w:jc w:val="center"/>
              <w:rPr>
                <w:rFonts w:hint="eastAsia" w:ascii="宋体" w:hAnsi="宋体" w:eastAsia="宋体" w:cs="宋体"/>
                <w:sz w:val="21"/>
                <w:szCs w:val="21"/>
              </w:rPr>
            </w:pPr>
          </w:p>
        </w:tc>
        <w:tc>
          <w:tcPr>
            <w:tcW w:w="1470" w:type="dxa"/>
            <w:vMerge w:val="continue"/>
            <w:noWrap w:val="0"/>
            <w:vAlign w:val="center"/>
          </w:tcPr>
          <w:p>
            <w:pPr>
              <w:jc w:val="center"/>
              <w:rPr>
                <w:rFonts w:hint="eastAsia" w:ascii="宋体" w:hAnsi="宋体" w:eastAsia="宋体" w:cs="宋体"/>
                <w:sz w:val="21"/>
                <w:szCs w:val="21"/>
              </w:rPr>
            </w:pPr>
          </w:p>
        </w:tc>
        <w:tc>
          <w:tcPr>
            <w:tcW w:w="62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年1月以来，非医疗机构中标成交案例数，每提供1个得0.5分，最高1.5分</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（注：需提供具体合同复印件或中标通知书复印件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加盖公章，否则不予认可）</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5" w:type="dxa"/>
            <w:tcBorders>
              <w:bottom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470" w:type="dxa"/>
            <w:tcBorders>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投标文件编制质量</w:t>
            </w:r>
          </w:p>
          <w:p>
            <w:pPr>
              <w:jc w:val="center"/>
              <w:rPr>
                <w:rFonts w:hint="eastAsia" w:ascii="宋体" w:hAnsi="宋体" w:eastAsia="宋体" w:cs="宋体"/>
                <w:sz w:val="21"/>
                <w:szCs w:val="21"/>
              </w:rPr>
            </w:pPr>
            <w:r>
              <w:rPr>
                <w:rFonts w:hint="eastAsia" w:ascii="宋体" w:hAnsi="宋体" w:eastAsia="宋体" w:cs="宋体"/>
                <w:sz w:val="21"/>
                <w:szCs w:val="21"/>
              </w:rPr>
              <w:t>（2分）</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投标文件编制质量横向比较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2分</w:t>
            </w:r>
          </w:p>
        </w:tc>
      </w:tr>
    </w:tbl>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rPr>
      </w:pPr>
    </w:p>
    <w:p>
      <w:pPr>
        <w:pStyle w:val="16"/>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报价评分采用低价优先法计算，即满足招标文件要求且投标价格折扣后最低的为评标基准价，其他投标人的报价分按照下列公式计算：（保留小数点后2位，第3位四舍五入）。</w:t>
      </w:r>
    </w:p>
    <w:tbl>
      <w:tblPr>
        <w:tblStyle w:val="17"/>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1"/>
        <w:gridCol w:w="2548"/>
        <w:gridCol w:w="3645"/>
        <w:gridCol w:w="108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jc w:val="center"/>
        </w:trPr>
        <w:tc>
          <w:tcPr>
            <w:tcW w:w="881" w:type="dxa"/>
            <w:shd w:val="clear" w:color="auto" w:fill="FFFFFF"/>
            <w:noWrap w:val="0"/>
            <w:vAlign w:val="center"/>
          </w:tcPr>
          <w:p>
            <w:pPr>
              <w:widowControl/>
              <w:spacing w:line="460" w:lineRule="exact"/>
              <w:jc w:val="center"/>
              <w:textAlignment w:val="center"/>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序号</w:t>
            </w:r>
          </w:p>
        </w:tc>
        <w:tc>
          <w:tcPr>
            <w:tcW w:w="2548" w:type="dxa"/>
            <w:shd w:val="clear" w:color="auto" w:fill="FFFFFF"/>
            <w:noWrap w:val="0"/>
            <w:vAlign w:val="center"/>
          </w:tcPr>
          <w:p>
            <w:pPr>
              <w:widowControl/>
              <w:spacing w:line="460" w:lineRule="exact"/>
              <w:jc w:val="center"/>
              <w:textAlignment w:val="center"/>
              <w:rPr>
                <w:rFonts w:ascii="新宋体" w:hAnsi="新宋体" w:eastAsia="新宋体" w:cs="新宋体"/>
                <w:b/>
                <w:color w:val="auto"/>
                <w:sz w:val="22"/>
                <w:szCs w:val="22"/>
              </w:rPr>
            </w:pPr>
            <w:r>
              <w:rPr>
                <w:rFonts w:hint="eastAsia" w:ascii="新宋体" w:hAnsi="新宋体" w:eastAsia="新宋体" w:cs="新宋体"/>
                <w:b/>
                <w:color w:val="auto"/>
                <w:kern w:val="0"/>
                <w:sz w:val="22"/>
                <w:szCs w:val="22"/>
              </w:rPr>
              <w:t>评分内容</w:t>
            </w:r>
          </w:p>
        </w:tc>
        <w:tc>
          <w:tcPr>
            <w:tcW w:w="3645" w:type="dxa"/>
            <w:shd w:val="clear" w:color="auto" w:fill="FFFFFF"/>
            <w:noWrap w:val="0"/>
            <w:vAlign w:val="center"/>
          </w:tcPr>
          <w:p>
            <w:pPr>
              <w:widowControl/>
              <w:spacing w:line="460" w:lineRule="exact"/>
              <w:jc w:val="center"/>
              <w:textAlignment w:val="center"/>
              <w:rPr>
                <w:rFonts w:ascii="新宋体" w:hAnsi="新宋体" w:eastAsia="新宋体" w:cs="新宋体"/>
                <w:b/>
                <w:color w:val="auto"/>
                <w:sz w:val="22"/>
                <w:szCs w:val="22"/>
              </w:rPr>
            </w:pPr>
            <w:r>
              <w:rPr>
                <w:rFonts w:hint="eastAsia" w:ascii="新宋体" w:hAnsi="新宋体" w:eastAsia="新宋体"/>
                <w:b/>
                <w:color w:val="auto"/>
                <w:sz w:val="22"/>
                <w:szCs w:val="22"/>
              </w:rPr>
              <w:t>评分</w:t>
            </w:r>
            <w:r>
              <w:rPr>
                <w:rFonts w:hint="eastAsia" w:ascii="新宋体" w:hAnsi="新宋体" w:eastAsia="新宋体" w:cs="新宋体"/>
                <w:b/>
                <w:color w:val="auto"/>
                <w:kern w:val="0"/>
                <w:sz w:val="22"/>
                <w:szCs w:val="22"/>
              </w:rPr>
              <w:t>方式</w:t>
            </w:r>
          </w:p>
        </w:tc>
        <w:tc>
          <w:tcPr>
            <w:tcW w:w="1088" w:type="dxa"/>
            <w:shd w:val="clear" w:color="auto" w:fill="FFFFFF"/>
            <w:noWrap w:val="0"/>
            <w:vAlign w:val="center"/>
          </w:tcPr>
          <w:p>
            <w:pPr>
              <w:widowControl/>
              <w:spacing w:line="460" w:lineRule="exact"/>
              <w:jc w:val="center"/>
              <w:textAlignment w:val="center"/>
              <w:rPr>
                <w:rFonts w:ascii="新宋体" w:hAnsi="新宋体" w:eastAsia="新宋体" w:cs="新宋体"/>
                <w:b/>
                <w:color w:val="auto"/>
                <w:sz w:val="22"/>
                <w:szCs w:val="22"/>
              </w:rPr>
            </w:pPr>
            <w:r>
              <w:rPr>
                <w:rFonts w:hint="eastAsia" w:ascii="新宋体" w:hAnsi="新宋体" w:eastAsia="新宋体" w:cs="新宋体"/>
                <w:b/>
                <w:color w:val="auto"/>
                <w:kern w:val="0"/>
                <w:sz w:val="22"/>
                <w:szCs w:val="22"/>
              </w:rPr>
              <w:t>分值</w:t>
            </w:r>
          </w:p>
        </w:tc>
        <w:tc>
          <w:tcPr>
            <w:tcW w:w="1275" w:type="dxa"/>
            <w:shd w:val="clear" w:color="auto" w:fill="FFFFFF"/>
            <w:noWrap w:val="0"/>
            <w:vAlign w:val="center"/>
          </w:tcPr>
          <w:p>
            <w:pPr>
              <w:widowControl/>
              <w:spacing w:line="460" w:lineRule="exact"/>
              <w:jc w:val="center"/>
              <w:textAlignment w:val="center"/>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6" w:hRule="atLeast"/>
          <w:jc w:val="center"/>
        </w:trPr>
        <w:tc>
          <w:tcPr>
            <w:tcW w:w="881" w:type="dxa"/>
            <w:shd w:val="clear" w:color="auto" w:fill="FFFFFF"/>
            <w:noWrap w:val="0"/>
            <w:vAlign w:val="center"/>
          </w:tcPr>
          <w:p>
            <w:pPr>
              <w:widowControl/>
              <w:spacing w:line="460" w:lineRule="exact"/>
              <w:jc w:val="center"/>
              <w:textAlignment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p>
        </w:tc>
        <w:tc>
          <w:tcPr>
            <w:tcW w:w="2548" w:type="dxa"/>
            <w:shd w:val="clear" w:color="auto" w:fill="FFFFFF"/>
            <w:noWrap w:val="0"/>
            <w:vAlign w:val="center"/>
          </w:tcPr>
          <w:p>
            <w:pPr>
              <w:pStyle w:val="14"/>
              <w:spacing w:before="0" w:beforeAutospacing="0" w:after="0" w:afterAutospacing="0" w:line="40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材料价格</w:t>
            </w:r>
          </w:p>
        </w:tc>
        <w:tc>
          <w:tcPr>
            <w:tcW w:w="3645" w:type="dxa"/>
            <w:shd w:val="clear" w:color="auto" w:fill="FFFFFF"/>
            <w:noWrap w:val="0"/>
            <w:vAlign w:val="center"/>
          </w:tcPr>
          <w:p>
            <w:pPr>
              <w:pStyle w:val="2"/>
              <w:spacing w:line="360" w:lineRule="auto"/>
              <w:ind w:left="0" w:leftChars="0" w:firstLine="0" w:firstLineChars="0"/>
              <w:rPr>
                <w:rFonts w:hint="eastAsia" w:eastAsia="宋体"/>
                <w:lang w:val="en-US" w:eastAsia="zh-CN"/>
              </w:rPr>
            </w:pPr>
            <w:r>
              <w:rPr>
                <w:rFonts w:hint="eastAsia" w:eastAsia="宋体"/>
                <w:lang w:val="en-US" w:eastAsia="zh-CN"/>
              </w:rPr>
              <w:t>对基础维保明细价格单中的材料价格进行下浮报价，下浮率最高的报价作为评标基准价（如果出现上浮率报价则超过最高限价作否决投标处理），材料报价最高得分为20分。</w:t>
            </w:r>
          </w:p>
          <w:p>
            <w:pPr>
              <w:pStyle w:val="2"/>
              <w:spacing w:line="360" w:lineRule="auto"/>
              <w:ind w:left="0" w:leftChars="0" w:firstLine="0" w:firstLineChars="0"/>
              <w:rPr>
                <w:rFonts w:hint="eastAsia" w:eastAsia="宋体"/>
                <w:lang w:eastAsia="zh-CN"/>
              </w:rPr>
            </w:pPr>
            <w:r>
              <w:rPr>
                <w:rFonts w:hint="eastAsia" w:eastAsia="宋体"/>
                <w:lang w:val="en-US" w:eastAsia="zh-CN"/>
              </w:rPr>
              <w:t>投标报价得分=(材料价格投标下浮率／评标基准价)×20。</w:t>
            </w:r>
          </w:p>
        </w:tc>
        <w:tc>
          <w:tcPr>
            <w:tcW w:w="1088" w:type="dxa"/>
            <w:shd w:val="clear" w:color="auto" w:fill="FFFFFF"/>
            <w:noWrap w:val="0"/>
            <w:vAlign w:val="center"/>
          </w:tcPr>
          <w:p>
            <w:pPr>
              <w:widowControl/>
              <w:spacing w:line="460" w:lineRule="exact"/>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val="en-US" w:eastAsia="zh-CN"/>
              </w:rPr>
              <w:t>2</w:t>
            </w:r>
            <w:r>
              <w:rPr>
                <w:rFonts w:hint="eastAsia" w:ascii="新宋体" w:hAnsi="新宋体" w:eastAsia="新宋体" w:cs="新宋体"/>
                <w:color w:val="auto"/>
                <w:kern w:val="0"/>
                <w:sz w:val="22"/>
                <w:szCs w:val="22"/>
              </w:rPr>
              <w:t>0分</w:t>
            </w:r>
          </w:p>
        </w:tc>
        <w:tc>
          <w:tcPr>
            <w:tcW w:w="1275" w:type="dxa"/>
            <w:shd w:val="clear" w:color="auto" w:fill="FFFFFF"/>
            <w:noWrap w:val="0"/>
            <w:vAlign w:val="center"/>
          </w:tcPr>
          <w:p>
            <w:pPr>
              <w:widowControl/>
              <w:spacing w:line="460" w:lineRule="exact"/>
              <w:jc w:val="center"/>
              <w:textAlignment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en-US" w:eastAsia="zh-CN"/>
              </w:rPr>
              <w:t>2</w:t>
            </w:r>
            <w:r>
              <w:rPr>
                <w:rFonts w:hint="eastAsia" w:ascii="新宋体" w:hAnsi="新宋体" w:eastAsia="新宋体" w:cs="新宋体"/>
                <w:color w:val="auto"/>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jc w:val="center"/>
        </w:trPr>
        <w:tc>
          <w:tcPr>
            <w:tcW w:w="881" w:type="dxa"/>
            <w:shd w:val="clear" w:color="auto" w:fill="auto"/>
            <w:noWrap w:val="0"/>
            <w:vAlign w:val="center"/>
          </w:tcPr>
          <w:p>
            <w:pPr>
              <w:widowControl/>
              <w:spacing w:line="460" w:lineRule="exact"/>
              <w:jc w:val="center"/>
              <w:textAlignment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2548" w:type="dxa"/>
            <w:shd w:val="clear" w:color="auto" w:fill="auto"/>
            <w:noWrap w:val="0"/>
            <w:vAlign w:val="center"/>
          </w:tcPr>
          <w:p>
            <w:pPr>
              <w:pStyle w:val="14"/>
              <w:spacing w:before="0" w:beforeAutospacing="0" w:after="0" w:afterAutospacing="0" w:line="400" w:lineRule="exact"/>
              <w:jc w:val="center"/>
              <w:rPr>
                <w:rFonts w:ascii="新宋体" w:hAnsi="新宋体" w:eastAsia="新宋体" w:cs="新宋体"/>
                <w:color w:val="auto"/>
                <w:sz w:val="22"/>
                <w:szCs w:val="22"/>
              </w:rPr>
            </w:pPr>
            <w:r>
              <w:rPr>
                <w:rFonts w:hint="eastAsia" w:ascii="宋体" w:hAnsi="宋体" w:eastAsia="宋体" w:cs="宋体"/>
                <w:color w:val="auto"/>
                <w:sz w:val="22"/>
                <w:szCs w:val="22"/>
                <w:lang w:val="en-US" w:eastAsia="zh-CN"/>
              </w:rPr>
              <w:t>工时费</w:t>
            </w:r>
            <w:r>
              <w:rPr>
                <w:rFonts w:hint="eastAsia" w:ascii="宋体" w:hAnsi="宋体" w:eastAsia="宋体" w:cs="宋体"/>
                <w:color w:val="auto"/>
                <w:kern w:val="2"/>
                <w:sz w:val="22"/>
                <w:szCs w:val="22"/>
              </w:rPr>
              <w:t xml:space="preserve"> </w:t>
            </w:r>
          </w:p>
        </w:tc>
        <w:tc>
          <w:tcPr>
            <w:tcW w:w="3645" w:type="dxa"/>
            <w:shd w:val="clear" w:color="auto" w:fill="FFFFFF"/>
            <w:noWrap w:val="0"/>
            <w:vAlign w:val="center"/>
          </w:tcPr>
          <w:p>
            <w:pPr>
              <w:spacing w:line="460" w:lineRule="exact"/>
              <w:jc w:val="both"/>
              <w:rPr>
                <w:rFonts w:hint="eastAsia" w:eastAsia="宋体"/>
                <w:lang w:val="en-US" w:eastAsia="zh-CN"/>
              </w:rPr>
            </w:pPr>
            <w:r>
              <w:rPr>
                <w:rFonts w:hint="eastAsia" w:eastAsia="宋体"/>
                <w:lang w:val="en-US" w:eastAsia="zh-CN"/>
              </w:rPr>
              <w:t>对基础维保明细价格单中的工时费进行下浮报价，下浮率最高的报价作为评标基准价（如果出现上浮率报价则超过最高限价作否决投标处理），工时费最高得分为10分。</w:t>
            </w:r>
          </w:p>
          <w:p>
            <w:pPr>
              <w:spacing w:line="460" w:lineRule="exact"/>
              <w:jc w:val="both"/>
              <w:rPr>
                <w:rFonts w:ascii="新宋体" w:hAnsi="新宋体" w:eastAsia="新宋体" w:cs="新宋体"/>
                <w:color w:val="auto"/>
                <w:sz w:val="22"/>
                <w:szCs w:val="22"/>
              </w:rPr>
            </w:pPr>
            <w:r>
              <w:rPr>
                <w:rFonts w:hint="eastAsia" w:eastAsia="宋体"/>
                <w:lang w:val="en-US" w:eastAsia="zh-CN"/>
              </w:rPr>
              <w:t>工时费投标报价得分=(工时费投标下浮率／评标基准价)×10。</w:t>
            </w:r>
          </w:p>
        </w:tc>
        <w:tc>
          <w:tcPr>
            <w:tcW w:w="1088" w:type="dxa"/>
            <w:noWrap w:val="0"/>
            <w:vAlign w:val="center"/>
          </w:tcPr>
          <w:p>
            <w:pPr>
              <w:widowControl/>
              <w:spacing w:line="460" w:lineRule="exact"/>
              <w:jc w:val="center"/>
              <w:textAlignment w:val="center"/>
              <w:rPr>
                <w:rFonts w:ascii="新宋体" w:hAnsi="新宋体" w:eastAsia="新宋体" w:cs="新宋体"/>
                <w:color w:val="auto"/>
                <w:sz w:val="22"/>
                <w:szCs w:val="22"/>
              </w:rPr>
            </w:pPr>
            <w:r>
              <w:rPr>
                <w:rFonts w:hint="eastAsia" w:ascii="新宋体" w:hAnsi="新宋体" w:eastAsia="新宋体" w:cs="新宋体"/>
                <w:color w:val="auto"/>
                <w:kern w:val="0"/>
                <w:sz w:val="22"/>
                <w:szCs w:val="22"/>
                <w:lang w:val="en-US" w:eastAsia="zh-CN"/>
              </w:rPr>
              <w:t>10</w:t>
            </w:r>
            <w:r>
              <w:rPr>
                <w:rFonts w:hint="eastAsia" w:ascii="新宋体" w:hAnsi="新宋体" w:eastAsia="新宋体" w:cs="新宋体"/>
                <w:color w:val="auto"/>
                <w:kern w:val="0"/>
                <w:sz w:val="22"/>
                <w:szCs w:val="22"/>
              </w:rPr>
              <w:t>分</w:t>
            </w:r>
          </w:p>
        </w:tc>
        <w:tc>
          <w:tcPr>
            <w:tcW w:w="1275" w:type="dxa"/>
            <w:noWrap w:val="0"/>
            <w:vAlign w:val="center"/>
          </w:tcPr>
          <w:p>
            <w:pPr>
              <w:widowControl/>
              <w:spacing w:line="460" w:lineRule="exact"/>
              <w:jc w:val="center"/>
              <w:textAlignment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en-US" w:eastAsia="zh-CN"/>
              </w:rPr>
              <w:t>10</w:t>
            </w:r>
            <w:r>
              <w:rPr>
                <w:rFonts w:hint="eastAsia" w:ascii="新宋体" w:hAnsi="新宋体" w:eastAsia="新宋体" w:cs="新宋体"/>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9" w:hRule="atLeast"/>
          <w:jc w:val="center"/>
        </w:trPr>
        <w:tc>
          <w:tcPr>
            <w:tcW w:w="7074" w:type="dxa"/>
            <w:gridSpan w:val="3"/>
            <w:noWrap w:val="0"/>
            <w:vAlign w:val="center"/>
          </w:tcPr>
          <w:p>
            <w:pPr>
              <w:spacing w:line="460" w:lineRule="exact"/>
              <w:jc w:val="center"/>
              <w:rPr>
                <w:rFonts w:ascii="新宋体" w:hAnsi="新宋体" w:eastAsia="新宋体" w:cs="新宋体"/>
                <w:color w:val="auto"/>
                <w:sz w:val="22"/>
                <w:szCs w:val="22"/>
              </w:rPr>
            </w:pPr>
            <w:r>
              <w:rPr>
                <w:rFonts w:hint="eastAsia" w:ascii="新宋体" w:hAnsi="新宋体" w:eastAsia="新宋体"/>
                <w:b/>
                <w:color w:val="auto"/>
                <w:sz w:val="22"/>
                <w:szCs w:val="22"/>
                <w:lang w:val="en-US" w:eastAsia="zh-CN"/>
              </w:rPr>
              <w:t>价格</w:t>
            </w:r>
            <w:r>
              <w:rPr>
                <w:rFonts w:hint="eastAsia" w:ascii="新宋体" w:hAnsi="新宋体" w:eastAsia="新宋体"/>
                <w:b/>
                <w:color w:val="auto"/>
                <w:sz w:val="22"/>
                <w:szCs w:val="22"/>
              </w:rPr>
              <w:t>评分总计：</w:t>
            </w:r>
          </w:p>
        </w:tc>
        <w:tc>
          <w:tcPr>
            <w:tcW w:w="1088" w:type="dxa"/>
            <w:noWrap w:val="0"/>
            <w:vAlign w:val="center"/>
          </w:tcPr>
          <w:p>
            <w:pPr>
              <w:widowControl/>
              <w:spacing w:line="460" w:lineRule="exact"/>
              <w:jc w:val="center"/>
              <w:textAlignment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lang w:val="en-US" w:eastAsia="zh-CN"/>
              </w:rPr>
              <w:t>30</w:t>
            </w:r>
            <w:r>
              <w:rPr>
                <w:rFonts w:hint="eastAsia" w:ascii="新宋体" w:hAnsi="新宋体" w:eastAsia="新宋体" w:cs="新宋体"/>
                <w:color w:val="auto"/>
                <w:kern w:val="0"/>
                <w:sz w:val="22"/>
                <w:szCs w:val="22"/>
              </w:rPr>
              <w:t>分</w:t>
            </w:r>
          </w:p>
        </w:tc>
        <w:tc>
          <w:tcPr>
            <w:tcW w:w="1275" w:type="dxa"/>
            <w:noWrap w:val="0"/>
            <w:vAlign w:val="center"/>
          </w:tcPr>
          <w:p>
            <w:pPr>
              <w:widowControl/>
              <w:spacing w:line="460" w:lineRule="exact"/>
              <w:jc w:val="center"/>
              <w:textAlignment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w:t>
            </w:r>
            <w:r>
              <w:rPr>
                <w:rFonts w:hint="eastAsia" w:ascii="新宋体" w:hAnsi="新宋体" w:eastAsia="新宋体" w:cs="新宋体"/>
                <w:color w:val="auto"/>
                <w:kern w:val="0"/>
                <w:sz w:val="22"/>
                <w:szCs w:val="22"/>
                <w:lang w:val="en-US" w:eastAsia="zh-CN"/>
              </w:rPr>
              <w:t>0</w:t>
            </w:r>
            <w:r>
              <w:rPr>
                <w:rFonts w:hint="eastAsia" w:ascii="新宋体" w:hAnsi="新宋体" w:eastAsia="新宋体" w:cs="新宋体"/>
                <w:color w:val="auto"/>
                <w:kern w:val="0"/>
                <w:sz w:val="22"/>
                <w:szCs w:val="22"/>
              </w:rPr>
              <w:t>%</w:t>
            </w:r>
          </w:p>
        </w:tc>
      </w:tr>
    </w:tbl>
    <w:p>
      <w:pPr>
        <w:pStyle w:val="4"/>
        <w:jc w:val="center"/>
        <w:rPr>
          <w:rFonts w:hint="eastAsia" w:ascii="新宋体" w:hAnsi="新宋体" w:eastAsia="新宋体" w:cs="新宋体"/>
          <w:b/>
          <w:bCs/>
          <w:color w:val="auto"/>
          <w:kern w:val="2"/>
          <w:sz w:val="28"/>
          <w:szCs w:val="28"/>
          <w:highlight w:val="none"/>
          <w:lang w:val="en-US" w:eastAsia="zh-CN" w:bidi="ar-SA"/>
        </w:rPr>
      </w:pPr>
    </w:p>
    <w:p>
      <w:pPr>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rPr>
          <w:rFonts w:hint="eastAsia"/>
          <w:lang w:val="en-US" w:eastAsia="zh-CN"/>
        </w:rPr>
      </w:pPr>
    </w:p>
    <w:p>
      <w:pPr>
        <w:pStyle w:val="4"/>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报价一览表</w:t>
      </w:r>
    </w:p>
    <w:p>
      <w:pPr>
        <w:autoSpaceDE w:val="0"/>
        <w:autoSpaceDN w:val="0"/>
        <w:spacing w:line="360" w:lineRule="auto"/>
        <w:ind w:right="893" w:firstLine="220" w:firstLineChars="100"/>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新宋体" w:hAnsi="新宋体" w:eastAsia="新宋体" w:cs="新宋体"/>
          <w:b w:val="0"/>
          <w:bCs/>
          <w:color w:val="auto"/>
          <w:sz w:val="22"/>
          <w:highlight w:val="none"/>
          <w:lang w:val="en-US" w:eastAsia="zh-CN"/>
        </w:rPr>
        <w:t>温州市中医院公务用车维修</w:t>
      </w:r>
      <w:r>
        <w:rPr>
          <w:rFonts w:hint="eastAsia" w:ascii="新宋体" w:hAnsi="新宋体" w:eastAsia="新宋体" w:cs="新宋体"/>
          <w:b w:val="0"/>
          <w:bCs/>
          <w:color w:val="auto"/>
          <w:sz w:val="22"/>
          <w:highlight w:val="none"/>
        </w:rPr>
        <w:t xml:space="preserve">                                </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925"/>
        <w:gridCol w:w="359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92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593"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lang w:val="en-US" w:eastAsia="zh-CN"/>
              </w:rPr>
              <w:t>投标下浮率（%）</w:t>
            </w:r>
          </w:p>
        </w:tc>
        <w:tc>
          <w:tcPr>
            <w:tcW w:w="1422" w:type="dxa"/>
            <w:noWrap w:val="0"/>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00" w:type="dxa"/>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292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sz w:val="24"/>
                <w:szCs w:val="24"/>
                <w:lang w:val="en-US" w:eastAsia="zh-CN"/>
              </w:rPr>
              <w:t>材料价格</w:t>
            </w:r>
          </w:p>
        </w:tc>
        <w:tc>
          <w:tcPr>
            <w:tcW w:w="3593" w:type="dxa"/>
            <w:noWrap w:val="0"/>
            <w:vAlign w:val="center"/>
          </w:tcPr>
          <w:p>
            <w:pPr>
              <w:spacing w:line="380" w:lineRule="exact"/>
              <w:ind w:firstLine="1320" w:firstLineChars="600"/>
              <w:rPr>
                <w:rFonts w:hint="eastAsia" w:ascii="宋体" w:hAnsi="宋体" w:eastAsia="宋体" w:cs="宋体"/>
                <w:color w:val="auto"/>
                <w:sz w:val="22"/>
                <w:highlight w:val="none"/>
              </w:rPr>
            </w:pP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u w:val="single"/>
                <w:lang w:val="en-US" w:eastAsia="zh-CN"/>
              </w:rPr>
              <w:t xml:space="preserve">   </w:t>
            </w:r>
            <w:r>
              <w:rPr>
                <w:rFonts w:hint="eastAsia" w:ascii="宋体" w:hAnsi="宋体" w:cs="新宋体"/>
                <w:color w:val="auto"/>
                <w:sz w:val="22"/>
                <w:szCs w:val="22"/>
                <w:highlight w:val="none"/>
                <w:u w:val="single"/>
              </w:rPr>
              <w:t>%</w:t>
            </w:r>
          </w:p>
        </w:tc>
        <w:tc>
          <w:tcPr>
            <w:tcW w:w="1422" w:type="dxa"/>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100" w:type="dxa"/>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2</w:t>
            </w:r>
          </w:p>
        </w:tc>
        <w:tc>
          <w:tcPr>
            <w:tcW w:w="292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工时费</w:t>
            </w:r>
          </w:p>
        </w:tc>
        <w:tc>
          <w:tcPr>
            <w:tcW w:w="3593" w:type="dxa"/>
            <w:noWrap w:val="0"/>
            <w:vAlign w:val="center"/>
          </w:tcPr>
          <w:p>
            <w:pPr>
              <w:spacing w:line="380" w:lineRule="exact"/>
              <w:ind w:firstLine="1320" w:firstLineChars="600"/>
              <w:rPr>
                <w:rFonts w:hint="eastAsia" w:ascii="宋体" w:hAnsi="宋体" w:eastAsia="宋体" w:cs="宋体"/>
                <w:color w:val="auto"/>
                <w:sz w:val="22"/>
                <w:highlight w:val="none"/>
              </w:rPr>
            </w:pP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u w:val="single"/>
                <w:lang w:val="en-US" w:eastAsia="zh-CN"/>
              </w:rPr>
              <w:t xml:space="preserve">   </w:t>
            </w:r>
            <w:r>
              <w:rPr>
                <w:rFonts w:hint="eastAsia" w:ascii="宋体" w:hAnsi="宋体" w:cs="新宋体"/>
                <w:color w:val="auto"/>
                <w:sz w:val="22"/>
                <w:szCs w:val="22"/>
                <w:highlight w:val="none"/>
                <w:u w:val="single"/>
              </w:rPr>
              <w:t>%</w:t>
            </w:r>
          </w:p>
        </w:tc>
        <w:tc>
          <w:tcPr>
            <w:tcW w:w="1422" w:type="dxa"/>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rPr>
        <w:t>说明：</w:t>
      </w:r>
      <w:r>
        <w:rPr>
          <w:rFonts w:hint="eastAsia" w:ascii="宋体" w:hAnsi="宋体" w:cs="宋体"/>
          <w:b/>
          <w:color w:val="auto"/>
          <w:sz w:val="22"/>
          <w:highlight w:val="none"/>
          <w:lang w:val="en-US" w:eastAsia="zh-CN"/>
        </w:rPr>
        <w:t>1、全部报价均为税后价。</w:t>
      </w:r>
    </w:p>
    <w:p>
      <w:pPr>
        <w:spacing w:line="450" w:lineRule="exact"/>
        <w:ind w:firstLine="663" w:firstLineChars="300"/>
        <w:rPr>
          <w:rFonts w:hint="eastAsia" w:ascii="宋体" w:hAnsi="宋体" w:eastAsia="宋体" w:cs="宋体"/>
          <w:b/>
          <w:color w:val="auto"/>
          <w:sz w:val="22"/>
          <w:highlight w:val="none"/>
          <w:lang w:eastAsia="zh-CN"/>
        </w:rPr>
      </w:pPr>
      <w:r>
        <w:rPr>
          <w:rFonts w:hint="eastAsia" w:ascii="宋体" w:hAnsi="宋体" w:cs="宋体"/>
          <w:b/>
          <w:color w:val="auto"/>
          <w:sz w:val="22"/>
          <w:highlight w:val="none"/>
          <w:lang w:val="en-US" w:eastAsia="zh-CN"/>
        </w:rPr>
        <w:t>2、</w:t>
      </w:r>
      <w:r>
        <w:rPr>
          <w:rFonts w:hint="eastAsia" w:ascii="宋体" w:hAnsi="宋体" w:eastAsia="宋体" w:cs="宋体"/>
          <w:b/>
          <w:color w:val="auto"/>
          <w:sz w:val="22"/>
          <w:highlight w:val="none"/>
        </w:rPr>
        <w:t>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pStyle w:val="6"/>
        <w:rPr>
          <w:rFonts w:hint="eastAsia"/>
        </w:rPr>
      </w:pPr>
    </w:p>
    <w:p>
      <w:pPr>
        <w:pStyle w:val="13"/>
        <w:rPr>
          <w:rFonts w:hint="eastAsia"/>
        </w:rPr>
      </w:pPr>
    </w:p>
    <w:p>
      <w:pPr>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    期：</w:t>
      </w:r>
    </w:p>
    <w:p>
      <w:pPr>
        <w:spacing w:line="380" w:lineRule="exact"/>
        <w:ind w:firstLine="220" w:firstLineChars="100"/>
        <w:rPr>
          <w:rFonts w:hint="eastAsia" w:ascii="宋体" w:hAnsi="宋体" w:eastAsia="宋体" w:cs="宋体"/>
          <w:color w:val="auto"/>
          <w:sz w:val="22"/>
          <w:szCs w:val="22"/>
          <w:highlight w:val="none"/>
        </w:rPr>
      </w:pPr>
    </w:p>
    <w:p>
      <w:pPr>
        <w:pStyle w:val="16"/>
        <w:ind w:left="860" w:hanging="440"/>
        <w:rPr>
          <w:rFonts w:hint="eastAsia" w:ascii="宋体" w:hAnsi="宋体" w:eastAsia="宋体" w:cs="宋体"/>
          <w:color w:val="auto"/>
          <w:sz w:val="22"/>
          <w:szCs w:val="22"/>
          <w:highlight w:val="none"/>
        </w:rPr>
      </w:pPr>
    </w:p>
    <w:p>
      <w:pPr>
        <w:pStyle w:val="16"/>
        <w:rPr>
          <w:rFonts w:hint="eastAsia"/>
        </w:rPr>
      </w:pPr>
    </w:p>
    <w:p>
      <w:pPr>
        <w:rPr>
          <w:rFonts w:hint="eastAsia"/>
          <w:color w:val="auto"/>
          <w:highlight w:val="none"/>
        </w:rPr>
      </w:pPr>
    </w:p>
    <w:p>
      <w:pPr>
        <w:pStyle w:val="16"/>
        <w:ind w:left="0" w:leftChars="0" w:firstLine="0" w:firstLineChars="0"/>
        <w:rPr>
          <w:rFonts w:hint="eastAsia"/>
        </w:rPr>
      </w:pPr>
    </w:p>
    <w:p>
      <w:pPr>
        <w:widowControl w:val="0"/>
        <w:numPr>
          <w:ilvl w:val="0"/>
          <w:numId w:val="0"/>
        </w:numPr>
        <w:jc w:val="left"/>
        <w:rPr>
          <w:sz w:val="24"/>
        </w:rPr>
      </w:pPr>
    </w:p>
    <w:p>
      <w:pPr>
        <w:spacing w:line="380" w:lineRule="exact"/>
        <w:rPr>
          <w:rFonts w:hint="eastAsia"/>
        </w:rPr>
      </w:pPr>
    </w:p>
    <w:sectPr>
      <w:footerReference r:id="rId3" w:type="default"/>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FE61E"/>
    <w:multiLevelType w:val="singleLevel"/>
    <w:tmpl w:val="ED9FE61E"/>
    <w:lvl w:ilvl="0" w:tentative="0">
      <w:start w:val="1"/>
      <w:numFmt w:val="decimal"/>
      <w:suff w:val="nothing"/>
      <w:lvlText w:val="%1、"/>
      <w:lvlJc w:val="left"/>
    </w:lvl>
  </w:abstractNum>
  <w:abstractNum w:abstractNumId="1">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EC5B646"/>
    <w:multiLevelType w:val="singleLevel"/>
    <w:tmpl w:val="7EC5B64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BC4EA5"/>
    <w:rsid w:val="03C84B20"/>
    <w:rsid w:val="04B15D87"/>
    <w:rsid w:val="04BF0E2D"/>
    <w:rsid w:val="058519D7"/>
    <w:rsid w:val="061D51A5"/>
    <w:rsid w:val="061E2864"/>
    <w:rsid w:val="076646E5"/>
    <w:rsid w:val="07986998"/>
    <w:rsid w:val="084B5379"/>
    <w:rsid w:val="08F913E5"/>
    <w:rsid w:val="091E5277"/>
    <w:rsid w:val="09920CE1"/>
    <w:rsid w:val="09CB578A"/>
    <w:rsid w:val="0C1D374F"/>
    <w:rsid w:val="0CA81A28"/>
    <w:rsid w:val="0F427144"/>
    <w:rsid w:val="0F9C6A6C"/>
    <w:rsid w:val="1124087B"/>
    <w:rsid w:val="11D03062"/>
    <w:rsid w:val="125104AB"/>
    <w:rsid w:val="127E35D2"/>
    <w:rsid w:val="15F0193F"/>
    <w:rsid w:val="16586A57"/>
    <w:rsid w:val="16EF2001"/>
    <w:rsid w:val="17972177"/>
    <w:rsid w:val="17B96491"/>
    <w:rsid w:val="19006747"/>
    <w:rsid w:val="1B951E05"/>
    <w:rsid w:val="1C0A168B"/>
    <w:rsid w:val="1DEA1774"/>
    <w:rsid w:val="1E727C26"/>
    <w:rsid w:val="1F0548A5"/>
    <w:rsid w:val="203F5CE6"/>
    <w:rsid w:val="20A43E5C"/>
    <w:rsid w:val="20C836D6"/>
    <w:rsid w:val="252A6495"/>
    <w:rsid w:val="25DC4098"/>
    <w:rsid w:val="26614AE7"/>
    <w:rsid w:val="26A36964"/>
    <w:rsid w:val="2C0B329E"/>
    <w:rsid w:val="2DCF6290"/>
    <w:rsid w:val="2EE23DA1"/>
    <w:rsid w:val="32E87DD1"/>
    <w:rsid w:val="333746BC"/>
    <w:rsid w:val="33F15215"/>
    <w:rsid w:val="35584BB1"/>
    <w:rsid w:val="35DC779C"/>
    <w:rsid w:val="36F20F59"/>
    <w:rsid w:val="36FF0897"/>
    <w:rsid w:val="37F53C76"/>
    <w:rsid w:val="38620F4A"/>
    <w:rsid w:val="395D6E46"/>
    <w:rsid w:val="3A0D6176"/>
    <w:rsid w:val="3A5C534F"/>
    <w:rsid w:val="3AA307AA"/>
    <w:rsid w:val="3B3C0996"/>
    <w:rsid w:val="3D4A148F"/>
    <w:rsid w:val="3D766728"/>
    <w:rsid w:val="3F351791"/>
    <w:rsid w:val="41D82FF7"/>
    <w:rsid w:val="42417305"/>
    <w:rsid w:val="43AB1C34"/>
    <w:rsid w:val="43F47C2B"/>
    <w:rsid w:val="442D7AA8"/>
    <w:rsid w:val="456D5B99"/>
    <w:rsid w:val="45B222C8"/>
    <w:rsid w:val="464C44CA"/>
    <w:rsid w:val="46AB0BAA"/>
    <w:rsid w:val="49E05655"/>
    <w:rsid w:val="4A9B7985"/>
    <w:rsid w:val="4AFE12BB"/>
    <w:rsid w:val="4B2C08F7"/>
    <w:rsid w:val="4B86017E"/>
    <w:rsid w:val="4BB26B7D"/>
    <w:rsid w:val="4EAB72E4"/>
    <w:rsid w:val="4EDB63EB"/>
    <w:rsid w:val="4F835253"/>
    <w:rsid w:val="50430A48"/>
    <w:rsid w:val="50CF01D2"/>
    <w:rsid w:val="50D4246D"/>
    <w:rsid w:val="51E24360"/>
    <w:rsid w:val="52957526"/>
    <w:rsid w:val="539C47DE"/>
    <w:rsid w:val="54A656ED"/>
    <w:rsid w:val="564451BE"/>
    <w:rsid w:val="56576C9F"/>
    <w:rsid w:val="57A36574"/>
    <w:rsid w:val="58D72375"/>
    <w:rsid w:val="592D3875"/>
    <w:rsid w:val="596D4A2C"/>
    <w:rsid w:val="59863BF8"/>
    <w:rsid w:val="5A1D1FAE"/>
    <w:rsid w:val="5AA12BDF"/>
    <w:rsid w:val="5BF233C2"/>
    <w:rsid w:val="5D924A61"/>
    <w:rsid w:val="5DAF6DF6"/>
    <w:rsid w:val="5E6F3AB2"/>
    <w:rsid w:val="5EB32163"/>
    <w:rsid w:val="5EEC01A1"/>
    <w:rsid w:val="61E865CA"/>
    <w:rsid w:val="62C456BC"/>
    <w:rsid w:val="63750765"/>
    <w:rsid w:val="64F466B7"/>
    <w:rsid w:val="654C0859"/>
    <w:rsid w:val="65896C70"/>
    <w:rsid w:val="65B0017A"/>
    <w:rsid w:val="669F17AA"/>
    <w:rsid w:val="677734BF"/>
    <w:rsid w:val="698C35ED"/>
    <w:rsid w:val="6AD77E43"/>
    <w:rsid w:val="6D072008"/>
    <w:rsid w:val="6FA3415F"/>
    <w:rsid w:val="712E3A4E"/>
    <w:rsid w:val="71BA3A22"/>
    <w:rsid w:val="71CD3E62"/>
    <w:rsid w:val="724D0AFE"/>
    <w:rsid w:val="72B648F6"/>
    <w:rsid w:val="72E83474"/>
    <w:rsid w:val="72F62F44"/>
    <w:rsid w:val="75A35A24"/>
    <w:rsid w:val="77A47413"/>
    <w:rsid w:val="78362761"/>
    <w:rsid w:val="78BC52C2"/>
    <w:rsid w:val="79C72A21"/>
    <w:rsid w:val="79D00993"/>
    <w:rsid w:val="79F966D5"/>
    <w:rsid w:val="7A8D0632"/>
    <w:rsid w:val="7D311748"/>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4">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autoRedefine/>
    <w:qFormat/>
    <w:uiPriority w:val="0"/>
    <w:pPr>
      <w:ind w:firstLine="420" w:firstLineChars="100"/>
    </w:pPr>
    <w:rPr>
      <w:b/>
      <w:bCs/>
      <w:szCs w:val="24"/>
    </w:rPr>
  </w:style>
  <w:style w:type="paragraph" w:styleId="7">
    <w:name w:val="Body Text Indent"/>
    <w:basedOn w:val="1"/>
    <w:next w:val="1"/>
    <w:autoRedefine/>
    <w:qFormat/>
    <w:uiPriority w:val="0"/>
    <w:pPr>
      <w:spacing w:line="200" w:lineRule="exact"/>
      <w:ind w:firstLine="301"/>
    </w:pPr>
    <w:rPr>
      <w:rFonts w:ascii="宋体" w:hAnsi="Courier New"/>
      <w:spacing w:val="-4"/>
      <w:sz w:val="18"/>
      <w:szCs w:val="20"/>
      <w14:ligatures w14:val="none"/>
    </w:rPr>
  </w:style>
  <w:style w:type="paragraph" w:styleId="8">
    <w:name w:val="Plain Text"/>
    <w:basedOn w:val="1"/>
    <w:next w:val="9"/>
    <w:autoRedefine/>
    <w:qFormat/>
    <w:uiPriority w:val="0"/>
    <w:pPr>
      <w:spacing w:beforeLines="50" w:afterLines="50" w:line="400" w:lineRule="exact"/>
    </w:pPr>
    <w:rPr>
      <w:rFonts w:ascii="宋体" w:hAnsi="Courier New"/>
      <w:sz w:val="24"/>
    </w:rPr>
  </w:style>
  <w:style w:type="paragraph" w:styleId="9">
    <w:name w:val="toc 2"/>
    <w:basedOn w:val="1"/>
    <w:next w:val="1"/>
    <w:autoRedefine/>
    <w:qFormat/>
    <w:uiPriority w:val="0"/>
    <w:pPr>
      <w:ind w:left="420" w:leftChars="200"/>
    </w:pPr>
  </w:style>
  <w:style w:type="paragraph" w:styleId="10">
    <w:name w:val="footer"/>
    <w:basedOn w:val="1"/>
    <w:link w:val="26"/>
    <w:autoRedefine/>
    <w:qFormat/>
    <w:uiPriority w:val="0"/>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line="360" w:lineRule="auto"/>
      <w:jc w:val="left"/>
    </w:pPr>
    <w:rPr>
      <w:b/>
      <w:bCs/>
      <w:caps/>
      <w:sz w:val="24"/>
      <w:szCs w:val="20"/>
    </w:rPr>
  </w:style>
  <w:style w:type="paragraph" w:styleId="13">
    <w:name w:val="toc 6"/>
    <w:basedOn w:val="1"/>
    <w:next w:val="1"/>
    <w:autoRedefine/>
    <w:qFormat/>
    <w:uiPriority w:val="0"/>
    <w:pPr>
      <w:ind w:left="2100" w:leftChars="1000"/>
    </w:p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0"/>
    <w:pPr>
      <w:jc w:val="center"/>
    </w:pPr>
    <w:rPr>
      <w:rFonts w:ascii="Arial" w:hAnsi="Arial" w:eastAsia="宋体"/>
      <w:b/>
      <w:kern w:val="0"/>
      <w:sz w:val="36"/>
      <w:szCs w:val="20"/>
      <w:lang w:eastAsia="en-US"/>
      <w14:ligatures w14:val="none"/>
    </w:rPr>
  </w:style>
  <w:style w:type="paragraph" w:styleId="16">
    <w:name w:val="Body Text First Indent 2"/>
    <w:basedOn w:val="7"/>
    <w:autoRedefine/>
    <w:qFormat/>
    <w:uiPriority w:val="0"/>
    <w:pPr>
      <w:spacing w:after="120"/>
      <w:ind w:left="420" w:leftChars="200" w:firstLine="420"/>
    </w:pPr>
    <w:rPr>
      <w:rFonts w:cs="宋体"/>
      <w:sz w:val="21"/>
      <w:szCs w:val="21"/>
    </w:rPr>
  </w:style>
  <w:style w:type="table" w:styleId="18">
    <w:name w:val="Table Grid"/>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character" w:styleId="21">
    <w:name w:val="page number"/>
    <w:autoRedefine/>
    <w:qFormat/>
    <w:uiPriority w:val="0"/>
  </w:style>
  <w:style w:type="paragraph" w:customStyle="1" w:styleId="22">
    <w:name w:val="BodyText1I"/>
    <w:basedOn w:val="23"/>
    <w:autoRedefine/>
    <w:qFormat/>
    <w:uiPriority w:val="0"/>
    <w:pPr>
      <w:ind w:firstLine="420" w:firstLineChars="100"/>
    </w:pPr>
  </w:style>
  <w:style w:type="paragraph" w:customStyle="1" w:styleId="23">
    <w:name w:val="BodyText"/>
    <w:basedOn w:val="1"/>
    <w:autoRedefine/>
    <w:qFormat/>
    <w:uiPriority w:val="0"/>
    <w:pPr>
      <w:spacing w:after="120"/>
    </w:pPr>
  </w:style>
  <w:style w:type="paragraph" w:customStyle="1" w:styleId="24">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9"/>
    <w:link w:val="11"/>
    <w:autoRedefine/>
    <w:qFormat/>
    <w:uiPriority w:val="0"/>
    <w:rPr>
      <w:kern w:val="2"/>
      <w:sz w:val="18"/>
      <w:szCs w:val="18"/>
    </w:rPr>
  </w:style>
  <w:style w:type="character" w:customStyle="1" w:styleId="26">
    <w:name w:val="页脚 Char"/>
    <w:basedOn w:val="19"/>
    <w:link w:val="10"/>
    <w:autoRedefine/>
    <w:qFormat/>
    <w:uiPriority w:val="0"/>
    <w:rPr>
      <w:kern w:val="2"/>
      <w:sz w:val="18"/>
      <w:szCs w:val="18"/>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30</TotalTime>
  <ScaleCrop>false</ScaleCrop>
  <LinksUpToDate>false</LinksUpToDate>
  <CharactersWithSpaces>2342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李侃</cp:lastModifiedBy>
  <dcterms:modified xsi:type="dcterms:W3CDTF">2024-04-29T02:46:10Z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BDC350B777C44DFDACB8FBB696258D1E</vt:lpwstr>
  </property>
</Properties>
</file>