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lear" w:pos="840"/>
        </w:tabs>
        <w:adjustRightInd/>
        <w:snapToGrid/>
        <w:spacing w:before="120" w:after="120" w:line="240" w:lineRule="auto"/>
        <w:jc w:val="center"/>
        <w:rPr>
          <w:rFonts w:hint="eastAsia"/>
          <w:b/>
          <w:bCs/>
          <w:sz w:val="28"/>
          <w:szCs w:val="28"/>
        </w:rPr>
      </w:pPr>
      <w:bookmarkStart w:id="0" w:name="_Toc451522337"/>
      <w:r>
        <w:rPr>
          <w:rFonts w:hint="eastAsia" w:ascii="宋体" w:hAnsi="宋体" w:eastAsia="宋体" w:cs="宋体"/>
          <w:color w:val="000000"/>
          <w:sz w:val="44"/>
          <w:szCs w:val="44"/>
        </w:rPr>
        <w:t>温州市中医院</w:t>
      </w:r>
      <w:r>
        <w:rPr>
          <w:rFonts w:hint="eastAsia" w:hAnsi="宋体" w:cs="宋体"/>
          <w:color w:val="000000"/>
          <w:sz w:val="44"/>
          <w:szCs w:val="44"/>
          <w:lang w:val="en-US" w:eastAsia="zh-CN"/>
        </w:rPr>
        <w:t>电动伸缩门（重）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采购</w:t>
      </w:r>
      <w:bookmarkEnd w:id="0"/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文件</w:t>
      </w:r>
    </w:p>
    <w:p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一、项目概况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项目名称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温州市中医院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电动伸缩门（重）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采购方式：公开遴选（非政府采购）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预算金额：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000元</w:t>
      </w:r>
    </w:p>
    <w:p>
      <w:pPr>
        <w:spacing w:line="40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b/>
          <w:sz w:val="28"/>
          <w:szCs w:val="28"/>
        </w:rPr>
        <w:t>项目内容及要求</w:t>
      </w:r>
    </w:p>
    <w:tbl>
      <w:tblPr>
        <w:tblStyle w:val="17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6504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  <w:jc w:val="center"/>
        </w:trPr>
        <w:tc>
          <w:tcPr>
            <w:tcW w:w="13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650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技术要求</w:t>
            </w:r>
          </w:p>
        </w:tc>
        <w:tc>
          <w:tcPr>
            <w:tcW w:w="12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left="843" w:hanging="843" w:hangingChars="400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投标响应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Cs w:val="21"/>
                <w:lang w:val="en-US" w:eastAsia="zh-CN"/>
              </w:rPr>
              <w:t>一</w:t>
            </w:r>
          </w:p>
        </w:tc>
        <w:tc>
          <w:tcPr>
            <w:tcW w:w="650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总体要求：</w:t>
            </w:r>
          </w:p>
        </w:tc>
        <w:tc>
          <w:tcPr>
            <w:tcW w:w="121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u w:val="none"/>
              </w:rPr>
              <w:t>1.1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/>
                <w:lang w:val="en-US" w:eastAsia="zh-CN"/>
              </w:rPr>
              <w:t>采购电动伸缩门一套，主要包括电动伸缩门主体、驱动系统（电机、控制箱）等，安装位置位于温州市中医院景山院区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3" w:hanging="843" w:hangingChars="400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二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功能要求及技术参数：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  <w:t>2.1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/>
                <w:lang w:val="en-US" w:eastAsia="zh-CN"/>
              </w:rPr>
              <w:t>电动伸缩门主体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材质：铝合金，抗腐蚀、耐氧化、无磁性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504" w:type="dxa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颜色：根据采购人实际需求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2.1.3</w:t>
            </w:r>
          </w:p>
        </w:tc>
        <w:tc>
          <w:tcPr>
            <w:tcW w:w="6504" w:type="dxa"/>
            <w:shd w:val="clear" w:color="auto" w:fill="auto"/>
            <w:vAlign w:val="center"/>
          </w:tcPr>
          <w:p>
            <w:pP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门头设计：带发光显示屏，内容清晰，字幕可自定义更改内容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高度：1.6米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长度：10.5米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门宽≥0.6米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★2.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主料：异型管，厚度≥1.2mm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★2.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交叉料：异型管，厚度≥1.0mm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伸缩性能好，伸缩速度快、平稳、不偏道、不打滑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可遥控开关伸缩门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firstLine="843" w:firstLineChars="400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/>
                <w:lang w:val="en-US" w:eastAsia="zh-CN"/>
              </w:rPr>
              <w:t>电机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结构紧凑，性能稳定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2.2.2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外观新颖，散热性强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2.2.3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启动力矩大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2.2.4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输入电源：AC220V/50HZ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2.2.5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工作温度：-35~+55℃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2.2.6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输入功率≥420W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2.2.7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输出转速≥46转/分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2.2.8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输出扭矩≥23N.m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三</w:t>
            </w:r>
          </w:p>
        </w:tc>
        <w:tc>
          <w:tcPr>
            <w:tcW w:w="6504" w:type="dxa"/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到货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验收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3.1</w:t>
            </w:r>
          </w:p>
        </w:tc>
        <w:tc>
          <w:tcPr>
            <w:tcW w:w="650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到货安装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地点：医院指定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地点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3.2</w:t>
            </w:r>
          </w:p>
        </w:tc>
        <w:tc>
          <w:tcPr>
            <w:tcW w:w="650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安装完成时间：合同签订后1个月内交货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并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完成安装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验收交付甲方使用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3.3</w:t>
            </w:r>
          </w:p>
        </w:tc>
        <w:tc>
          <w:tcPr>
            <w:tcW w:w="650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安装标准：符合我国国家有关技术规范和技术标准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650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验收标准：符合我国国家有关技术规范和技术标准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650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到货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安装、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验收合格前所产生的一切费用（包括卸货、搬运、必要时的安全性能检测费等）由供方负责提供。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四</w:t>
            </w:r>
          </w:p>
        </w:tc>
        <w:tc>
          <w:tcPr>
            <w:tcW w:w="6504" w:type="dxa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售后服务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4.1</w:t>
            </w:r>
          </w:p>
        </w:tc>
        <w:tc>
          <w:tcPr>
            <w:tcW w:w="65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免费保修：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验收合格后保修≥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年，期间免一切维修费用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五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厂家承诺过保后先维修再付款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提供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产品使用说明书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一套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付款方式:验收合格后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3个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内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一次性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付款，投标商开具单张发票限额必须大于投标单台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价格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投标商提供的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必须在距投标当日10个月内生产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ind w:firstLine="440" w:firstLineChars="200"/>
        <w:rPr>
          <w:rFonts w:hint="eastAsia" w:ascii="新宋体" w:hAnsi="新宋体" w:eastAsia="新宋体" w:cs="新宋体"/>
          <w:b/>
          <w:bCs/>
          <w:sz w:val="22"/>
          <w:szCs w:val="22"/>
          <w:u w:val="single"/>
        </w:rPr>
      </w:pPr>
      <w:r>
        <w:rPr>
          <w:rFonts w:hint="eastAsia" w:ascii="新宋体" w:hAnsi="新宋体" w:eastAsia="新宋体" w:cs="新宋体"/>
          <w:sz w:val="22"/>
          <w:szCs w:val="22"/>
          <w:u w:val="single"/>
        </w:rPr>
        <w:t>▲</w:t>
      </w:r>
      <w:r>
        <w:rPr>
          <w:rFonts w:hint="eastAsia" w:ascii="新宋体" w:hAnsi="新宋体" w:eastAsia="新宋体" w:cs="新宋体"/>
          <w:b/>
          <w:bCs/>
          <w:sz w:val="22"/>
          <w:szCs w:val="22"/>
          <w:u w:val="single"/>
        </w:rPr>
        <w:t>注：本次招标属于交钥匙项目，投标人可组织现场勘查</w:t>
      </w:r>
      <w:r>
        <w:rPr>
          <w:rFonts w:hint="eastAsia" w:ascii="新宋体" w:hAnsi="新宋体" w:eastAsia="新宋体" w:cs="新宋体"/>
          <w:b/>
          <w:bCs/>
          <w:sz w:val="22"/>
          <w:szCs w:val="22"/>
          <w:u w:val="single"/>
          <w:lang w:eastAsia="zh-CN"/>
        </w:rPr>
        <w:t>。</w:t>
      </w:r>
      <w:r>
        <w:rPr>
          <w:rFonts w:hint="eastAsia" w:ascii="新宋体" w:hAnsi="新宋体" w:eastAsia="新宋体" w:cs="新宋体"/>
          <w:b/>
          <w:bCs/>
          <w:sz w:val="22"/>
          <w:szCs w:val="22"/>
          <w:u w:val="single"/>
          <w:lang w:val="en-US" w:eastAsia="zh-CN"/>
        </w:rPr>
        <w:t>产品到货安装过程中对原土建的破坏、修复等工作及产生的相关费用全部由中标人承担，实行固定费用总包干</w:t>
      </w:r>
      <w:r>
        <w:rPr>
          <w:rFonts w:hint="eastAsia" w:ascii="新宋体" w:hAnsi="新宋体" w:eastAsia="新宋体" w:cs="新宋体"/>
          <w:b/>
          <w:bCs/>
          <w:sz w:val="22"/>
          <w:szCs w:val="22"/>
          <w:u w:val="single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rFonts w:hint="default" w:ascii="宋体" w:hAnsi="宋体" w:eastAsia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付款方式</w:t>
      </w:r>
    </w:p>
    <w:p>
      <w:pPr>
        <w:pStyle w:val="4"/>
        <w:spacing w:line="360" w:lineRule="auto"/>
        <w:ind w:left="0" w:leftChars="0" w:firstLine="480" w:firstLineChars="200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  <w:t>项目完成并经最终验收合格后，乙方向甲方开具发票，甲方在收到发票后三个月内向乙方支付全部合同价款。（在预算金额范围内，根据最终实际交付电动伸缩门长度*中标单价进行结算）。</w:t>
      </w:r>
    </w:p>
    <w:p>
      <w:pPr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评分细则</w:t>
      </w:r>
    </w:p>
    <w:p>
      <w:pPr>
        <w:spacing w:line="360" w:lineRule="auto"/>
        <w:ind w:firstLine="457" w:firstLineChars="196"/>
        <w:rPr>
          <w:rStyle w:val="2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1、商务技术分（0-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70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分）</w:t>
      </w:r>
    </w:p>
    <w:tbl>
      <w:tblPr>
        <w:tblStyle w:val="17"/>
        <w:tblW w:w="94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2729"/>
        <w:gridCol w:w="907"/>
        <w:gridCol w:w="50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评定项目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分值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对应于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文件项目内容及要求的偏离度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文件项目内容及要求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对比，一项指标负偏离扣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分，标注★的指标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偏离每项扣4分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扣完为止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配套的合理性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评委对投标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配套的合理性、功能实现程度进行评价：投标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配套合理、功能实现程度高的，得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6-8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分；配套较合理、功能实现程度较高的，得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3-5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分；配套合理性一般、不能完全达到临床要求功能的，得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的档次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产品型号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在产品系列中属高档产品的，得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8-11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分；属中等档次产品的，得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4-7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分；属低档产品的，得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运行成本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包括保修价格、售后服务方案、年运行费用和消耗品或易耗品价格等综合运行成本进行评价。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保修服务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投标产品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保修期超过招标文件要求的，每增加1年加1分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增加部分不足1年的不计分。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投标产品总体质量性能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投标产品的使用情况、稳定性、故障率等总体质量性能综合评价。</w:t>
            </w:r>
          </w:p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A档：6-8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B档：3-5分；C档：0-2分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制造商或代理商的售后服务和维修能力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制造商或代理商的售后服务和维修能力，服务响应速度、服务人员水平、备品备件配置等综合评价。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spacing w:before="120" w:beforeLines="50" w:after="120" w:afterLines="50"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before="120" w:beforeLines="50" w:after="120" w:afterLines="50" w:line="360" w:lineRule="auto"/>
        <w:ind w:firstLine="466" w:firstLineChars="200"/>
        <w:jc w:val="both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价格分（0-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分）</w:t>
      </w:r>
    </w:p>
    <w:p>
      <w:pPr>
        <w:numPr>
          <w:ilvl w:val="0"/>
          <w:numId w:val="0"/>
        </w:numPr>
        <w:spacing w:before="120" w:beforeLines="50" w:after="120" w:afterLines="50" w:line="360" w:lineRule="auto"/>
        <w:ind w:firstLine="464" w:firstLineChars="200"/>
        <w:jc w:val="both"/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  <w:t>价格分采用低价优先法计算，即满足招标文件要求且投标报价最低的投标报价为评标基准价，其得分为满分</w:t>
      </w: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  <w:t>分。其他投标人的价格分按照下列公式计算：</w:t>
      </w:r>
    </w:p>
    <w:p>
      <w:pPr>
        <w:spacing w:before="120" w:beforeLines="50" w:after="120" w:afterLines="50"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价格分=（评标基准价/</w:t>
      </w: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  <w:t>投标报价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%×100</w:t>
      </w:r>
    </w:p>
    <w:p>
      <w:pPr>
        <w:pStyle w:val="2"/>
        <w:jc w:val="center"/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jc w:val="center"/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</w:pPr>
      <w:r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（1）报价一览表</w:t>
      </w:r>
    </w:p>
    <w:p>
      <w:pPr>
        <w:autoSpaceDE w:val="0"/>
        <w:autoSpaceDN w:val="0"/>
        <w:spacing w:line="360" w:lineRule="auto"/>
        <w:ind w:right="893" w:firstLine="220" w:firstLineChars="100"/>
        <w:textAlignment w:val="bottom"/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</w:pP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  <w:t>项目名称：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  <w:lang w:val="en-US" w:eastAsia="zh-CN"/>
        </w:rPr>
        <w:t>温州市中医院电动伸缩门（重）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  <w:t xml:space="preserve">                                </w:t>
      </w:r>
    </w:p>
    <w:tbl>
      <w:tblPr>
        <w:tblStyle w:val="17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57"/>
        <w:gridCol w:w="1140"/>
        <w:gridCol w:w="1208"/>
        <w:gridCol w:w="297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序号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</w:rPr>
              <w:t>项目名称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品牌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型号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</w:rPr>
              <w:t>报价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人民币元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  <w:lang w:val="en-US" w:eastAsia="zh-CN"/>
              </w:rPr>
              <w:t>免费质保期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1857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电动伸缩门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大写：</w:t>
            </w:r>
          </w:p>
        </w:tc>
        <w:tc>
          <w:tcPr>
            <w:tcW w:w="142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小写：</w:t>
            </w: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</w:tbl>
    <w:p>
      <w:pPr>
        <w:spacing w:line="450" w:lineRule="exact"/>
        <w:rPr>
          <w:rFonts w:hint="eastAsia" w:ascii="宋体" w:hAnsi="宋体" w:eastAsia="宋体" w:cs="宋体"/>
          <w:b/>
          <w:color w:val="auto"/>
          <w:sz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2"/>
          <w:highlight w:val="none"/>
        </w:rPr>
        <w:t>说明：</w:t>
      </w:r>
      <w:r>
        <w:rPr>
          <w:rFonts w:hint="eastAsia" w:ascii="宋体" w:hAnsi="宋体" w:cs="宋体"/>
          <w:b/>
          <w:color w:val="auto"/>
          <w:sz w:val="22"/>
          <w:highlight w:val="none"/>
          <w:lang w:val="en-US" w:eastAsia="zh-CN"/>
        </w:rPr>
        <w:t>1、此栏投标总报价应与“（2）分项报价表”中的总计价相一致。</w:t>
      </w:r>
    </w:p>
    <w:p>
      <w:pPr>
        <w:spacing w:line="450" w:lineRule="exact"/>
        <w:ind w:firstLine="663" w:firstLineChars="300"/>
        <w:rPr>
          <w:rFonts w:hint="eastAsia" w:ascii="宋体" w:hAnsi="宋体" w:eastAsia="宋体" w:cs="宋体"/>
          <w:b/>
          <w:color w:val="auto"/>
          <w:sz w:val="22"/>
          <w:highlight w:val="none"/>
          <w:lang w:eastAsia="zh-CN"/>
        </w:rPr>
      </w:pPr>
      <w:r>
        <w:rPr>
          <w:rFonts w:hint="eastAsia" w:ascii="宋体" w:hAnsi="宋体" w:cs="宋体"/>
          <w:b/>
          <w:color w:val="auto"/>
          <w:sz w:val="22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b/>
          <w:color w:val="auto"/>
          <w:sz w:val="22"/>
          <w:highlight w:val="none"/>
        </w:rPr>
        <w:t>不提供此表格将被视为没有实质性响应</w:t>
      </w:r>
      <w:r>
        <w:rPr>
          <w:rFonts w:hint="eastAsia" w:ascii="宋体" w:hAnsi="宋体" w:cs="宋体"/>
          <w:b/>
          <w:color w:val="auto"/>
          <w:sz w:val="22"/>
          <w:highlight w:val="none"/>
          <w:lang w:val="en-US" w:eastAsia="zh-CN"/>
        </w:rPr>
        <w:t>遴选</w:t>
      </w:r>
      <w:r>
        <w:rPr>
          <w:rFonts w:hint="eastAsia" w:ascii="宋体" w:hAnsi="宋体" w:eastAsia="宋体" w:cs="宋体"/>
          <w:b/>
          <w:color w:val="auto"/>
          <w:sz w:val="22"/>
          <w:highlight w:val="none"/>
        </w:rPr>
        <w:t>文件</w:t>
      </w:r>
      <w:r>
        <w:rPr>
          <w:rFonts w:hint="eastAsia" w:ascii="宋体" w:hAnsi="宋体" w:eastAsia="宋体" w:cs="宋体"/>
          <w:b/>
          <w:color w:val="auto"/>
          <w:sz w:val="22"/>
          <w:highlight w:val="none"/>
          <w:lang w:eastAsia="zh-CN"/>
        </w:rPr>
        <w:t>。</w:t>
      </w:r>
    </w:p>
    <w:p>
      <w:pPr>
        <w:pStyle w:val="6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投标人全称（盖章）：</w:t>
      </w:r>
    </w:p>
    <w:p>
      <w:pPr>
        <w:spacing w:line="400" w:lineRule="exact"/>
        <w:jc w:val="center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投标人代表（签字）：</w:t>
      </w:r>
    </w:p>
    <w:p>
      <w:pPr>
        <w:spacing w:line="380" w:lineRule="exact"/>
        <w:ind w:firstLine="220" w:firstLineChars="10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 xml:space="preserve">        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日    期：</w:t>
      </w:r>
    </w:p>
    <w:p>
      <w:pPr>
        <w:spacing w:line="380" w:lineRule="exact"/>
        <w:ind w:firstLine="220" w:firstLineChars="10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</w:p>
    <w:p>
      <w:pPr>
        <w:pStyle w:val="9"/>
        <w:ind w:left="860" w:hanging="44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ind w:left="0" w:leftChars="0" w:firstLine="0" w:firstLineChars="0"/>
        <w:rPr>
          <w:rFonts w:hint="eastAsia"/>
        </w:rPr>
      </w:pPr>
    </w:p>
    <w:p>
      <w:pPr>
        <w:jc w:val="center"/>
        <w:rPr>
          <w:rFonts w:hint="eastAsia"/>
          <w:b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（2）分项报价表</w:t>
      </w:r>
    </w:p>
    <w:p>
      <w:pPr>
        <w:pStyle w:val="9"/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项目名称：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温州市中医院电动伸缩门</w:t>
      </w:r>
      <w:r>
        <w:rPr>
          <w:rFonts w:hint="eastAsia" w:hAnsi="宋体" w:cs="宋体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hAnsi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重</w:t>
      </w:r>
      <w:r>
        <w:rPr>
          <w:rFonts w:hint="eastAsia" w:hAnsi="宋体" w:cs="宋体"/>
          <w:b w:val="0"/>
          <w:bCs/>
          <w:color w:val="auto"/>
          <w:sz w:val="24"/>
          <w:szCs w:val="24"/>
          <w:highlight w:val="none"/>
          <w:lang w:eastAsia="zh-CN"/>
        </w:rPr>
        <w:t>）</w:t>
      </w:r>
    </w:p>
    <w:tbl>
      <w:tblPr>
        <w:tblStyle w:val="17"/>
        <w:tblW w:w="9789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60"/>
        <w:gridCol w:w="1560"/>
        <w:gridCol w:w="1425"/>
        <w:gridCol w:w="684"/>
        <w:gridCol w:w="771"/>
        <w:gridCol w:w="1185"/>
        <w:gridCol w:w="975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项目</w:t>
            </w:r>
          </w:p>
        </w:tc>
        <w:tc>
          <w:tcPr>
            <w:tcW w:w="136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产品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品牌型号规格、产地</w:t>
            </w:r>
          </w:p>
        </w:tc>
        <w:tc>
          <w:tcPr>
            <w:tcW w:w="142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制造厂商名称</w:t>
            </w:r>
          </w:p>
        </w:tc>
        <w:tc>
          <w:tcPr>
            <w:tcW w:w="684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出厂单价</w:t>
            </w:r>
          </w:p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（含税）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总价</w:t>
            </w:r>
          </w:p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（含税）</w:t>
            </w: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免费</w:t>
            </w:r>
          </w:p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2"/>
                <w:szCs w:val="22"/>
                <w:highlight w:val="none"/>
                <w:lang w:val="en-US" w:eastAsia="zh-CN"/>
              </w:rPr>
              <w:t>质保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电动伸缩门主体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米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驱动系统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4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5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6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360" w:type="dxa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hint="eastAsia" w:ascii="Times New Roman" w:hAnsi="Times New Roman" w:eastAsia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......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以上所列为参考，投标人可根据实际投标情况自行进行产品补充和调整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70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运杂及保险费（含卸货）</w:t>
            </w:r>
          </w:p>
        </w:tc>
        <w:tc>
          <w:tcPr>
            <w:tcW w:w="6119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70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安装调试费（包括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项目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的测试、调试、验收等费用）</w:t>
            </w:r>
          </w:p>
        </w:tc>
        <w:tc>
          <w:tcPr>
            <w:tcW w:w="6119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70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培训费、技术服务费、售后服务费等</w:t>
            </w:r>
          </w:p>
        </w:tc>
        <w:tc>
          <w:tcPr>
            <w:tcW w:w="6119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70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税金</w:t>
            </w:r>
          </w:p>
        </w:tc>
        <w:tc>
          <w:tcPr>
            <w:tcW w:w="6119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70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总计价</w:t>
            </w:r>
          </w:p>
        </w:tc>
        <w:tc>
          <w:tcPr>
            <w:tcW w:w="6119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pPr>
        <w:spacing w:line="380" w:lineRule="exact"/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  <w:t xml:space="preserve">说明： 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1、此表总计价应与“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报价一览表”中报价相一致。</w:t>
      </w:r>
    </w:p>
    <w:p>
      <w:pPr>
        <w:spacing w:line="380" w:lineRule="exact"/>
        <w:ind w:firstLine="755" w:firstLineChars="342"/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2、不提供详细分项报价将视为没有实质性响应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lang w:val="en-US" w:eastAsia="zh-CN"/>
        </w:rPr>
        <w:t>招标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文件。</w:t>
      </w:r>
    </w:p>
    <w:p>
      <w:pPr>
        <w:spacing w:line="380" w:lineRule="exact"/>
        <w:ind w:firstLine="720"/>
        <w:rPr>
          <w:rFonts w:hint="eastAsia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3、如果免费请在该项内容栏内注明“免”，如果含在产品价格中则填“含”，如无此项内容则填“无”。</w:t>
      </w:r>
    </w:p>
    <w:p>
      <w:pPr>
        <w:spacing w:line="400" w:lineRule="exact"/>
        <w:jc w:val="center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投标人全称（盖章）：</w:t>
      </w:r>
    </w:p>
    <w:p>
      <w:pPr>
        <w:spacing w:line="400" w:lineRule="exact"/>
        <w:jc w:val="center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投标人代表（签字）：</w:t>
      </w:r>
    </w:p>
    <w:p>
      <w:pPr>
        <w:spacing w:line="380" w:lineRule="exact"/>
        <w:ind w:firstLine="220" w:firstLineChars="100"/>
        <w:rPr>
          <w:rFonts w:hint="eastAsia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 xml:space="preserve">        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日    期：</w:t>
      </w:r>
    </w:p>
    <w:p>
      <w:pPr>
        <w:jc w:val="both"/>
        <w:rPr>
          <w:rFonts w:hint="eastAsia" w:eastAsia="宋体"/>
          <w:b/>
          <w:bCs w:val="0"/>
          <w:sz w:val="28"/>
          <w:szCs w:val="28"/>
          <w:lang w:eastAsia="zh-CN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五、详细供货清单说明一览表</w:t>
      </w:r>
    </w:p>
    <w:p>
      <w:pPr>
        <w:rPr>
          <w:rFonts w:hint="eastAsia" w:ascii="新宋体" w:hAnsi="新宋体" w:eastAsia="新宋体" w:cs="新宋体"/>
          <w:b/>
          <w:bCs/>
          <w:color w:val="auto"/>
          <w:sz w:val="22"/>
          <w:szCs w:val="22"/>
          <w:highlight w:val="none"/>
        </w:rPr>
      </w:pPr>
      <w:r>
        <w:rPr>
          <w:rFonts w:hint="eastAsia" w:ascii="新宋体" w:hAnsi="新宋体" w:eastAsia="新宋体" w:cs="新宋体"/>
          <w:b w:val="0"/>
          <w:bCs/>
          <w:color w:val="auto"/>
          <w:sz w:val="24"/>
          <w:szCs w:val="24"/>
          <w:highlight w:val="none"/>
        </w:rPr>
        <w:t>项目名称：温州市中医院电动伸缩门</w:t>
      </w:r>
      <w:r>
        <w:rPr>
          <w:rFonts w:hint="eastAsia" w:ascii="新宋体" w:hAnsi="新宋体" w:eastAsia="新宋体" w:cs="新宋体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新宋体" w:hAnsi="新宋体" w:eastAsia="新宋体" w:cs="新宋体"/>
          <w:b w:val="0"/>
          <w:bCs/>
          <w:color w:val="auto"/>
          <w:sz w:val="24"/>
          <w:szCs w:val="24"/>
          <w:highlight w:val="none"/>
          <w:lang w:val="en-US" w:eastAsia="zh-CN"/>
        </w:rPr>
        <w:t>重</w:t>
      </w:r>
      <w:bookmarkStart w:id="1" w:name="_GoBack"/>
      <w:bookmarkEnd w:id="1"/>
      <w:r>
        <w:rPr>
          <w:rFonts w:hint="eastAsia" w:ascii="新宋体" w:hAnsi="新宋体" w:eastAsia="新宋体" w:cs="新宋体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新宋体" w:hAnsi="新宋体" w:eastAsia="新宋体" w:cs="新宋体"/>
          <w:b w:val="0"/>
          <w:bCs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szCs w:val="22"/>
          <w:highlight w:val="none"/>
        </w:rPr>
        <w:t xml:space="preserve"> </w:t>
      </w:r>
      <w:r>
        <w:rPr>
          <w:rFonts w:hint="eastAsia" w:ascii="新宋体" w:hAnsi="新宋体" w:eastAsia="新宋体" w:cs="新宋体"/>
          <w:b/>
          <w:color w:val="auto"/>
          <w:sz w:val="22"/>
          <w:szCs w:val="22"/>
          <w:highlight w:val="none"/>
        </w:rPr>
        <w:t xml:space="preserve">                                                     </w:t>
      </w:r>
    </w:p>
    <w:tbl>
      <w:tblPr>
        <w:tblStyle w:val="17"/>
        <w:tblpPr w:leftFromText="180" w:rightFromText="180" w:vertAnchor="text" w:horzAnchor="margin" w:tblpY="161"/>
        <w:tblW w:w="10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574"/>
        <w:gridCol w:w="1381"/>
        <w:gridCol w:w="1845"/>
        <w:gridCol w:w="1605"/>
        <w:gridCol w:w="1275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5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产品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品牌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规格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型号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原产地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免费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pPr>
        <w:pStyle w:val="10"/>
        <w:spacing w:line="400" w:lineRule="atLeast"/>
        <w:rPr>
          <w:rFonts w:hint="eastAsia" w:ascii="新宋体" w:hAnsi="新宋体" w:eastAsia="新宋体" w:cs="新宋体"/>
          <w:color w:val="auto"/>
          <w:sz w:val="22"/>
          <w:szCs w:val="22"/>
          <w:highlight w:val="none"/>
        </w:rPr>
      </w:pPr>
    </w:p>
    <w:p>
      <w:pPr>
        <w:spacing w:line="360" w:lineRule="auto"/>
        <w:ind w:firstLine="5040" w:firstLineChars="2400"/>
        <w:rPr>
          <w:rFonts w:hint="eastAsia"/>
        </w:rPr>
      </w:pPr>
      <w:r>
        <w:rPr>
          <w:rFonts w:hint="eastAsia"/>
        </w:rPr>
        <w:t>投标人全称（盖章）：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     投标人代表（签字）：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     日   期：</w:t>
      </w:r>
    </w:p>
    <w:p>
      <w:pPr>
        <w:keepNext/>
        <w:spacing w:line="360" w:lineRule="auto"/>
        <w:rPr>
          <w:rFonts w:hint="eastAsia"/>
          <w:color w:val="auto"/>
          <w:highlight w:val="none"/>
        </w:rPr>
      </w:pPr>
    </w:p>
    <w:p>
      <w:pPr>
        <w:pStyle w:val="9"/>
        <w:ind w:left="0" w:leftChars="0" w:firstLine="0" w:firstLineChars="0"/>
        <w:rPr>
          <w:rFonts w:hint="eastAsia"/>
        </w:rPr>
      </w:pPr>
    </w:p>
    <w:p>
      <w:pPr>
        <w:spacing w:line="380" w:lineRule="exact"/>
        <w:rPr>
          <w:rFonts w:hint="eastAsia"/>
        </w:rPr>
      </w:pPr>
    </w:p>
    <w:sectPr>
      <w:footerReference r:id="rId3" w:type="default"/>
      <w:pgSz w:w="11906" w:h="16838"/>
      <w:pgMar w:top="850" w:right="1236" w:bottom="85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40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97C9E"/>
    <w:multiLevelType w:val="multilevel"/>
    <w:tmpl w:val="5D497C9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sz w:val="32"/>
        <w:szCs w:val="32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YzM2I0ZDUwMmVjNzJkYmUxYzgyNTRhNTkzMTAwNGIifQ=="/>
  </w:docVars>
  <w:rsids>
    <w:rsidRoot w:val="442D7AA8"/>
    <w:rsid w:val="000838A3"/>
    <w:rsid w:val="0029760C"/>
    <w:rsid w:val="003D41C7"/>
    <w:rsid w:val="003E091A"/>
    <w:rsid w:val="00537F7B"/>
    <w:rsid w:val="005D6C7D"/>
    <w:rsid w:val="0077449E"/>
    <w:rsid w:val="009C732C"/>
    <w:rsid w:val="00A81427"/>
    <w:rsid w:val="00BD504C"/>
    <w:rsid w:val="00DB7EDC"/>
    <w:rsid w:val="00FA6B75"/>
    <w:rsid w:val="03BC4EA5"/>
    <w:rsid w:val="03C84B20"/>
    <w:rsid w:val="04B15D87"/>
    <w:rsid w:val="04BF0E2D"/>
    <w:rsid w:val="058519D7"/>
    <w:rsid w:val="061D51A5"/>
    <w:rsid w:val="061E2864"/>
    <w:rsid w:val="076646E5"/>
    <w:rsid w:val="07986998"/>
    <w:rsid w:val="084B5379"/>
    <w:rsid w:val="08F913E5"/>
    <w:rsid w:val="091E5277"/>
    <w:rsid w:val="09920CE1"/>
    <w:rsid w:val="09CB578A"/>
    <w:rsid w:val="0D310E59"/>
    <w:rsid w:val="0F427144"/>
    <w:rsid w:val="0F9C6A6C"/>
    <w:rsid w:val="1124087B"/>
    <w:rsid w:val="119837F6"/>
    <w:rsid w:val="11D03062"/>
    <w:rsid w:val="127E35D2"/>
    <w:rsid w:val="15F0193F"/>
    <w:rsid w:val="16586A57"/>
    <w:rsid w:val="16EF2001"/>
    <w:rsid w:val="17B96491"/>
    <w:rsid w:val="19006747"/>
    <w:rsid w:val="1B951E05"/>
    <w:rsid w:val="1C0A168B"/>
    <w:rsid w:val="1DEA1774"/>
    <w:rsid w:val="1E727C26"/>
    <w:rsid w:val="203F5CE6"/>
    <w:rsid w:val="20A43E5C"/>
    <w:rsid w:val="20C836D6"/>
    <w:rsid w:val="252A6495"/>
    <w:rsid w:val="25DC4098"/>
    <w:rsid w:val="26603861"/>
    <w:rsid w:val="26614AE7"/>
    <w:rsid w:val="26A36964"/>
    <w:rsid w:val="294B6DC9"/>
    <w:rsid w:val="2C0B329E"/>
    <w:rsid w:val="2C6B53BF"/>
    <w:rsid w:val="2DCF6290"/>
    <w:rsid w:val="2EE23DA1"/>
    <w:rsid w:val="32E87DD1"/>
    <w:rsid w:val="333746BC"/>
    <w:rsid w:val="33F15215"/>
    <w:rsid w:val="35584BB1"/>
    <w:rsid w:val="35DC779C"/>
    <w:rsid w:val="36F20F59"/>
    <w:rsid w:val="36FF0897"/>
    <w:rsid w:val="38620F4A"/>
    <w:rsid w:val="395D6E46"/>
    <w:rsid w:val="3A0D6176"/>
    <w:rsid w:val="3A5C534F"/>
    <w:rsid w:val="3AA307AA"/>
    <w:rsid w:val="3C737A94"/>
    <w:rsid w:val="3D4A148F"/>
    <w:rsid w:val="3D766728"/>
    <w:rsid w:val="3F351791"/>
    <w:rsid w:val="401D58AF"/>
    <w:rsid w:val="41D82FF7"/>
    <w:rsid w:val="42417305"/>
    <w:rsid w:val="43AB1C34"/>
    <w:rsid w:val="43F47C2B"/>
    <w:rsid w:val="442D7AA8"/>
    <w:rsid w:val="45B222C8"/>
    <w:rsid w:val="464C44CA"/>
    <w:rsid w:val="46AB0BAA"/>
    <w:rsid w:val="49E05655"/>
    <w:rsid w:val="4A9B7985"/>
    <w:rsid w:val="4AFE12BB"/>
    <w:rsid w:val="4B2C08F7"/>
    <w:rsid w:val="4B86017E"/>
    <w:rsid w:val="4BB26B7D"/>
    <w:rsid w:val="4BB51A4D"/>
    <w:rsid w:val="4C8B2404"/>
    <w:rsid w:val="4EAB72E4"/>
    <w:rsid w:val="4EDB63EB"/>
    <w:rsid w:val="4F835253"/>
    <w:rsid w:val="50430A48"/>
    <w:rsid w:val="50CF01D2"/>
    <w:rsid w:val="50D4246D"/>
    <w:rsid w:val="51E24360"/>
    <w:rsid w:val="52073580"/>
    <w:rsid w:val="52957526"/>
    <w:rsid w:val="539C47DE"/>
    <w:rsid w:val="54A656ED"/>
    <w:rsid w:val="564451BE"/>
    <w:rsid w:val="56576C9F"/>
    <w:rsid w:val="57A36574"/>
    <w:rsid w:val="58D72375"/>
    <w:rsid w:val="592D3875"/>
    <w:rsid w:val="596D4A2C"/>
    <w:rsid w:val="59863BF8"/>
    <w:rsid w:val="5A1D1FAE"/>
    <w:rsid w:val="5AA12BDF"/>
    <w:rsid w:val="5BD776A5"/>
    <w:rsid w:val="5BF233C2"/>
    <w:rsid w:val="5D924A61"/>
    <w:rsid w:val="5DAF6DF6"/>
    <w:rsid w:val="5E117925"/>
    <w:rsid w:val="5E6F3AB2"/>
    <w:rsid w:val="5EB32163"/>
    <w:rsid w:val="5EEC01A1"/>
    <w:rsid w:val="5F312DC3"/>
    <w:rsid w:val="61E865CA"/>
    <w:rsid w:val="62C456BC"/>
    <w:rsid w:val="63750765"/>
    <w:rsid w:val="64F466B7"/>
    <w:rsid w:val="654C0859"/>
    <w:rsid w:val="65B0017A"/>
    <w:rsid w:val="677734BF"/>
    <w:rsid w:val="698C35ED"/>
    <w:rsid w:val="6AD77E43"/>
    <w:rsid w:val="6D072008"/>
    <w:rsid w:val="6E0C0341"/>
    <w:rsid w:val="6FA3415F"/>
    <w:rsid w:val="708D037F"/>
    <w:rsid w:val="712E3A4E"/>
    <w:rsid w:val="71BA3A22"/>
    <w:rsid w:val="71CD3E62"/>
    <w:rsid w:val="724D0AFE"/>
    <w:rsid w:val="72B648F6"/>
    <w:rsid w:val="72E83474"/>
    <w:rsid w:val="72F62F44"/>
    <w:rsid w:val="75A35A24"/>
    <w:rsid w:val="77A47413"/>
    <w:rsid w:val="78362761"/>
    <w:rsid w:val="78BC52C2"/>
    <w:rsid w:val="79D00993"/>
    <w:rsid w:val="79F966D5"/>
    <w:rsid w:val="7A8D0632"/>
    <w:rsid w:val="7ADE6A6C"/>
    <w:rsid w:val="7D311748"/>
    <w:rsid w:val="7D3D2E1C"/>
    <w:rsid w:val="7D531607"/>
    <w:rsid w:val="7DBF4FA6"/>
    <w:rsid w:val="7E036272"/>
    <w:rsid w:val="7E7A2C7B"/>
    <w:rsid w:val="7EEE556E"/>
    <w:rsid w:val="7EFA0DDF"/>
    <w:rsid w:val="7F0817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tabs>
        <w:tab w:val="left" w:pos="840"/>
      </w:tabs>
      <w:adjustRightInd w:val="0"/>
      <w:snapToGrid w:val="0"/>
      <w:spacing w:line="360" w:lineRule="auto"/>
      <w:outlineLvl w:val="0"/>
    </w:pPr>
    <w:rPr>
      <w:rFonts w:ascii="宋体"/>
      <w:b/>
      <w:kern w:val="44"/>
      <w:sz w:val="24"/>
    </w:rPr>
  </w:style>
  <w:style w:type="paragraph" w:styleId="2">
    <w:name w:val="heading 4"/>
    <w:basedOn w:val="1"/>
    <w:next w:val="1"/>
    <w:autoRedefine/>
    <w:qFormat/>
    <w:uiPriority w:val="0"/>
    <w:pPr>
      <w:keepNext/>
      <w:keepLines/>
      <w:numPr>
        <w:ilvl w:val="3"/>
        <w:numId w:val="1"/>
      </w:numPr>
      <w:spacing w:line="540" w:lineRule="atLeast"/>
      <w:outlineLvl w:val="3"/>
    </w:pPr>
    <w:rPr>
      <w:sz w:val="28"/>
      <w:szCs w:val="28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autoRedefine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next w:val="6"/>
    <w:autoRedefine/>
    <w:qFormat/>
    <w:uiPriority w:val="0"/>
    <w:pPr>
      <w:spacing w:after="120" w:afterLines="0"/>
    </w:pPr>
  </w:style>
  <w:style w:type="paragraph" w:styleId="6">
    <w:name w:val="Body Text First Indent"/>
    <w:basedOn w:val="5"/>
    <w:next w:val="7"/>
    <w:autoRedefine/>
    <w:qFormat/>
    <w:uiPriority w:val="0"/>
    <w:pPr>
      <w:ind w:firstLine="420" w:firstLineChars="100"/>
    </w:pPr>
    <w:rPr>
      <w:b/>
      <w:bCs/>
      <w:szCs w:val="24"/>
    </w:rPr>
  </w:style>
  <w:style w:type="paragraph" w:styleId="7">
    <w:name w:val="toc 6"/>
    <w:basedOn w:val="1"/>
    <w:next w:val="1"/>
    <w:autoRedefine/>
    <w:qFormat/>
    <w:uiPriority w:val="0"/>
    <w:pPr>
      <w:ind w:left="2100" w:leftChars="1000"/>
    </w:pPr>
  </w:style>
  <w:style w:type="paragraph" w:styleId="8">
    <w:name w:val="Body Text Indent"/>
    <w:basedOn w:val="1"/>
    <w:next w:val="9"/>
    <w:autoRedefine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  <w14:ligatures w14:val="none"/>
    </w:rPr>
  </w:style>
  <w:style w:type="paragraph" w:styleId="9">
    <w:name w:val="Body Text First Indent 2"/>
    <w:basedOn w:val="8"/>
    <w:autoRedefine/>
    <w:qFormat/>
    <w:uiPriority w:val="0"/>
    <w:pPr>
      <w:spacing w:after="120"/>
      <w:ind w:left="420" w:leftChars="200" w:firstLine="420"/>
    </w:pPr>
    <w:rPr>
      <w:rFonts w:cs="宋体"/>
      <w:sz w:val="21"/>
      <w:szCs w:val="21"/>
    </w:rPr>
  </w:style>
  <w:style w:type="paragraph" w:styleId="10">
    <w:name w:val="Plain Text"/>
    <w:basedOn w:val="1"/>
    <w:next w:val="11"/>
    <w:autoRedefine/>
    <w:qFormat/>
    <w:uiPriority w:val="0"/>
    <w:pPr>
      <w:spacing w:beforeLines="50" w:afterLines="50" w:line="400" w:lineRule="exact"/>
    </w:pPr>
    <w:rPr>
      <w:rFonts w:ascii="宋体" w:hAnsi="Courier New"/>
      <w:sz w:val="24"/>
    </w:rPr>
  </w:style>
  <w:style w:type="paragraph" w:styleId="11">
    <w:name w:val="toc 2"/>
    <w:basedOn w:val="1"/>
    <w:next w:val="1"/>
    <w:autoRedefine/>
    <w:qFormat/>
    <w:uiPriority w:val="0"/>
    <w:pPr>
      <w:ind w:left="420" w:leftChars="200"/>
    </w:pPr>
  </w:style>
  <w:style w:type="paragraph" w:styleId="12">
    <w:name w:val="footer"/>
    <w:basedOn w:val="1"/>
    <w:link w:val="2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autoRedefine/>
    <w:qFormat/>
    <w:uiPriority w:val="39"/>
    <w:pPr>
      <w:spacing w:before="120" w:after="120" w:line="360" w:lineRule="auto"/>
      <w:jc w:val="left"/>
    </w:pPr>
    <w:rPr>
      <w:b/>
      <w:bCs/>
      <w:caps/>
      <w:sz w:val="24"/>
      <w:szCs w:val="20"/>
    </w:rPr>
  </w:style>
  <w:style w:type="paragraph" w:styleId="1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Title"/>
    <w:basedOn w:val="1"/>
    <w:next w:val="1"/>
    <w:autoRedefine/>
    <w:qFormat/>
    <w:uiPriority w:val="0"/>
    <w:pPr>
      <w:jc w:val="center"/>
    </w:pPr>
    <w:rPr>
      <w:rFonts w:ascii="Arial" w:hAnsi="Arial" w:eastAsia="宋体"/>
      <w:b/>
      <w:kern w:val="0"/>
      <w:sz w:val="36"/>
      <w:szCs w:val="20"/>
      <w:lang w:eastAsia="en-US"/>
      <w14:ligatures w14:val="none"/>
    </w:rPr>
  </w:style>
  <w:style w:type="table" w:styleId="18">
    <w:name w:val="Table Grid"/>
    <w:autoRedefine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autoRedefine/>
    <w:qFormat/>
    <w:uiPriority w:val="22"/>
    <w:rPr>
      <w:b/>
    </w:rPr>
  </w:style>
  <w:style w:type="character" w:styleId="21">
    <w:name w:val="page number"/>
    <w:autoRedefine/>
    <w:qFormat/>
    <w:uiPriority w:val="0"/>
  </w:style>
  <w:style w:type="paragraph" w:customStyle="1" w:styleId="22">
    <w:name w:val="BodyText1I"/>
    <w:basedOn w:val="23"/>
    <w:autoRedefine/>
    <w:qFormat/>
    <w:uiPriority w:val="0"/>
    <w:pPr>
      <w:ind w:firstLine="420" w:firstLineChars="100"/>
    </w:pPr>
  </w:style>
  <w:style w:type="paragraph" w:customStyle="1" w:styleId="23">
    <w:name w:val="BodyText"/>
    <w:basedOn w:val="1"/>
    <w:autoRedefine/>
    <w:qFormat/>
    <w:uiPriority w:val="0"/>
    <w:pPr>
      <w:spacing w:after="120"/>
    </w:pPr>
  </w:style>
  <w:style w:type="paragraph" w:customStyle="1" w:styleId="24">
    <w:name w:val="表格文字"/>
    <w:basedOn w:val="1"/>
    <w:next w:val="5"/>
    <w:autoRedefine/>
    <w:qFormat/>
    <w:uiPriority w:val="0"/>
    <w:pPr>
      <w:autoSpaceDE w:val="0"/>
      <w:autoSpaceDN w:val="0"/>
      <w:adjustRightInd w:val="0"/>
      <w:spacing w:line="420" w:lineRule="atLeast"/>
      <w:jc w:val="left"/>
      <w:textAlignment w:val="baseline"/>
    </w:pPr>
    <w:rPr>
      <w:rFonts w:hAnsi="宋体" w:cs="宋体"/>
      <w:kern w:val="0"/>
      <w:sz w:val="22"/>
      <w:lang w:val="zh-CN" w:bidi="zh-CN"/>
    </w:rPr>
  </w:style>
  <w:style w:type="character" w:customStyle="1" w:styleId="25">
    <w:name w:val="页眉 Char"/>
    <w:basedOn w:val="19"/>
    <w:link w:val="13"/>
    <w:autoRedefine/>
    <w:qFormat/>
    <w:uiPriority w:val="0"/>
    <w:rPr>
      <w:kern w:val="2"/>
      <w:sz w:val="18"/>
      <w:szCs w:val="18"/>
    </w:rPr>
  </w:style>
  <w:style w:type="character" w:customStyle="1" w:styleId="26">
    <w:name w:val="页脚 Char"/>
    <w:basedOn w:val="19"/>
    <w:link w:val="12"/>
    <w:autoRedefine/>
    <w:qFormat/>
    <w:uiPriority w:val="0"/>
    <w:rPr>
      <w:kern w:val="2"/>
      <w:sz w:val="18"/>
      <w:szCs w:val="18"/>
    </w:rPr>
  </w:style>
  <w:style w:type="paragraph" w:styleId="27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列出段落1"/>
    <w:basedOn w:val="1"/>
    <w:autoRedefine/>
    <w:qFormat/>
    <w:uiPriority w:val="0"/>
    <w:pPr>
      <w:widowControl/>
      <w:spacing w:after="160" w:line="360" w:lineRule="auto"/>
      <w:ind w:left="720"/>
      <w:contextualSpacing/>
      <w:jc w:val="left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2033</Words>
  <Characters>2299</Characters>
  <Lines>17</Lines>
  <Paragraphs>4</Paragraphs>
  <TotalTime>42</TotalTime>
  <ScaleCrop>false</ScaleCrop>
  <LinksUpToDate>false</LinksUpToDate>
  <CharactersWithSpaces>2342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2019-08-15T01:42:00Z</dcterms:created>
  <dc:creator>小米</dc:creator>
  <cp:lastModifiedBy>天津卫</cp:lastModifiedBy>
  <dcterms:modified xsi:type="dcterms:W3CDTF">2024-04-09T13:02:22Z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BDC350B777C44DFDACB8FBB696258D1E</vt:lpwstr>
  </property>
</Properties>
</file>