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840"/>
        </w:tabs>
        <w:adjustRightInd/>
        <w:snapToGrid/>
        <w:spacing w:before="120" w:after="120" w:line="360" w:lineRule="auto"/>
        <w:jc w:val="center"/>
        <w:rPr>
          <w:rFonts w:hint="eastAsia"/>
          <w:b/>
          <w:bCs/>
          <w:sz w:val="28"/>
          <w:szCs w:val="28"/>
        </w:rPr>
      </w:pPr>
      <w:bookmarkStart w:id="0" w:name="_Toc451522337"/>
      <w:r>
        <w:rPr>
          <w:rFonts w:hint="eastAsia" w:ascii="宋体" w:hAnsi="宋体" w:eastAsia="宋体" w:cs="宋体"/>
          <w:color w:val="000000"/>
          <w:sz w:val="44"/>
          <w:szCs w:val="44"/>
        </w:rPr>
        <w:t>温州市中医院</w:t>
      </w:r>
      <w:r>
        <w:rPr>
          <w:rFonts w:hint="eastAsia" w:hAnsi="宋体" w:cs="宋体"/>
          <w:color w:val="000000"/>
          <w:sz w:val="44"/>
          <w:szCs w:val="44"/>
          <w:lang w:val="en-US" w:eastAsia="zh-CN"/>
        </w:rPr>
        <w:t>无人机航拍器（重）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采购</w:t>
      </w:r>
      <w:bookmarkEnd w:id="0"/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文件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一、项目概况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温州市中医院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无人机航拍器（重）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采购方式：公开遴选（非政府采购）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预算金额：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000元</w:t>
      </w:r>
    </w:p>
    <w:p>
      <w:pPr>
        <w:spacing w:line="4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sz w:val="28"/>
          <w:szCs w:val="28"/>
        </w:rPr>
        <w:t>项目内容及要求</w:t>
      </w:r>
    </w:p>
    <w:tbl>
      <w:tblPr>
        <w:tblStyle w:val="17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504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650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技术要求</w:t>
            </w:r>
          </w:p>
        </w:tc>
        <w:tc>
          <w:tcPr>
            <w:tcW w:w="12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843" w:hanging="843" w:hangingChars="40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投标响应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Cs w:val="21"/>
                <w:lang w:val="en-US" w:eastAsia="zh-CN"/>
              </w:rPr>
              <w:t>一</w:t>
            </w:r>
          </w:p>
        </w:tc>
        <w:tc>
          <w:tcPr>
            <w:tcW w:w="650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总体要求：</w:t>
            </w:r>
          </w:p>
        </w:tc>
        <w:tc>
          <w:tcPr>
            <w:tcW w:w="12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u w:val="none"/>
              </w:rPr>
              <w:t>▲1.1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采购无人机航拍器</w:t>
            </w:r>
            <w:r>
              <w:rPr>
                <w:rFonts w:hint="eastAsia" w:ascii="宋体" w:hAnsi="宋体" w:cs="宋体"/>
                <w:color w:val="auto"/>
                <w:szCs w:val="21"/>
                <w:u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套，须包括无人机航拍器主体*1台、螺旋桨*3对、遥控器*1个、备用遥控器摇杆*1对、智能飞行电池*2块、充电器*1个、USB-C数据线*1根、收纳保护罩*1个、高速存储卡*1张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3" w:hanging="843" w:hangingChars="40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二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功能要求及技术参数：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2.1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航拍无人机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主体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起飞重量≥895克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尺寸（允许±1mm的偏差）：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（1）</w:t>
            </w:r>
            <w:r>
              <w:rPr>
                <w:rFonts w:hint="default"/>
                <w:lang w:val="en-US" w:eastAsia="zh-CN"/>
              </w:rPr>
              <w:t>折叠（不带桨</w:t>
            </w:r>
            <w:r>
              <w:rPr>
                <w:rFonts w:hint="eastAsia"/>
                <w:lang w:val="en-US" w:eastAsia="zh-CN"/>
              </w:rPr>
              <w:t>）：</w:t>
            </w:r>
            <w:r>
              <w:rPr>
                <w:rFonts w:hint="default"/>
                <w:lang w:val="en-US" w:eastAsia="zh-CN"/>
              </w:rPr>
              <w:t>长221</w:t>
            </w:r>
            <w:r>
              <w:rPr>
                <w:rFonts w:hint="eastAsia"/>
                <w:lang w:val="en-US" w:eastAsia="zh-CN"/>
              </w:rPr>
              <w:t>mm，</w:t>
            </w:r>
            <w:r>
              <w:rPr>
                <w:rFonts w:hint="default"/>
                <w:lang w:val="en-US" w:eastAsia="zh-CN"/>
              </w:rPr>
              <w:t>宽96</w:t>
            </w:r>
            <w:r>
              <w:rPr>
                <w:rFonts w:hint="eastAsia"/>
                <w:lang w:val="en-US" w:eastAsia="zh-CN"/>
              </w:rPr>
              <w:t>mm</w:t>
            </w:r>
            <w:r>
              <w:rPr>
                <w:rFonts w:hint="default"/>
                <w:lang w:val="en-US" w:eastAsia="zh-CN"/>
              </w:rPr>
              <w:t>，高90</w:t>
            </w:r>
            <w:r>
              <w:rPr>
                <w:rFonts w:hint="eastAsia"/>
                <w:lang w:val="en-US" w:eastAsia="zh-CN"/>
              </w:rPr>
              <w:t>mm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（2）</w:t>
            </w:r>
            <w:r>
              <w:rPr>
                <w:rFonts w:hint="default"/>
                <w:lang w:val="en-US" w:eastAsia="zh-CN"/>
              </w:rPr>
              <w:t>展开（不带桨）：长347</w:t>
            </w:r>
            <w:r>
              <w:rPr>
                <w:rFonts w:hint="eastAsia"/>
                <w:lang w:val="en-US" w:eastAsia="zh-CN"/>
              </w:rPr>
              <w:t>mm</w:t>
            </w:r>
            <w:r>
              <w:rPr>
                <w:rFonts w:hint="default"/>
                <w:lang w:val="en-US" w:eastAsia="zh-CN"/>
              </w:rPr>
              <w:t>，宽283</w:t>
            </w:r>
            <w:r>
              <w:rPr>
                <w:rFonts w:hint="eastAsia"/>
                <w:lang w:val="en-US" w:eastAsia="zh-CN"/>
              </w:rPr>
              <w:t>mm</w:t>
            </w:r>
            <w:r>
              <w:rPr>
                <w:rFonts w:hint="default"/>
                <w:lang w:val="en-US" w:eastAsia="zh-CN"/>
              </w:rPr>
              <w:t>，高10</w:t>
            </w:r>
            <w:r>
              <w:rPr>
                <w:rFonts w:hint="eastAsia"/>
                <w:lang w:val="en-US" w:eastAsia="zh-CN"/>
              </w:rPr>
              <w:t>8mm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感知系统类型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：多方向避障（全向避障）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最大飞行时间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≥46分钟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最长悬停时间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≥40分钟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最大抗风速度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≥12 米/秒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最大可倾斜角度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≥35°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最大上升速度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8米/秒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最大下降速度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≥6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米/秒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843" w:firstLineChars="400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最大水平飞行速度（海平面附近无风）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≥21米/秒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843" w:firstLineChars="400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2.1.11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最大起飞海拔高度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≥6000米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2.1.12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卫星导航系统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：GPS+Galileo+BeiDou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2.1.13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悬停精度：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）垂直：±0.1 米（视觉定位正常工作时），±0.5 米（GNSS 正常工作时）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  <w:lang w:eastAsia="zh-CN"/>
              </w:rPr>
              <w:t>）水平：±0.3 米（视觉定位正常工作时），±0.5 米（高精度定位系统正常工作时）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2.1.14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机载内存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≥8GB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2.1.15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影像传感器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：4/3 CMOS，有效像素≥2000万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2.1.16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图片格式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：JPEG/DNG（RAW）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2.1.17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实时图传质量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：1080p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2.1.18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视频拍摄能力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：5.1K，50P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2.1.19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最大信号有效距离（无干扰）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 xml:space="preserve">：15公里（FCC），8公里（CE/SRRC/MIC） 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2.1.20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数据传输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：蓝牙传输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遥控器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支持接口类型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：USB-C，Lightning，Micro USB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自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带高清显示屏，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在阳光直射下也能呈现清晰影像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高清显示屏尺寸：5.5英寸（允许±0.1英寸的偏差）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智能飞行电池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2.3.1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最长续航时间≥46分钟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2.3.2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容量≥5000mAh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2.3.3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电池类型：LiPo 4S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2.3.4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充电环境温度：5-40℃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高速存储卡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类型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：TF(Micro SD)卡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容量≥128GB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传输速度≥170MB/S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符合U3和V30速度标准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2.4.5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防水耐温抗震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2.4.6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适配无人机航拍器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三</w:t>
            </w:r>
          </w:p>
        </w:tc>
        <w:tc>
          <w:tcPr>
            <w:tcW w:w="6504" w:type="dxa"/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到货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验收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3.1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到货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地点：医院指定科室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3.2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交货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时间：合同签订后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5个工作日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内交货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验收交付甲方使用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验收标准：符合我国国家有关技术规范和技术标准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到货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、验收合格前所产生的一切费用（包括卸货、搬运、必要时的安全性能检测费等）由供方负责提供。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四</w:t>
            </w:r>
          </w:p>
        </w:tc>
        <w:tc>
          <w:tcPr>
            <w:tcW w:w="6504" w:type="dxa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售后服务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4.1</w:t>
            </w:r>
          </w:p>
        </w:tc>
        <w:tc>
          <w:tcPr>
            <w:tcW w:w="65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免费保修：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验收合格后保修≥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年，期间免一切维修费用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五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厂家承诺过保后先维修再付款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产品使用说明书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一套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项目所涉及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软件终身免费升级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付款方式:验收合格后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3个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一次性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付款，投标商开具单张发票限额必须大于投标单台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价格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投标商提供的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必须在距投标当日10个月内生产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付款方式</w:t>
      </w:r>
    </w:p>
    <w:p>
      <w:pPr>
        <w:pStyle w:val="4"/>
        <w:spacing w:line="360" w:lineRule="auto"/>
        <w:ind w:left="0" w:leftChars="0" w:firstLine="480" w:firstLineChars="20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  <w:t>设备</w:t>
      </w:r>
      <w:r>
        <w:rPr>
          <w:rFonts w:hint="eastAsia" w:ascii="宋体" w:hAnsi="宋体" w:eastAsia="宋体" w:cs="黑体"/>
          <w:b w:val="0"/>
          <w:bCs w:val="0"/>
          <w:sz w:val="24"/>
          <w:szCs w:val="24"/>
          <w:lang w:val="en-US" w:eastAsia="zh-CN"/>
        </w:rPr>
        <w:t>验收合格后3个</w:t>
      </w:r>
      <w: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黑体"/>
          <w:b w:val="0"/>
          <w:bCs w:val="0"/>
          <w:sz w:val="24"/>
          <w:szCs w:val="24"/>
          <w:lang w:val="en-US" w:eastAsia="zh-CN"/>
        </w:rPr>
        <w:t>内</w:t>
      </w:r>
      <w: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  <w:t>一次性支付合同款项</w:t>
      </w:r>
      <w:r>
        <w:rPr>
          <w:rFonts w:hint="eastAsia" w:ascii="宋体" w:hAnsi="宋体" w:eastAsia="宋体" w:cs="黑体"/>
          <w:b w:val="0"/>
          <w:bCs w:val="0"/>
          <w:sz w:val="24"/>
          <w:szCs w:val="24"/>
          <w:lang w:val="en-US" w:eastAsia="zh-CN"/>
        </w:rPr>
        <w:t>，投标商开具单张发票限额必须大于投标单台设备价格</w:t>
      </w:r>
      <w: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  <w:t>。</w:t>
      </w:r>
    </w:p>
    <w:p>
      <w:pPr>
        <w:pStyle w:val="9"/>
        <w:ind w:left="0" w:leftChars="0" w:firstLine="0" w:firstLineChars="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评分细则</w:t>
      </w:r>
    </w:p>
    <w:p>
      <w:pPr>
        <w:spacing w:line="360" w:lineRule="auto"/>
        <w:ind w:firstLine="457" w:firstLineChars="196"/>
        <w:rPr>
          <w:rStyle w:val="2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1、商务技术分（0-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tbl>
      <w:tblPr>
        <w:tblStyle w:val="17"/>
        <w:tblW w:w="94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2639"/>
        <w:gridCol w:w="997"/>
        <w:gridCol w:w="50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评定项目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分值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对应于招标文件设备技术规格及配置的偏离度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与招标文件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货物技术规格及配置、商务要求对比，一项指标负偏离扣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分，标注★的指标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偏离每项扣4分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扣完为止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投标设备配套的合理性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评委对投标设备配套的合理性、功能实现程度进行评价：投标设备配套合理、功能实现程度高的，得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6-8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分；配套较合理、功能实现程度较高的，得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3-5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分；配套合理性一般、不能完全达到临床要求功能的，得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投标机型的档次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投标机型在产品系列中属高档产品的，得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8-11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分；属中等档次产品的，得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分；属低档产品的，得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运行成本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包括保修价格、售后服务方案、年运行费用和消耗品或易耗品价格等综合运行成本进行评价。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保修服务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保修期超过招标文件要求的，每增加1年加1分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增加部分不足1年的不计分。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投标产品总体质量性能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投标产品的使用情况、稳定性、故障率等总体质量性能综合评价。</w:t>
            </w:r>
          </w:p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A档：6-8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B档：3-5分；C档：0-2分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制造商或代理商的售后服务和维修能力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制造商或代理商的售后服务和维修能力，服务响应速度、服务人员水平、备品备件配置等综合评价。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spacing w:before="120" w:beforeLines="50" w:after="120" w:afterLines="50"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6" w:firstLineChars="200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价格分（0-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4" w:firstLineChars="200"/>
        <w:jc w:val="both"/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价格分采用低价优先法计算，即满足招标文件要求且投标报价最低的投标报价为评标基准价，其得分为满分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分。其他投标人的价格分按照下列公式计算：</w:t>
      </w:r>
    </w:p>
    <w:p>
      <w:pPr>
        <w:spacing w:before="120" w:beforeLines="50" w:after="120" w:afterLines="50"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价格分=（评标基准价/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投标报价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%×100</w:t>
      </w:r>
    </w:p>
    <w:p>
      <w:pPr>
        <w:pStyle w:val="2"/>
        <w:jc w:val="center"/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jc w:val="center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（1）报价一览表</w:t>
      </w:r>
    </w:p>
    <w:p>
      <w:pPr>
        <w:autoSpaceDE w:val="0"/>
        <w:autoSpaceDN w:val="0"/>
        <w:spacing w:line="360" w:lineRule="auto"/>
        <w:ind w:right="893" w:firstLine="220" w:firstLineChars="100"/>
        <w:textAlignment w:val="bottom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>项目名称：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  <w:lang w:val="en-US" w:eastAsia="zh-CN"/>
        </w:rPr>
        <w:t>温州市中医院无人机航拍器（重）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 xml:space="preserve">                                </w:t>
      </w:r>
    </w:p>
    <w:tbl>
      <w:tblPr>
        <w:tblStyle w:val="17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45"/>
        <w:gridCol w:w="1037"/>
        <w:gridCol w:w="1023"/>
        <w:gridCol w:w="297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序号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品牌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型号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</w:rPr>
              <w:t>报价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人民币元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免费质保期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无人机航拍器</w:t>
            </w:r>
            <w:bookmarkStart w:id="1" w:name="_GoBack"/>
            <w:bookmarkEnd w:id="1"/>
          </w:p>
        </w:tc>
        <w:tc>
          <w:tcPr>
            <w:tcW w:w="103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大写：</w:t>
            </w: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03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小写：</w:t>
            </w: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</w:tbl>
    <w:p>
      <w:pPr>
        <w:spacing w:line="450" w:lineRule="exact"/>
        <w:rPr>
          <w:rFonts w:hint="eastAsia" w:ascii="宋体" w:hAnsi="宋体" w:eastAsia="宋体" w:cs="宋体"/>
          <w:b/>
          <w:color w:val="auto"/>
          <w:sz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说明：</w:t>
      </w: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1、此栏投标总报价应与“（2）分项报价表”中的总计价相一致。</w:t>
      </w:r>
    </w:p>
    <w:p>
      <w:pPr>
        <w:spacing w:line="450" w:lineRule="exact"/>
        <w:ind w:firstLine="663" w:firstLineChars="300"/>
        <w:rPr>
          <w:rFonts w:hint="eastAsia" w:ascii="宋体" w:hAnsi="宋体" w:eastAsia="宋体" w:cs="宋体"/>
          <w:b/>
          <w:color w:val="auto"/>
          <w:sz w:val="22"/>
          <w:highlight w:val="none"/>
          <w:lang w:eastAsia="zh-CN"/>
        </w:rPr>
      </w:pP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不提供此表格将被视为没有实质性响应</w:t>
      </w: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遴选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文件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  <w:lang w:eastAsia="zh-CN"/>
        </w:rPr>
        <w:t>。</w:t>
      </w:r>
    </w:p>
    <w:p>
      <w:pPr>
        <w:pStyle w:val="6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投标人全称（盖章）：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投标人代表（签字）：</w:t>
      </w:r>
    </w:p>
    <w:p>
      <w:pPr>
        <w:spacing w:line="380" w:lineRule="exact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    期：</w:t>
      </w:r>
    </w:p>
    <w:p>
      <w:pPr>
        <w:spacing w:line="380" w:lineRule="exact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</w:p>
    <w:p>
      <w:pPr>
        <w:pStyle w:val="9"/>
        <w:ind w:left="860" w:hanging="44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jc w:val="center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（2）分项报价表</w:t>
      </w:r>
    </w:p>
    <w:p>
      <w:pPr>
        <w:pStyle w:val="9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无人机航拍器</w:t>
      </w:r>
      <w:r>
        <w:rPr>
          <w:rFonts w:hint="eastAsia" w:hAnsi="宋体" w:cs="宋体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重</w:t>
      </w:r>
      <w:r>
        <w:rPr>
          <w:rFonts w:hint="eastAsia" w:hAnsi="宋体" w:cs="宋体"/>
          <w:b w:val="0"/>
          <w:bCs/>
          <w:color w:val="auto"/>
          <w:sz w:val="24"/>
          <w:szCs w:val="24"/>
          <w:highlight w:val="none"/>
          <w:lang w:eastAsia="zh-CN"/>
        </w:rPr>
        <w:t>）</w:t>
      </w:r>
    </w:p>
    <w:tbl>
      <w:tblPr>
        <w:tblStyle w:val="17"/>
        <w:tblW w:w="9789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74"/>
        <w:gridCol w:w="1477"/>
        <w:gridCol w:w="1570"/>
        <w:gridCol w:w="708"/>
        <w:gridCol w:w="771"/>
        <w:gridCol w:w="1185"/>
        <w:gridCol w:w="97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1274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产品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品牌型号规格、产地</w:t>
            </w: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制造厂商名称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出厂单价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（含税）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总价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（含税）</w:t>
            </w: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免费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>质保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... ...</w:t>
            </w:r>
          </w:p>
        </w:tc>
        <w:tc>
          <w:tcPr>
            <w:tcW w:w="147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01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运杂及保险费（含卸货）</w:t>
            </w:r>
          </w:p>
        </w:tc>
        <w:tc>
          <w:tcPr>
            <w:tcW w:w="6288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01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安装调试费（包括设备的测试、调试、验收等费用）</w:t>
            </w:r>
          </w:p>
        </w:tc>
        <w:tc>
          <w:tcPr>
            <w:tcW w:w="6288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01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培训费、技术服务费、售后服务费等</w:t>
            </w:r>
          </w:p>
        </w:tc>
        <w:tc>
          <w:tcPr>
            <w:tcW w:w="6288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01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税金</w:t>
            </w:r>
          </w:p>
        </w:tc>
        <w:tc>
          <w:tcPr>
            <w:tcW w:w="6288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501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总计价</w:t>
            </w:r>
          </w:p>
        </w:tc>
        <w:tc>
          <w:tcPr>
            <w:tcW w:w="6288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spacing w:line="380" w:lineRule="exact"/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</w:pPr>
    </w:p>
    <w:p>
      <w:pPr>
        <w:spacing w:line="380" w:lineRule="exact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 xml:space="preserve">说明：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1、此表总计价应与“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报价一览表”中报价相一致。</w:t>
      </w:r>
    </w:p>
    <w:p>
      <w:pPr>
        <w:spacing w:line="380" w:lineRule="exact"/>
        <w:ind w:firstLine="755" w:firstLineChars="342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2、不提供详细分项报价将视为没有实质性响应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文件。</w:t>
      </w:r>
    </w:p>
    <w:p>
      <w:pPr>
        <w:spacing w:line="380" w:lineRule="exact"/>
        <w:ind w:firstLine="720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3、如果免费请在该项内容栏内注明“免”，如果含在产品价格中则填“含”，如无此项内容则填“无”。</w:t>
      </w:r>
    </w:p>
    <w:p>
      <w:pPr>
        <w:pStyle w:val="4"/>
        <w:ind w:left="0" w:leftChars="0" w:firstLine="0" w:firstLineChars="0"/>
        <w:rPr>
          <w:rFonts w:hint="eastAsia"/>
          <w:color w:val="auto"/>
          <w:highlight w:val="none"/>
        </w:rPr>
      </w:pPr>
    </w:p>
    <w:p>
      <w:pPr>
        <w:rPr>
          <w:rFonts w:hint="eastAsia"/>
          <w:color w:val="auto"/>
          <w:highlight w:val="none"/>
        </w:rPr>
      </w:pPr>
    </w:p>
    <w:p>
      <w:pPr>
        <w:pStyle w:val="2"/>
        <w:numPr>
          <w:ilvl w:val="3"/>
          <w:numId w:val="0"/>
        </w:numPr>
        <w:ind w:leftChars="0"/>
        <w:rPr>
          <w:rFonts w:hint="eastAsia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投标人全称（盖章）：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投标人代表（签字）：</w:t>
      </w:r>
    </w:p>
    <w:p>
      <w:pPr>
        <w:spacing w:line="380" w:lineRule="exact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    期：</w:t>
      </w:r>
    </w:p>
    <w:p>
      <w:pPr>
        <w:jc w:val="both"/>
        <w:rPr>
          <w:rFonts w:hint="eastAsia"/>
          <w:b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eastAsia="宋体"/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五、详细供货清单说明一览表</w:t>
      </w:r>
    </w:p>
    <w:p>
      <w:pPr>
        <w:rPr>
          <w:rFonts w:hint="eastAsia" w:ascii="新宋体" w:hAnsi="新宋体" w:eastAsia="新宋体" w:cs="新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</w:rPr>
        <w:t>项目名称：无人机航拍器</w:t>
      </w: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  <w:lang w:val="en-US" w:eastAsia="zh-CN"/>
        </w:rPr>
        <w:t>重</w:t>
      </w: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新宋体" w:hAnsi="新宋体" w:eastAsia="新宋体" w:cs="新宋体"/>
          <w:b/>
          <w:color w:val="auto"/>
          <w:sz w:val="22"/>
          <w:szCs w:val="22"/>
          <w:highlight w:val="none"/>
        </w:rPr>
        <w:t xml:space="preserve">                                                     </w:t>
      </w:r>
    </w:p>
    <w:tbl>
      <w:tblPr>
        <w:tblStyle w:val="17"/>
        <w:tblpPr w:leftFromText="180" w:rightFromText="180" w:vertAnchor="text" w:horzAnchor="margin" w:tblpY="161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574"/>
        <w:gridCol w:w="1381"/>
        <w:gridCol w:w="1845"/>
        <w:gridCol w:w="1605"/>
        <w:gridCol w:w="1275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5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产品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品牌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规格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型号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原产地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免费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pStyle w:val="10"/>
        <w:spacing w:line="400" w:lineRule="atLeast"/>
        <w:rPr>
          <w:rFonts w:hint="eastAsia" w:ascii="新宋体" w:hAnsi="新宋体" w:eastAsia="新宋体" w:cs="新宋体"/>
          <w:color w:val="auto"/>
          <w:sz w:val="22"/>
          <w:szCs w:val="22"/>
          <w:highlight w:val="none"/>
        </w:rPr>
      </w:pPr>
    </w:p>
    <w:p>
      <w:pPr>
        <w:spacing w:line="360" w:lineRule="auto"/>
        <w:ind w:firstLine="5040" w:firstLineChars="2400"/>
        <w:rPr>
          <w:rFonts w:hint="eastAsia"/>
        </w:rPr>
      </w:pPr>
      <w:r>
        <w:rPr>
          <w:rFonts w:hint="eastAsia"/>
        </w:rPr>
        <w:t>投标人全称（盖章）：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投标人代表（签字）：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日   期：</w:t>
      </w:r>
    </w:p>
    <w:p>
      <w:pPr>
        <w:keepNext/>
        <w:spacing w:line="360" w:lineRule="auto"/>
        <w:rPr>
          <w:rFonts w:hint="eastAsia"/>
          <w:color w:val="auto"/>
          <w:highlight w:val="none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widowControl w:val="0"/>
        <w:numPr>
          <w:ilvl w:val="0"/>
          <w:numId w:val="0"/>
        </w:numPr>
        <w:jc w:val="left"/>
        <w:rPr>
          <w:sz w:val="24"/>
        </w:rPr>
      </w:pPr>
    </w:p>
    <w:p>
      <w:pPr>
        <w:spacing w:line="380" w:lineRule="exact"/>
        <w:rPr>
          <w:rFonts w:hint="eastAsia"/>
        </w:rPr>
      </w:pPr>
    </w:p>
    <w:sectPr>
      <w:footerReference r:id="rId3" w:type="default"/>
      <w:pgSz w:w="11906" w:h="16838"/>
      <w:pgMar w:top="850" w:right="1236" w:bottom="85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97C9E"/>
    <w:multiLevelType w:val="multilevel"/>
    <w:tmpl w:val="5D497C9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YzM2I0ZDUwMmVjNzJkYmUxYzgyNTRhNTkzMTAwNGIifQ=="/>
  </w:docVars>
  <w:rsids>
    <w:rsidRoot w:val="442D7AA8"/>
    <w:rsid w:val="000838A3"/>
    <w:rsid w:val="0029760C"/>
    <w:rsid w:val="003D41C7"/>
    <w:rsid w:val="003E091A"/>
    <w:rsid w:val="00537F7B"/>
    <w:rsid w:val="005D6C7D"/>
    <w:rsid w:val="0077449E"/>
    <w:rsid w:val="009C732C"/>
    <w:rsid w:val="00A81427"/>
    <w:rsid w:val="00BD504C"/>
    <w:rsid w:val="00DB7EDC"/>
    <w:rsid w:val="00FA6B75"/>
    <w:rsid w:val="03BC4EA5"/>
    <w:rsid w:val="03C84B20"/>
    <w:rsid w:val="04B15D87"/>
    <w:rsid w:val="04BF0E2D"/>
    <w:rsid w:val="058519D7"/>
    <w:rsid w:val="061D51A5"/>
    <w:rsid w:val="061E2864"/>
    <w:rsid w:val="076646E5"/>
    <w:rsid w:val="07986998"/>
    <w:rsid w:val="084B5379"/>
    <w:rsid w:val="08F913E5"/>
    <w:rsid w:val="091E5277"/>
    <w:rsid w:val="09920CE1"/>
    <w:rsid w:val="09CB578A"/>
    <w:rsid w:val="0F427144"/>
    <w:rsid w:val="0F9C6A6C"/>
    <w:rsid w:val="1124087B"/>
    <w:rsid w:val="11D03062"/>
    <w:rsid w:val="125104AB"/>
    <w:rsid w:val="127E35D2"/>
    <w:rsid w:val="15F0193F"/>
    <w:rsid w:val="16586A57"/>
    <w:rsid w:val="16EF2001"/>
    <w:rsid w:val="17B96491"/>
    <w:rsid w:val="19006747"/>
    <w:rsid w:val="1B951E05"/>
    <w:rsid w:val="1C0A168B"/>
    <w:rsid w:val="1DEA1774"/>
    <w:rsid w:val="1E727C26"/>
    <w:rsid w:val="203F5CE6"/>
    <w:rsid w:val="20A43E5C"/>
    <w:rsid w:val="20C836D6"/>
    <w:rsid w:val="252A6495"/>
    <w:rsid w:val="25DC4098"/>
    <w:rsid w:val="26614AE7"/>
    <w:rsid w:val="26A36964"/>
    <w:rsid w:val="2C0B329E"/>
    <w:rsid w:val="2DCF6290"/>
    <w:rsid w:val="2EE23DA1"/>
    <w:rsid w:val="2F8A4710"/>
    <w:rsid w:val="32E87DD1"/>
    <w:rsid w:val="333746BC"/>
    <w:rsid w:val="33F15215"/>
    <w:rsid w:val="35584BB1"/>
    <w:rsid w:val="35DC779C"/>
    <w:rsid w:val="36F20F59"/>
    <w:rsid w:val="36FF0897"/>
    <w:rsid w:val="38620F4A"/>
    <w:rsid w:val="395D6E46"/>
    <w:rsid w:val="3A0D6176"/>
    <w:rsid w:val="3A5C534F"/>
    <w:rsid w:val="3AA307AA"/>
    <w:rsid w:val="3D4A148F"/>
    <w:rsid w:val="3D766728"/>
    <w:rsid w:val="3F351791"/>
    <w:rsid w:val="41D82FF7"/>
    <w:rsid w:val="42417305"/>
    <w:rsid w:val="43AB1C34"/>
    <w:rsid w:val="43F47C2B"/>
    <w:rsid w:val="442D7AA8"/>
    <w:rsid w:val="45B222C8"/>
    <w:rsid w:val="464C44CA"/>
    <w:rsid w:val="46AB0BAA"/>
    <w:rsid w:val="49E05655"/>
    <w:rsid w:val="4A9B7985"/>
    <w:rsid w:val="4AFE12BB"/>
    <w:rsid w:val="4B2C08F7"/>
    <w:rsid w:val="4B86017E"/>
    <w:rsid w:val="4BB26B7D"/>
    <w:rsid w:val="4EAB72E4"/>
    <w:rsid w:val="4EDB63EB"/>
    <w:rsid w:val="4F835253"/>
    <w:rsid w:val="50430A48"/>
    <w:rsid w:val="50CF01D2"/>
    <w:rsid w:val="50D4246D"/>
    <w:rsid w:val="51E24360"/>
    <w:rsid w:val="52957526"/>
    <w:rsid w:val="539C47DE"/>
    <w:rsid w:val="54A656ED"/>
    <w:rsid w:val="564451BE"/>
    <w:rsid w:val="56576C9F"/>
    <w:rsid w:val="57A36574"/>
    <w:rsid w:val="58D72375"/>
    <w:rsid w:val="592D3875"/>
    <w:rsid w:val="596D4A2C"/>
    <w:rsid w:val="59863BF8"/>
    <w:rsid w:val="5A1D1FAE"/>
    <w:rsid w:val="5AA12BDF"/>
    <w:rsid w:val="5BF233C2"/>
    <w:rsid w:val="5D924A61"/>
    <w:rsid w:val="5DAF6DF6"/>
    <w:rsid w:val="5E6F3AB2"/>
    <w:rsid w:val="5EB32163"/>
    <w:rsid w:val="5EEC01A1"/>
    <w:rsid w:val="61E865CA"/>
    <w:rsid w:val="62C456BC"/>
    <w:rsid w:val="63750765"/>
    <w:rsid w:val="64F466B7"/>
    <w:rsid w:val="654C0859"/>
    <w:rsid w:val="65B0017A"/>
    <w:rsid w:val="677734BF"/>
    <w:rsid w:val="698C35ED"/>
    <w:rsid w:val="6AD77E43"/>
    <w:rsid w:val="6D072008"/>
    <w:rsid w:val="6FA3415F"/>
    <w:rsid w:val="712E3A4E"/>
    <w:rsid w:val="71BA3A22"/>
    <w:rsid w:val="71CD3E62"/>
    <w:rsid w:val="724D0AFE"/>
    <w:rsid w:val="72B648F6"/>
    <w:rsid w:val="72E83474"/>
    <w:rsid w:val="72F62F44"/>
    <w:rsid w:val="75A35A24"/>
    <w:rsid w:val="77A47413"/>
    <w:rsid w:val="78362761"/>
    <w:rsid w:val="78BC52C2"/>
    <w:rsid w:val="79D00993"/>
    <w:rsid w:val="79F966D5"/>
    <w:rsid w:val="7A8D0632"/>
    <w:rsid w:val="7D311748"/>
    <w:rsid w:val="7D531607"/>
    <w:rsid w:val="7DBF4FA6"/>
    <w:rsid w:val="7E036272"/>
    <w:rsid w:val="7E7A2C7B"/>
    <w:rsid w:val="7EEE556E"/>
    <w:rsid w:val="7EFA0DDF"/>
    <w:rsid w:val="7F081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tabs>
        <w:tab w:val="left" w:pos="840"/>
      </w:tabs>
      <w:adjustRightInd w:val="0"/>
      <w:snapToGrid w:val="0"/>
      <w:spacing w:line="360" w:lineRule="auto"/>
      <w:outlineLvl w:val="0"/>
    </w:pPr>
    <w:rPr>
      <w:rFonts w:ascii="宋体"/>
      <w:b/>
      <w:kern w:val="44"/>
      <w:sz w:val="24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line="540" w:lineRule="atLeast"/>
      <w:outlineLvl w:val="3"/>
    </w:pPr>
    <w:rPr>
      <w:sz w:val="28"/>
      <w:szCs w:val="28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next w:val="6"/>
    <w:autoRedefine/>
    <w:qFormat/>
    <w:uiPriority w:val="0"/>
    <w:pPr>
      <w:spacing w:after="120" w:afterLines="0"/>
    </w:pPr>
  </w:style>
  <w:style w:type="paragraph" w:styleId="6">
    <w:name w:val="Body Text First Indent"/>
    <w:basedOn w:val="5"/>
    <w:next w:val="7"/>
    <w:autoRedefine/>
    <w:qFormat/>
    <w:uiPriority w:val="0"/>
    <w:pPr>
      <w:ind w:firstLine="420" w:firstLineChars="100"/>
    </w:pPr>
    <w:rPr>
      <w:b/>
      <w:bCs/>
      <w:szCs w:val="24"/>
    </w:rPr>
  </w:style>
  <w:style w:type="paragraph" w:styleId="7">
    <w:name w:val="toc 6"/>
    <w:basedOn w:val="1"/>
    <w:next w:val="1"/>
    <w:autoRedefine/>
    <w:qFormat/>
    <w:uiPriority w:val="0"/>
    <w:pPr>
      <w:ind w:left="2100" w:leftChars="1000"/>
    </w:pPr>
  </w:style>
  <w:style w:type="paragraph" w:styleId="8">
    <w:name w:val="Body Text Indent"/>
    <w:basedOn w:val="1"/>
    <w:next w:val="9"/>
    <w:autoRedefine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  <w14:ligatures w14:val="none"/>
    </w:rPr>
  </w:style>
  <w:style w:type="paragraph" w:styleId="9">
    <w:name w:val="Body Text First Indent 2"/>
    <w:basedOn w:val="8"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10">
    <w:name w:val="Plain Text"/>
    <w:basedOn w:val="1"/>
    <w:next w:val="11"/>
    <w:autoRedefine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11">
    <w:name w:val="toc 2"/>
    <w:basedOn w:val="1"/>
    <w:next w:val="1"/>
    <w:autoRedefine/>
    <w:qFormat/>
    <w:uiPriority w:val="0"/>
    <w:pPr>
      <w:ind w:left="420" w:leftChars="200"/>
    </w:pPr>
  </w:style>
  <w:style w:type="paragraph" w:styleId="12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spacing w:before="120" w:after="120" w:line="360" w:lineRule="auto"/>
      <w:jc w:val="left"/>
    </w:pPr>
    <w:rPr>
      <w:b/>
      <w:bCs/>
      <w:caps/>
      <w:sz w:val="24"/>
      <w:szCs w:val="20"/>
    </w:rPr>
  </w:style>
  <w:style w:type="paragraph" w:styleId="1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autoRedefine/>
    <w:qFormat/>
    <w:uiPriority w:val="0"/>
    <w:pPr>
      <w:jc w:val="center"/>
    </w:pPr>
    <w:rPr>
      <w:rFonts w:ascii="Arial" w:hAnsi="Arial" w:eastAsia="宋体"/>
      <w:b/>
      <w:kern w:val="0"/>
      <w:sz w:val="36"/>
      <w:szCs w:val="20"/>
      <w:lang w:eastAsia="en-US"/>
      <w14:ligatures w14:val="none"/>
    </w:rPr>
  </w:style>
  <w:style w:type="table" w:styleId="18">
    <w:name w:val="Table Grid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22"/>
    <w:rPr>
      <w:b/>
    </w:rPr>
  </w:style>
  <w:style w:type="character" w:styleId="21">
    <w:name w:val="page number"/>
    <w:autoRedefine/>
    <w:qFormat/>
    <w:uiPriority w:val="0"/>
  </w:style>
  <w:style w:type="paragraph" w:customStyle="1" w:styleId="22">
    <w:name w:val="BodyText1I"/>
    <w:basedOn w:val="23"/>
    <w:autoRedefine/>
    <w:qFormat/>
    <w:uiPriority w:val="0"/>
    <w:pPr>
      <w:ind w:firstLine="420" w:firstLineChars="100"/>
    </w:pPr>
  </w:style>
  <w:style w:type="paragraph" w:customStyle="1" w:styleId="23">
    <w:name w:val="BodyText"/>
    <w:basedOn w:val="1"/>
    <w:qFormat/>
    <w:uiPriority w:val="0"/>
    <w:pPr>
      <w:spacing w:after="120"/>
    </w:pPr>
  </w:style>
  <w:style w:type="paragraph" w:customStyle="1" w:styleId="24">
    <w:name w:val="表格文字"/>
    <w:basedOn w:val="1"/>
    <w:next w:val="5"/>
    <w:qFormat/>
    <w:uiPriority w:val="0"/>
    <w:pPr>
      <w:autoSpaceDE w:val="0"/>
      <w:autoSpaceDN w:val="0"/>
      <w:adjustRightInd w:val="0"/>
      <w:spacing w:line="420" w:lineRule="atLeast"/>
      <w:jc w:val="left"/>
      <w:textAlignment w:val="baseline"/>
    </w:pPr>
    <w:rPr>
      <w:rFonts w:hAnsi="宋体" w:cs="宋体"/>
      <w:kern w:val="0"/>
      <w:sz w:val="22"/>
      <w:lang w:val="zh-CN" w:bidi="zh-CN"/>
    </w:rPr>
  </w:style>
  <w:style w:type="character" w:customStyle="1" w:styleId="25">
    <w:name w:val="页眉 Char"/>
    <w:basedOn w:val="19"/>
    <w:link w:val="13"/>
    <w:qFormat/>
    <w:uiPriority w:val="0"/>
    <w:rPr>
      <w:kern w:val="2"/>
      <w:sz w:val="18"/>
      <w:szCs w:val="18"/>
    </w:rPr>
  </w:style>
  <w:style w:type="character" w:customStyle="1" w:styleId="26">
    <w:name w:val="页脚 Char"/>
    <w:basedOn w:val="19"/>
    <w:link w:val="12"/>
    <w:autoRedefine/>
    <w:qFormat/>
    <w:uiPriority w:val="0"/>
    <w:rPr>
      <w:kern w:val="2"/>
      <w:sz w:val="18"/>
      <w:szCs w:val="18"/>
    </w:rPr>
  </w:style>
  <w:style w:type="paragraph" w:styleId="27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列出段落1"/>
    <w:basedOn w:val="1"/>
    <w:qFormat/>
    <w:uiPriority w:val="0"/>
    <w:pPr>
      <w:widowControl/>
      <w:spacing w:after="160" w:line="360" w:lineRule="auto"/>
      <w:ind w:left="720"/>
      <w:contextualSpacing/>
      <w:jc w:val="left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2033</Words>
  <Characters>2299</Characters>
  <Lines>17</Lines>
  <Paragraphs>4</Paragraphs>
  <TotalTime>70</TotalTime>
  <ScaleCrop>false</ScaleCrop>
  <LinksUpToDate>false</LinksUpToDate>
  <CharactersWithSpaces>2342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2019-08-15T01:42:00Z</dcterms:created>
  <dc:creator>小米</dc:creator>
  <cp:lastModifiedBy>天津卫</cp:lastModifiedBy>
  <dcterms:modified xsi:type="dcterms:W3CDTF">2024-04-09T13:01:29Z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BDC350B777C44DFDACB8FBB696258D1E</vt:lpwstr>
  </property>
</Properties>
</file>