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4"/>
          <w:rFonts w:hint="eastAsia" w:asciiTheme="minorEastAsia" w:hAnsiTheme="minorEastAsia" w:eastAsiaTheme="minorEastAsia" w:cstheme="minorEastAsia"/>
          <w:b/>
          <w:bCs/>
          <w:sz w:val="32"/>
          <w:szCs w:val="32"/>
          <w:lang w:val="en-US" w:eastAsia="zh-CN"/>
        </w:rPr>
      </w:pPr>
      <w:r>
        <w:rPr>
          <w:rStyle w:val="14"/>
          <w:rFonts w:hint="eastAsia" w:asciiTheme="minorEastAsia" w:hAnsiTheme="minorEastAsia" w:eastAsiaTheme="minorEastAsia" w:cstheme="minorEastAsia"/>
          <w:b/>
          <w:bCs/>
          <w:sz w:val="36"/>
          <w:szCs w:val="36"/>
          <w:lang w:val="en-US" w:eastAsia="zh-CN"/>
        </w:rPr>
        <w:t>温州市中医院关于内镜清洗槽项目的招标</w:t>
      </w:r>
    </w:p>
    <w:p>
      <w:pPr>
        <w:numPr>
          <w:ilvl w:val="0"/>
          <w:numId w:val="1"/>
        </w:numPr>
        <w:jc w:val="both"/>
        <w:rPr>
          <w:rStyle w:val="14"/>
          <w:rFonts w:hint="eastAsia" w:asciiTheme="minorEastAsia" w:hAnsiTheme="minorEastAsia" w:eastAsiaTheme="minorEastAsia" w:cstheme="minorEastAsia"/>
          <w:b/>
          <w:bCs/>
          <w:sz w:val="32"/>
          <w:szCs w:val="32"/>
        </w:rPr>
      </w:pPr>
      <w:r>
        <w:rPr>
          <w:rStyle w:val="14"/>
          <w:rFonts w:hint="eastAsia" w:asciiTheme="minorEastAsia" w:hAnsiTheme="minorEastAsia" w:eastAsiaTheme="minorEastAsia" w:cstheme="minorEastAsia"/>
          <w:b/>
          <w:bCs/>
          <w:sz w:val="32"/>
          <w:szCs w:val="32"/>
        </w:rPr>
        <w:t>项目基本情况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1009"/>
        <w:gridCol w:w="2087"/>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gridSpan w:val="2"/>
          </w:tcPr>
          <w:p>
            <w:pPr>
              <w:jc w:val="both"/>
              <w:rPr>
                <w:rFonts w:hint="default" w:ascii="宋体" w:hAnsi="宋体" w:eastAsia="宋体" w:cs="宋体"/>
                <w:b w:val="0"/>
                <w:bCs w:val="0"/>
                <w:color w:val="auto"/>
                <w:sz w:val="21"/>
                <w:szCs w:val="21"/>
                <w:vertAlign w:val="baseline"/>
                <w:lang w:val="en-US"/>
              </w:rPr>
            </w:pPr>
            <w:r>
              <w:rPr>
                <w:rFonts w:hint="eastAsia" w:ascii="宋体" w:hAnsi="宋体" w:eastAsia="宋体" w:cs="宋体"/>
                <w:b w:val="0"/>
                <w:bCs w:val="0"/>
                <w:color w:val="auto"/>
                <w:sz w:val="21"/>
                <w:szCs w:val="21"/>
              </w:rPr>
              <w:t>项目编号：</w:t>
            </w:r>
            <w:r>
              <w:rPr>
                <w:rFonts w:hint="eastAsia" w:asciiTheme="minorEastAsia" w:hAnsiTheme="minorEastAsia" w:cstheme="minorEastAsia"/>
                <w:color w:val="auto"/>
                <w:sz w:val="21"/>
                <w:szCs w:val="21"/>
                <w:vertAlign w:val="baseline"/>
                <w:lang w:val="en-US" w:eastAsia="zh-CN"/>
              </w:rPr>
              <w:t>2024-sb-</w:t>
            </w:r>
            <w:r>
              <w:rPr>
                <w:rFonts w:hint="eastAsia" w:asciiTheme="minorEastAsia" w:hAnsiTheme="minorEastAsia" w:cstheme="minorEastAsia"/>
                <w:color w:val="auto"/>
                <w:sz w:val="24"/>
                <w:szCs w:val="24"/>
                <w:vertAlign w:val="baseline"/>
                <w:lang w:val="en-US" w:eastAsia="zh-CN"/>
              </w:rPr>
              <w:t>cg-020</w:t>
            </w:r>
          </w:p>
        </w:tc>
        <w:tc>
          <w:tcPr>
            <w:tcW w:w="5183" w:type="dxa"/>
            <w:gridSpan w:val="2"/>
          </w:tcPr>
          <w:p>
            <w:pPr>
              <w:jc w:val="left"/>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rPr>
              <w:t>项目名称：</w:t>
            </w:r>
            <w:r>
              <w:rPr>
                <w:rFonts w:hint="eastAsia" w:ascii="宋体" w:hAnsi="宋体" w:eastAsia="宋体" w:cs="宋体"/>
                <w:b w:val="0"/>
                <w:bCs w:val="0"/>
                <w:color w:val="auto"/>
                <w:sz w:val="21"/>
                <w:szCs w:val="21"/>
                <w:lang w:val="en-US" w:eastAsia="zh-CN"/>
              </w:rPr>
              <w:t>内镜清洗槽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6" w:type="dxa"/>
          </w:tcPr>
          <w:p>
            <w:pPr>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数量：2套</w:t>
            </w:r>
          </w:p>
        </w:tc>
        <w:tc>
          <w:tcPr>
            <w:tcW w:w="3096" w:type="dxa"/>
            <w:gridSpan w:val="2"/>
          </w:tcPr>
          <w:p>
            <w:pPr>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预算单价：9.9</w:t>
            </w:r>
          </w:p>
        </w:tc>
        <w:tc>
          <w:tcPr>
            <w:tcW w:w="3096" w:type="dxa"/>
          </w:tcPr>
          <w:p>
            <w:pPr>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预算</w:t>
            </w:r>
            <w:r>
              <w:rPr>
                <w:rFonts w:hint="eastAsia" w:ascii="宋体" w:hAnsi="宋体" w:eastAsia="宋体" w:cs="宋体"/>
                <w:b w:val="0"/>
                <w:bCs w:val="0"/>
                <w:color w:val="auto"/>
                <w:sz w:val="21"/>
                <w:szCs w:val="21"/>
                <w:lang w:val="en-US" w:eastAsia="zh-CN"/>
              </w:rPr>
              <w:t>总</w:t>
            </w:r>
            <w:r>
              <w:rPr>
                <w:rFonts w:hint="eastAsia" w:ascii="宋体" w:hAnsi="宋体" w:eastAsia="宋体" w:cs="宋体"/>
                <w:b w:val="0"/>
                <w:bCs w:val="0"/>
                <w:color w:val="auto"/>
                <w:sz w:val="21"/>
                <w:szCs w:val="21"/>
              </w:rPr>
              <w:t>金额（元）:</w:t>
            </w:r>
            <w:r>
              <w:rPr>
                <w:rFonts w:hint="eastAsia" w:ascii="宋体" w:hAnsi="宋体" w:eastAsia="宋体" w:cs="宋体"/>
                <w:b w:val="0"/>
                <w:bCs w:val="0"/>
                <w:color w:val="auto"/>
                <w:sz w:val="21"/>
                <w:szCs w:val="21"/>
                <w:lang w:val="en-US" w:eastAsia="zh-CN"/>
              </w:rPr>
              <w:t>19.8万元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4"/>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简要规格描述或项目基本概况介绍、用途：用于内镜的清洗工作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4"/>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备注：</w:t>
            </w:r>
            <w:r>
              <w:rPr>
                <w:rFonts w:hint="eastAsia" w:ascii="宋体" w:hAnsi="宋体" w:eastAsia="宋体" w:cs="宋体"/>
                <w:color w:val="auto"/>
                <w:sz w:val="21"/>
                <w:szCs w:val="21"/>
                <w:lang w:eastAsia="zh-CN"/>
              </w:rPr>
              <w:t>国产</w:t>
            </w:r>
          </w:p>
        </w:tc>
      </w:tr>
    </w:tbl>
    <w:p>
      <w:pPr>
        <w:jc w:val="both"/>
        <w:rPr>
          <w:rFonts w:hint="eastAsia" w:asciiTheme="minorEastAsia" w:hAnsiTheme="minorEastAsia" w:eastAsiaTheme="minorEastAsia" w:cstheme="minorEastAsia"/>
          <w:b w:val="0"/>
          <w:bCs w:val="0"/>
          <w:sz w:val="24"/>
          <w:szCs w:val="24"/>
        </w:rPr>
      </w:pPr>
    </w:p>
    <w:p>
      <w:pPr>
        <w:numPr>
          <w:ilvl w:val="0"/>
          <w:numId w:val="1"/>
        </w:numPr>
        <w:jc w:val="both"/>
        <w:rPr>
          <w:rStyle w:val="14"/>
          <w:rFonts w:hint="eastAsia" w:asciiTheme="minorEastAsia" w:hAnsiTheme="minorEastAsia" w:eastAsiaTheme="minorEastAsia" w:cstheme="minorEastAsia"/>
          <w:b/>
          <w:bCs/>
          <w:sz w:val="32"/>
          <w:szCs w:val="32"/>
          <w:lang w:val="en-US" w:eastAsia="zh-CN"/>
        </w:rPr>
      </w:pPr>
      <w:r>
        <w:rPr>
          <w:rStyle w:val="14"/>
          <w:rFonts w:hint="eastAsia" w:asciiTheme="minorEastAsia" w:hAnsiTheme="minorEastAsia" w:eastAsiaTheme="minorEastAsia" w:cstheme="minorEastAsia"/>
          <w:b/>
          <w:bCs/>
          <w:sz w:val="32"/>
          <w:szCs w:val="32"/>
          <w:lang w:val="en-US" w:eastAsia="zh-CN"/>
        </w:rPr>
        <w:t>采购方式和定标原则</w:t>
      </w:r>
      <w:bookmarkStart w:id="0" w:name="_GoBack"/>
      <w:bookmarkEnd w:id="0"/>
    </w:p>
    <w:p>
      <w:pPr>
        <w:numPr>
          <w:ilvl w:val="0"/>
          <w:numId w:val="0"/>
        </w:num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1"/>
          <w:szCs w:val="21"/>
          <w:lang w:val="en-US" w:eastAsia="zh-CN"/>
        </w:rPr>
        <w:t>本项目我院采取院内组织公开招标的方式，以综合评分最高者中标的原则确定中标供应商。</w:t>
      </w: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Style w:val="14"/>
          <w:rFonts w:hint="eastAsia" w:asciiTheme="minorEastAsia" w:hAnsiTheme="minorEastAsia" w:eastAsiaTheme="minorEastAsia" w:cstheme="minorEastAsia"/>
          <w:b/>
          <w:bCs/>
          <w:color w:val="auto"/>
          <w:kern w:val="2"/>
          <w:sz w:val="32"/>
          <w:szCs w:val="32"/>
          <w:lang w:val="en-US" w:eastAsia="zh-CN" w:bidi="ar-SA"/>
        </w:rPr>
      </w:pPr>
      <w:r>
        <w:rPr>
          <w:rStyle w:val="14"/>
          <w:rFonts w:hint="eastAsia" w:asciiTheme="minorEastAsia" w:hAnsiTheme="minorEastAsia" w:eastAsiaTheme="minorEastAsia" w:cstheme="minorEastAsia"/>
          <w:b/>
          <w:bCs/>
          <w:color w:val="auto"/>
          <w:kern w:val="2"/>
          <w:sz w:val="32"/>
          <w:szCs w:val="32"/>
          <w:lang w:val="en-US" w:eastAsia="zh-CN" w:bidi="ar-SA"/>
        </w:rPr>
        <w:t>获取招标文件</w:t>
      </w:r>
    </w:p>
    <w:p>
      <w:pPr>
        <w:pStyle w:val="9"/>
        <w:keepNext w:val="0"/>
        <w:keepLines w:val="0"/>
        <w:widowControl/>
        <w:suppressLineNumbers w:val="0"/>
        <w:spacing w:line="300" w:lineRule="atLeast"/>
        <w:rPr>
          <w:rFonts w:hint="eastAsia" w:asciiTheme="minorEastAsia" w:hAnsiTheme="minorEastAsia" w:eastAsiaTheme="minorEastAsia" w:cstheme="minorEastAsia"/>
          <w:color w:val="auto"/>
          <w:kern w:val="2"/>
          <w:sz w:val="21"/>
          <w:szCs w:val="21"/>
          <w:highlight w:val="yellow"/>
          <w:lang w:val="en-US" w:eastAsia="zh-CN" w:bidi="ar-SA"/>
        </w:rPr>
      </w:pPr>
      <w:r>
        <w:rPr>
          <w:rFonts w:hint="eastAsia" w:asciiTheme="minorEastAsia" w:hAnsiTheme="minorEastAsia" w:eastAsiaTheme="minorEastAsia" w:cstheme="minorEastAsia"/>
          <w:color w:val="auto"/>
          <w:kern w:val="2"/>
          <w:sz w:val="21"/>
          <w:szCs w:val="21"/>
          <w:lang w:val="en-US" w:eastAsia="zh-CN" w:bidi="ar-SA"/>
        </w:rPr>
        <w:t>地点（网址）</w:t>
      </w:r>
      <w:r>
        <w:rPr>
          <w:rFonts w:hint="eastAsia" w:asciiTheme="minorEastAsia" w:hAnsiTheme="minorEastAsia" w:eastAsiaTheme="minorEastAsia" w:cstheme="minorEastAsia"/>
          <w:color w:val="auto"/>
          <w:kern w:val="2"/>
          <w:sz w:val="21"/>
          <w:szCs w:val="21"/>
          <w:highlight w:val="none"/>
          <w:lang w:val="en-US" w:eastAsia="zh-CN" w:bidi="ar-SA"/>
        </w:rPr>
        <w:t>：</w:t>
      </w:r>
      <w:r>
        <w:rPr>
          <w:rFonts w:hint="eastAsia" w:asciiTheme="minorEastAsia" w:hAnsiTheme="minorEastAsia" w:eastAsiaTheme="minorEastAsia" w:cstheme="minorEastAsia"/>
          <w:color w:val="auto"/>
          <w:kern w:val="2"/>
          <w:sz w:val="21"/>
          <w:szCs w:val="21"/>
          <w:highlight w:val="none"/>
          <w:lang w:eastAsia="zh-CN"/>
        </w:rPr>
        <w:t>h</w:t>
      </w:r>
      <w:r>
        <w:rPr>
          <w:rFonts w:hint="eastAsia" w:asciiTheme="minorEastAsia" w:hAnsiTheme="minorEastAsia" w:eastAsiaTheme="minorEastAsia" w:cstheme="minorEastAsia"/>
          <w:color w:val="auto"/>
          <w:kern w:val="2"/>
          <w:sz w:val="21"/>
          <w:szCs w:val="21"/>
          <w:lang w:eastAsia="zh-CN"/>
        </w:rPr>
        <w:t>ttp://www.wzszyy.com/</w:t>
      </w: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Style w:val="14"/>
          <w:rFonts w:hint="eastAsia" w:asciiTheme="minorEastAsia" w:hAnsiTheme="minorEastAsia" w:eastAsiaTheme="minorEastAsia" w:cstheme="minorEastAsia"/>
          <w:b/>
          <w:bCs/>
          <w:color w:val="auto"/>
          <w:kern w:val="2"/>
          <w:sz w:val="32"/>
          <w:szCs w:val="32"/>
          <w:lang w:val="en-US" w:eastAsia="zh-CN" w:bidi="ar-SA"/>
        </w:rPr>
      </w:pPr>
      <w:r>
        <w:rPr>
          <w:rStyle w:val="14"/>
          <w:rFonts w:hint="eastAsia" w:asciiTheme="minorEastAsia" w:hAnsiTheme="minorEastAsia" w:eastAsiaTheme="minorEastAsia" w:cstheme="minorEastAsia"/>
          <w:b/>
          <w:bCs/>
          <w:color w:val="auto"/>
          <w:kern w:val="2"/>
          <w:sz w:val="32"/>
          <w:szCs w:val="32"/>
          <w:lang w:val="en-US" w:eastAsia="zh-CN" w:bidi="ar-SA"/>
        </w:rPr>
        <w:t>提交投标文件截止时间、开标时间和地点</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1、</w:t>
      </w:r>
      <w:r>
        <w:rPr>
          <w:rFonts w:hint="eastAsia" w:asciiTheme="minorEastAsia" w:hAnsiTheme="minorEastAsia" w:eastAsiaTheme="minorEastAsia" w:cstheme="minorEastAsia"/>
          <w:color w:val="auto"/>
          <w:kern w:val="2"/>
          <w:sz w:val="21"/>
          <w:szCs w:val="21"/>
          <w:lang w:val="en-US" w:eastAsia="zh-CN" w:bidi="ar-SA"/>
        </w:rPr>
        <w:t>提交投标文件截止时间：202</w:t>
      </w:r>
      <w:r>
        <w:rPr>
          <w:rFonts w:hint="eastAsia" w:asciiTheme="minorEastAsia" w:hAnsiTheme="minorEastAsia" w:cstheme="minorEastAsia"/>
          <w:color w:val="auto"/>
          <w:kern w:val="2"/>
          <w:sz w:val="21"/>
          <w:szCs w:val="21"/>
          <w:lang w:val="en-US" w:eastAsia="zh-CN" w:bidi="ar-SA"/>
        </w:rPr>
        <w:t>4</w:t>
      </w:r>
      <w:r>
        <w:rPr>
          <w:rFonts w:hint="eastAsia" w:asciiTheme="minorEastAsia" w:hAnsiTheme="minorEastAsia" w:eastAsiaTheme="minorEastAsia" w:cstheme="minorEastAsia"/>
          <w:color w:val="auto"/>
          <w:kern w:val="2"/>
          <w:sz w:val="21"/>
          <w:szCs w:val="21"/>
          <w:lang w:val="en-US" w:eastAsia="zh-CN" w:bidi="ar-SA"/>
        </w:rPr>
        <w:t>年</w:t>
      </w:r>
      <w:r>
        <w:rPr>
          <w:rFonts w:hint="eastAsia" w:asciiTheme="minorEastAsia" w:hAnsiTheme="minorEastAsia" w:cstheme="minorEastAsia"/>
          <w:color w:val="auto"/>
          <w:kern w:val="2"/>
          <w:sz w:val="21"/>
          <w:szCs w:val="21"/>
          <w:lang w:val="en-US" w:eastAsia="zh-CN" w:bidi="ar-SA"/>
        </w:rPr>
        <w:t>4</w:t>
      </w:r>
      <w:r>
        <w:rPr>
          <w:rFonts w:hint="eastAsia" w:asciiTheme="minorEastAsia" w:hAnsiTheme="minorEastAsia" w:eastAsiaTheme="minorEastAsia" w:cstheme="minorEastAsia"/>
          <w:color w:val="auto"/>
          <w:kern w:val="2"/>
          <w:sz w:val="21"/>
          <w:szCs w:val="21"/>
          <w:lang w:val="en-US" w:eastAsia="zh-CN" w:bidi="ar-SA"/>
        </w:rPr>
        <w:t>月</w:t>
      </w:r>
      <w:r>
        <w:rPr>
          <w:rFonts w:hint="eastAsia" w:asciiTheme="minorEastAsia" w:hAnsiTheme="minorEastAsia" w:cstheme="minorEastAsia"/>
          <w:color w:val="auto"/>
          <w:kern w:val="2"/>
          <w:sz w:val="21"/>
          <w:szCs w:val="21"/>
          <w:lang w:val="en-US" w:eastAsia="zh-CN" w:bidi="ar-SA"/>
        </w:rPr>
        <w:t>11</w:t>
      </w:r>
      <w:r>
        <w:rPr>
          <w:rFonts w:hint="eastAsia" w:asciiTheme="minorEastAsia" w:hAnsiTheme="minorEastAsia" w:eastAsiaTheme="minorEastAsia" w:cstheme="minorEastAsia"/>
          <w:color w:val="auto"/>
          <w:kern w:val="2"/>
          <w:sz w:val="21"/>
          <w:szCs w:val="21"/>
          <w:lang w:val="en-US" w:eastAsia="zh-CN" w:bidi="ar-SA"/>
        </w:rPr>
        <w:t>日</w:t>
      </w:r>
      <w:r>
        <w:rPr>
          <w:rFonts w:hint="eastAsia" w:asciiTheme="minorEastAsia" w:hAnsiTheme="minorEastAsia" w:cstheme="minorEastAsia"/>
          <w:color w:val="auto"/>
          <w:kern w:val="2"/>
          <w:sz w:val="21"/>
          <w:szCs w:val="21"/>
          <w:lang w:val="en-US" w:eastAsia="zh-CN" w:bidi="ar-SA"/>
        </w:rPr>
        <w:t>上</w:t>
      </w:r>
      <w:r>
        <w:rPr>
          <w:rFonts w:hint="eastAsia" w:asciiTheme="minorEastAsia" w:hAnsiTheme="minorEastAsia" w:eastAsiaTheme="minorEastAsia" w:cstheme="minorEastAsia"/>
          <w:color w:val="auto"/>
          <w:kern w:val="2"/>
          <w:sz w:val="21"/>
          <w:szCs w:val="21"/>
          <w:lang w:val="en-US" w:eastAsia="zh-CN" w:bidi="ar-SA"/>
        </w:rPr>
        <w:t>午</w:t>
      </w:r>
      <w:r>
        <w:rPr>
          <w:rFonts w:hint="eastAsia" w:asciiTheme="minorEastAsia" w:hAnsiTheme="minorEastAsia" w:cstheme="minorEastAsia"/>
          <w:color w:val="auto"/>
          <w:kern w:val="2"/>
          <w:sz w:val="21"/>
          <w:szCs w:val="21"/>
          <w:lang w:val="en-US" w:eastAsia="zh-CN" w:bidi="ar-SA"/>
        </w:rPr>
        <w:t>9</w:t>
      </w:r>
      <w:r>
        <w:rPr>
          <w:rFonts w:hint="eastAsia" w:asciiTheme="minorEastAsia" w:hAnsiTheme="minorEastAsia" w:eastAsiaTheme="minorEastAsia" w:cstheme="minorEastAsia"/>
          <w:color w:val="auto"/>
          <w:kern w:val="2"/>
          <w:sz w:val="21"/>
          <w:szCs w:val="21"/>
          <w:lang w:val="en-US" w:eastAsia="zh-CN" w:bidi="ar-SA"/>
        </w:rPr>
        <w:t>：00（北京时间）</w:t>
      </w:r>
      <w:r>
        <w:rPr>
          <w:rFonts w:hint="eastAsia" w:asciiTheme="minorEastAsia" w:hAnsiTheme="minorEastAsia" w:eastAsiaTheme="minorEastAsia" w:cstheme="minorEastAsia"/>
          <w:color w:val="auto"/>
          <w:kern w:val="2"/>
          <w:sz w:val="21"/>
          <w:szCs w:val="21"/>
          <w:lang w:val="en-US" w:eastAsia="zh-CN" w:bidi="ar-SA"/>
        </w:rPr>
        <w:br w:type="textWrapping"/>
      </w:r>
      <w:r>
        <w:rPr>
          <w:rFonts w:hint="eastAsia" w:asciiTheme="minorEastAsia" w:hAnsiTheme="minorEastAsia" w:cstheme="minorEastAsia"/>
          <w:color w:val="auto"/>
          <w:kern w:val="2"/>
          <w:sz w:val="21"/>
          <w:szCs w:val="21"/>
          <w:lang w:val="en-US" w:eastAsia="zh-CN" w:bidi="ar-SA"/>
        </w:rPr>
        <w:t>2、</w:t>
      </w:r>
      <w:r>
        <w:rPr>
          <w:rFonts w:hint="eastAsia" w:asciiTheme="minorEastAsia" w:hAnsiTheme="minorEastAsia" w:eastAsiaTheme="minorEastAsia" w:cstheme="minorEastAsia"/>
          <w:color w:val="auto"/>
          <w:kern w:val="2"/>
          <w:sz w:val="21"/>
          <w:szCs w:val="21"/>
          <w:lang w:val="en-US" w:eastAsia="zh-CN" w:bidi="ar-SA"/>
        </w:rPr>
        <w:t>开标时间：202</w:t>
      </w:r>
      <w:r>
        <w:rPr>
          <w:rFonts w:hint="eastAsia" w:asciiTheme="minorEastAsia" w:hAnsiTheme="minorEastAsia" w:cstheme="minorEastAsia"/>
          <w:color w:val="auto"/>
          <w:kern w:val="2"/>
          <w:sz w:val="21"/>
          <w:szCs w:val="21"/>
          <w:lang w:val="en-US" w:eastAsia="zh-CN" w:bidi="ar-SA"/>
        </w:rPr>
        <w:t>4</w:t>
      </w:r>
      <w:r>
        <w:rPr>
          <w:rFonts w:hint="eastAsia" w:asciiTheme="minorEastAsia" w:hAnsiTheme="minorEastAsia" w:eastAsiaTheme="minorEastAsia" w:cstheme="minorEastAsia"/>
          <w:color w:val="auto"/>
          <w:kern w:val="2"/>
          <w:sz w:val="21"/>
          <w:szCs w:val="21"/>
          <w:lang w:val="en-US" w:eastAsia="zh-CN" w:bidi="ar-SA"/>
        </w:rPr>
        <w:t>年</w:t>
      </w:r>
      <w:r>
        <w:rPr>
          <w:rFonts w:hint="eastAsia" w:asciiTheme="minorEastAsia" w:hAnsiTheme="minorEastAsia" w:cstheme="minorEastAsia"/>
          <w:color w:val="auto"/>
          <w:kern w:val="2"/>
          <w:sz w:val="21"/>
          <w:szCs w:val="21"/>
          <w:lang w:val="en-US" w:eastAsia="zh-CN" w:bidi="ar-SA"/>
        </w:rPr>
        <w:t>4</w:t>
      </w:r>
      <w:r>
        <w:rPr>
          <w:rFonts w:hint="eastAsia" w:asciiTheme="minorEastAsia" w:hAnsiTheme="minorEastAsia" w:eastAsiaTheme="minorEastAsia" w:cstheme="minorEastAsia"/>
          <w:color w:val="auto"/>
          <w:kern w:val="2"/>
          <w:sz w:val="21"/>
          <w:szCs w:val="21"/>
          <w:lang w:val="en-US" w:eastAsia="zh-CN" w:bidi="ar-SA"/>
        </w:rPr>
        <w:t>月</w:t>
      </w:r>
      <w:r>
        <w:rPr>
          <w:rFonts w:hint="eastAsia" w:asciiTheme="minorEastAsia" w:hAnsiTheme="minorEastAsia" w:cstheme="minorEastAsia"/>
          <w:color w:val="auto"/>
          <w:kern w:val="2"/>
          <w:sz w:val="21"/>
          <w:szCs w:val="21"/>
          <w:lang w:val="en-US" w:eastAsia="zh-CN" w:bidi="ar-SA"/>
        </w:rPr>
        <w:t>11</w:t>
      </w:r>
      <w:r>
        <w:rPr>
          <w:rFonts w:hint="eastAsia" w:asciiTheme="minorEastAsia" w:hAnsiTheme="minorEastAsia" w:eastAsiaTheme="minorEastAsia" w:cstheme="minorEastAsia"/>
          <w:color w:val="auto"/>
          <w:kern w:val="2"/>
          <w:sz w:val="21"/>
          <w:szCs w:val="21"/>
          <w:lang w:val="en-US" w:eastAsia="zh-CN" w:bidi="ar-SA"/>
        </w:rPr>
        <w:t>日</w:t>
      </w:r>
      <w:r>
        <w:rPr>
          <w:rFonts w:hint="eastAsia" w:asciiTheme="minorEastAsia" w:hAnsiTheme="minorEastAsia" w:cstheme="minorEastAsia"/>
          <w:color w:val="auto"/>
          <w:kern w:val="2"/>
          <w:sz w:val="21"/>
          <w:szCs w:val="21"/>
          <w:lang w:val="en-US" w:eastAsia="zh-CN" w:bidi="ar-SA"/>
        </w:rPr>
        <w:t>上午10</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cstheme="minorEastAsia"/>
          <w:color w:val="auto"/>
          <w:kern w:val="2"/>
          <w:sz w:val="21"/>
          <w:szCs w:val="21"/>
          <w:lang w:val="en-US" w:eastAsia="zh-CN" w:bidi="ar-SA"/>
        </w:rPr>
        <w:t>00</w:t>
      </w:r>
      <w:r>
        <w:rPr>
          <w:rFonts w:hint="eastAsia" w:asciiTheme="minorEastAsia" w:hAnsiTheme="minorEastAsia" w:eastAsiaTheme="minorEastAsia" w:cstheme="minorEastAsia"/>
          <w:color w:val="auto"/>
          <w:kern w:val="2"/>
          <w:sz w:val="21"/>
          <w:szCs w:val="21"/>
          <w:lang w:val="en-US" w:eastAsia="zh-CN" w:bidi="ar-SA"/>
        </w:rPr>
        <w:t>（北京时间）</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3、</w:t>
      </w:r>
      <w:r>
        <w:rPr>
          <w:rFonts w:hint="eastAsia" w:asciiTheme="minorEastAsia" w:hAnsiTheme="minorEastAsia" w:eastAsiaTheme="minorEastAsia" w:cstheme="minorEastAsia"/>
          <w:color w:val="auto"/>
          <w:kern w:val="2"/>
          <w:sz w:val="21"/>
          <w:szCs w:val="21"/>
          <w:lang w:val="en-US" w:eastAsia="zh-CN" w:bidi="ar-SA"/>
        </w:rPr>
        <w:t xml:space="preserve">开标地点：温州市中医院行政楼3楼309会议室 </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4、</w:t>
      </w:r>
      <w:r>
        <w:rPr>
          <w:rFonts w:hint="eastAsia" w:asciiTheme="minorEastAsia" w:hAnsiTheme="minorEastAsia" w:eastAsiaTheme="minorEastAsia" w:cstheme="minorEastAsia"/>
          <w:color w:val="auto"/>
          <w:kern w:val="2"/>
          <w:sz w:val="21"/>
          <w:szCs w:val="21"/>
          <w:lang w:val="en-US" w:eastAsia="zh-CN" w:bidi="ar-SA"/>
        </w:rPr>
        <w:t>包装要求:投标文件的技术资信标、商务（报价）标分别密封于包封袋中，并在封套的封口处加盖投标人单位章，并由法定代表人或其授权代表签字。</w:t>
      </w:r>
    </w:p>
    <w:p>
      <w:pPr>
        <w:rPr>
          <w:rFonts w:hint="eastAsia" w:asciiTheme="minorEastAsia" w:hAnsi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5、</w:t>
      </w:r>
      <w:r>
        <w:rPr>
          <w:rFonts w:hint="eastAsia" w:asciiTheme="minorEastAsia" w:hAnsiTheme="minorEastAsia" w:eastAsiaTheme="minorEastAsia" w:cstheme="minorEastAsia"/>
          <w:color w:val="auto"/>
          <w:kern w:val="2"/>
          <w:sz w:val="21"/>
          <w:szCs w:val="21"/>
          <w:lang w:val="en-US" w:eastAsia="zh-CN" w:bidi="ar-SA"/>
        </w:rPr>
        <w:t>投标方式：接受邮寄和现场投递的纸质投标文件</w:t>
      </w:r>
      <w:r>
        <w:rPr>
          <w:rFonts w:hint="eastAsia" w:asciiTheme="minorEastAsia" w:hAnsiTheme="minorEastAsia" w:cstheme="minorEastAsia"/>
          <w:color w:val="auto"/>
          <w:kern w:val="2"/>
          <w:sz w:val="21"/>
          <w:szCs w:val="21"/>
          <w:lang w:val="en-US" w:eastAsia="zh-CN" w:bidi="ar-SA"/>
        </w:rPr>
        <w:t>/</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6、</w:t>
      </w:r>
      <w:r>
        <w:rPr>
          <w:rFonts w:hint="eastAsia" w:asciiTheme="minorEastAsia" w:hAnsiTheme="minorEastAsia" w:eastAsiaTheme="minorEastAsia" w:cstheme="minorEastAsia"/>
          <w:color w:val="auto"/>
          <w:kern w:val="2"/>
          <w:sz w:val="21"/>
          <w:szCs w:val="21"/>
          <w:lang w:val="en-US" w:eastAsia="zh-CN" w:bidi="ar-SA"/>
        </w:rPr>
        <w:t>其他:招标文件一式三份，一正两副加盖公章</w:t>
      </w: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Style w:val="14"/>
          <w:rFonts w:hint="eastAsia" w:asciiTheme="minorEastAsia" w:hAnsiTheme="minorEastAsia" w:eastAsiaTheme="minorEastAsia" w:cstheme="minorEastAsia"/>
          <w:b/>
          <w:bCs/>
          <w:color w:val="auto"/>
          <w:kern w:val="2"/>
          <w:sz w:val="32"/>
          <w:szCs w:val="32"/>
          <w:lang w:val="en-US" w:eastAsia="zh-CN" w:bidi="ar-SA"/>
        </w:rPr>
      </w:pPr>
      <w:r>
        <w:rPr>
          <w:rStyle w:val="14"/>
          <w:rFonts w:hint="eastAsia" w:asciiTheme="minorEastAsia" w:hAnsiTheme="minorEastAsia" w:eastAsiaTheme="minorEastAsia" w:cstheme="minorEastAsia"/>
          <w:b/>
          <w:bCs/>
          <w:color w:val="auto"/>
          <w:kern w:val="2"/>
          <w:sz w:val="32"/>
          <w:szCs w:val="32"/>
          <w:lang w:val="en-US" w:eastAsia="zh-CN" w:bidi="ar-SA"/>
        </w:rPr>
        <w:t>公告期限 </w:t>
      </w:r>
    </w:p>
    <w:p>
      <w:pPr>
        <w:pStyle w:val="9"/>
        <w:keepNext w:val="0"/>
        <w:keepLines w:val="0"/>
        <w:widowControl/>
        <w:suppressLineNumbers w:val="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自本公告发布之日起5个工作日。</w:t>
      </w:r>
    </w:p>
    <w:p>
      <w:pPr>
        <w:numPr>
          <w:ilvl w:val="0"/>
          <w:numId w:val="1"/>
        </w:numPr>
        <w:ind w:left="0" w:leftChars="0" w:firstLine="0" w:firstLineChars="0"/>
        <w:jc w:val="both"/>
        <w:rPr>
          <w:rFonts w:hint="eastAsia" w:asciiTheme="minorEastAsia" w:hAnsiTheme="minorEastAsia" w:eastAsiaTheme="minorEastAsia" w:cstheme="minorEastAsia"/>
          <w:b/>
          <w:bCs/>
          <w:color w:val="auto"/>
          <w:sz w:val="28"/>
          <w:szCs w:val="28"/>
        </w:rPr>
      </w:pPr>
      <w:r>
        <w:rPr>
          <w:rStyle w:val="14"/>
          <w:rFonts w:hint="eastAsia" w:asciiTheme="minorEastAsia" w:hAnsiTheme="minorEastAsia" w:eastAsiaTheme="minorEastAsia" w:cstheme="minorEastAsia"/>
          <w:b/>
          <w:bCs/>
          <w:color w:val="auto"/>
          <w:kern w:val="2"/>
          <w:sz w:val="32"/>
          <w:szCs w:val="32"/>
          <w:lang w:val="en-US" w:eastAsia="zh-CN" w:bidi="ar-SA"/>
        </w:rPr>
        <w:t>投标文件编制要求</w:t>
      </w:r>
    </w:p>
    <w:p>
      <w:pPr>
        <w:snapToGrid w:val="0"/>
        <w:spacing w:line="360" w:lineRule="auto"/>
        <w:ind w:firstLine="365" w:firstLineChars="174"/>
        <w:jc w:val="left"/>
        <w:outlineLvl w:val="2"/>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（一）投标文件的组成</w:t>
      </w:r>
    </w:p>
    <w:p>
      <w:pPr>
        <w:snapToGrid w:val="0"/>
        <w:spacing w:line="360" w:lineRule="auto"/>
        <w:ind w:firstLine="420" w:firstLineChars="200"/>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投标文件由资格证明文件、商务技术文件和报价文件三部份组成</w:t>
      </w:r>
      <w:r>
        <w:rPr>
          <w:rFonts w:hint="eastAsia" w:asciiTheme="minorEastAsia" w:hAnsiTheme="minorEastAsia" w:eastAsiaTheme="minorEastAsia" w:cstheme="minorEastAsia"/>
          <w:b w:val="0"/>
          <w:bCs/>
          <w:color w:val="auto"/>
          <w:sz w:val="21"/>
          <w:szCs w:val="21"/>
          <w:lang w:eastAsia="zh-CN"/>
        </w:rPr>
        <w:t>。</w:t>
      </w:r>
    </w:p>
    <w:p>
      <w:pPr>
        <w:snapToGrid w:val="0"/>
        <w:spacing w:before="120" w:beforeLines="50" w:line="360" w:lineRule="auto"/>
        <w:ind w:firstLine="411" w:firstLineChars="196"/>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1.资格证明文件：</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sz w:val="21"/>
          <w:szCs w:val="21"/>
        </w:rPr>
        <w:t>（1）投标人资格承诺函；</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sz w:val="21"/>
          <w:szCs w:val="21"/>
        </w:rPr>
        <w:t>（2）法人或者其他组织投标的提供营业执照等证明文件，自然人投标的提供身份证明；</w:t>
      </w:r>
    </w:p>
    <w:p>
      <w:pPr>
        <w:snapToGrid w:val="0"/>
        <w:spacing w:before="120" w:beforeLines="50" w:line="360" w:lineRule="auto"/>
        <w:ind w:firstLine="411" w:firstLineChars="196"/>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2. 商务技术文件：</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sz w:val="21"/>
          <w:szCs w:val="21"/>
        </w:rPr>
        <w:t>（1）投标人营业执照；</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sz w:val="21"/>
          <w:szCs w:val="21"/>
        </w:rPr>
        <w:t>（2）投标人为医疗器械生产企业的：第二类、第三类医疗器械生产企业提供《医疗器械生产许可证》、第一类医疗器械生产企业提供第一类医疗器械生产备案凭证；</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投标人为医疗器械经营企业的：第三类医疗器械经营企业提供《医疗器械经营许可证》、第二类医疗器械经营企业提供第二类医疗器械经营备案凭证；</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且投标人经备案或许可的经营范围必须包含本次投标的所有医疗器械；</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sz w:val="21"/>
          <w:szCs w:val="21"/>
        </w:rPr>
        <w:t>（3）提供食品药品监督管理部门核发的完整有效的医疗器械注册或备案证明；</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▲（4）货物制造商或其它有销售资格（提供证明材料）的供应商出具的授权书（适用于投标人是进口货物代理商的情形）；</w:t>
      </w:r>
    </w:p>
    <w:p>
      <w:pPr>
        <w:snapToGrid w:val="0"/>
        <w:spacing w:line="360" w:lineRule="auto"/>
        <w:ind w:firstLine="411" w:firstLineChars="196"/>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color w:val="auto"/>
          <w:kern w:val="0"/>
          <w:sz w:val="21"/>
          <w:szCs w:val="21"/>
        </w:rPr>
        <w:t>（5）投标声明函</w:t>
      </w:r>
      <w:r>
        <w:rPr>
          <w:rFonts w:hint="eastAsia" w:asciiTheme="minorEastAsia" w:hAnsiTheme="minorEastAsia" w:eastAsiaTheme="minorEastAsia" w:cstheme="minorEastAsia"/>
          <w:color w:val="auto"/>
          <w:sz w:val="21"/>
          <w:szCs w:val="21"/>
        </w:rPr>
        <w:t>；</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（6）投标产品一览表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（7）技术响应表；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（8）合同条款响应承诺</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（9）设备配置清单；</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（10）消耗品或易耗品价格； </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（11）售后服务承诺书</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（12）业绩证明</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（13）投标人建议的安装、调试、验收方法或方案；</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（14）技术服务、技术培训的内容和措施；</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（15）项目实施人员一览表</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（16）维修能力（详见评分标准要求）；</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（17）投标机型的彩页和原厂技术参数；</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节能产品的相关证明材料：投标产品列入财政部、发展改革委发布的节能产品品目清单的，提供国家市场监督管理总局公布的《参与实施政府采购节能产品认证机构名录》内的认证机构出具的、处于有效期之内的节能标志产品认证证书；</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19</w:t>
      </w:r>
      <w:r>
        <w:rPr>
          <w:rFonts w:hint="eastAsia" w:asciiTheme="minorEastAsia" w:hAnsiTheme="minorEastAsia" w:eastAsiaTheme="minorEastAsia" w:cstheme="minorEastAsia"/>
          <w:color w:val="auto"/>
          <w:sz w:val="21"/>
          <w:szCs w:val="21"/>
        </w:rPr>
        <w:t>）环境标志产品的相关证明材料：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0</w:t>
      </w:r>
      <w:r>
        <w:rPr>
          <w:rFonts w:hint="eastAsia" w:asciiTheme="minorEastAsia" w:hAnsiTheme="minorEastAsia" w:eastAsiaTheme="minorEastAsia" w:cstheme="minorEastAsia"/>
          <w:color w:val="auto"/>
          <w:sz w:val="21"/>
          <w:szCs w:val="21"/>
        </w:rPr>
        <w:t>）评分方法中的评审证明文件等；</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）投标人认为需要提供的其他文件。</w:t>
      </w:r>
    </w:p>
    <w:p>
      <w:pPr>
        <w:snapToGrid w:val="0"/>
        <w:spacing w:line="360" w:lineRule="auto"/>
        <w:ind w:firstLine="413" w:firstLineChars="196"/>
        <w:jc w:val="left"/>
        <w:rPr>
          <w:rFonts w:hint="eastAsia" w:asciiTheme="minorEastAsia" w:hAnsiTheme="minorEastAsia" w:eastAsiaTheme="minorEastAsia" w:cstheme="minorEastAsia"/>
          <w:b/>
          <w:color w:val="auto"/>
          <w:sz w:val="21"/>
          <w:szCs w:val="21"/>
        </w:rPr>
      </w:pPr>
    </w:p>
    <w:p>
      <w:pPr>
        <w:snapToGrid w:val="0"/>
        <w:spacing w:line="360" w:lineRule="auto"/>
        <w:ind w:firstLine="411" w:firstLineChars="196"/>
        <w:jc w:val="left"/>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3.报价文件：</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（1）开标一览表；</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（2）投标报价明细表；</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（3）投标人针对报价需要说明的其他文件和说明（如有）；</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（4）中小企业的相关证明材料（如有</w:t>
      </w:r>
      <w:r>
        <w:rPr>
          <w:rFonts w:hint="eastAsia" w:asciiTheme="minorEastAsia" w:hAnsiTheme="minorEastAsia" w:eastAsiaTheme="minorEastAsia" w:cstheme="minorEastAsia"/>
          <w:color w:val="auto"/>
          <w:kern w:val="0"/>
          <w:sz w:val="21"/>
          <w:szCs w:val="21"/>
        </w:rPr>
        <w:t>）；</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（5）残疾人福利性单位声明函(如有）；</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（6）由省级以上监狱管理局、戒毒管理局（含新疆生产建设兵团）出具的属于监狱企业的证明文件（如有）。</w:t>
      </w: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Style w:val="14"/>
          <w:rFonts w:hint="eastAsia" w:asciiTheme="minorEastAsia" w:hAnsiTheme="minorEastAsia" w:eastAsiaTheme="minorEastAsia" w:cstheme="minorEastAsia"/>
          <w:b/>
          <w:bCs/>
          <w:kern w:val="2"/>
          <w:sz w:val="32"/>
          <w:szCs w:val="32"/>
          <w:lang w:val="en-US" w:eastAsia="zh-CN" w:bidi="ar-SA"/>
        </w:rPr>
      </w:pPr>
      <w:r>
        <w:rPr>
          <w:rStyle w:val="14"/>
          <w:rFonts w:hint="eastAsia" w:asciiTheme="minorEastAsia" w:hAnsiTheme="minorEastAsia" w:eastAsiaTheme="minorEastAsia" w:cstheme="minorEastAsia"/>
          <w:b/>
          <w:bCs/>
          <w:kern w:val="2"/>
          <w:sz w:val="32"/>
          <w:szCs w:val="32"/>
          <w:lang w:val="en-US" w:eastAsia="zh-CN" w:bidi="ar-SA"/>
        </w:rPr>
        <w:t>商务、技术参数偏离表</w:t>
      </w:r>
    </w:p>
    <w:tbl>
      <w:tblPr>
        <w:tblStyle w:val="11"/>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634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1190" w:type="dxa"/>
            <w:tcBorders>
              <w:top w:val="single" w:color="auto" w:sz="12" w:space="0"/>
              <w:left w:val="single" w:color="auto" w:sz="12" w:space="0"/>
              <w:bottom w:val="single" w:color="auto" w:sz="12" w:space="0"/>
            </w:tcBorders>
            <w:noWrap w:val="0"/>
            <w:vAlign w:val="center"/>
          </w:tcPr>
          <w:p>
            <w:pPr>
              <w:widowControl/>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6348" w:type="dxa"/>
            <w:tcBorders>
              <w:top w:val="single" w:color="auto" w:sz="12" w:space="0"/>
              <w:bottom w:val="single" w:color="auto" w:sz="12" w:space="0"/>
            </w:tcBorders>
            <w:noWrap w:val="0"/>
            <w:vAlign w:val="center"/>
          </w:tcPr>
          <w:p>
            <w:pPr>
              <w:widowControl/>
              <w:jc w:val="center"/>
              <w:rPr>
                <w:rFonts w:hint="eastAsia" w:ascii="宋体" w:hAnsi="宋体" w:eastAsia="宋体" w:cs="宋体"/>
                <w:b/>
                <w:bCs/>
                <w:sz w:val="21"/>
                <w:szCs w:val="21"/>
              </w:rPr>
            </w:pPr>
            <w:r>
              <w:rPr>
                <w:rFonts w:hint="eastAsia" w:ascii="宋体" w:hAnsi="宋体" w:eastAsia="宋体" w:cs="宋体"/>
                <w:b/>
                <w:bCs/>
                <w:sz w:val="21"/>
                <w:szCs w:val="21"/>
              </w:rPr>
              <w:t>技术要求</w:t>
            </w:r>
          </w:p>
        </w:tc>
        <w:tc>
          <w:tcPr>
            <w:tcW w:w="1492" w:type="dxa"/>
            <w:tcBorders>
              <w:top w:val="single" w:color="auto" w:sz="12" w:space="0"/>
              <w:bottom w:val="single" w:color="auto" w:sz="12" w:space="0"/>
              <w:right w:val="single" w:color="auto" w:sz="12" w:space="0"/>
            </w:tcBorders>
            <w:noWrap w:val="0"/>
            <w:vAlign w:val="center"/>
          </w:tcPr>
          <w:p>
            <w:pPr>
              <w:widowControl/>
              <w:ind w:left="964" w:hanging="843" w:hangingChars="400"/>
              <w:jc w:val="center"/>
              <w:rPr>
                <w:rFonts w:hint="eastAsia" w:ascii="宋体" w:hAnsi="宋体" w:eastAsia="宋体" w:cs="宋体"/>
                <w:b/>
                <w:bCs/>
                <w:sz w:val="21"/>
                <w:szCs w:val="21"/>
              </w:rPr>
            </w:pPr>
            <w:r>
              <w:rPr>
                <w:rFonts w:hint="eastAsia" w:ascii="宋体" w:hAnsi="宋体" w:eastAsia="宋体" w:cs="宋体"/>
                <w:b/>
                <w:bCs/>
                <w:sz w:val="21"/>
                <w:szCs w:val="21"/>
                <w:lang w:eastAsia="zh-CN"/>
              </w:rPr>
              <w:t>投标</w:t>
            </w:r>
            <w:r>
              <w:rPr>
                <w:rFonts w:hint="eastAsia" w:ascii="宋体" w:hAnsi="宋体" w:eastAsia="宋体" w:cs="宋体"/>
                <w:b/>
                <w:bCs/>
                <w:sz w:val="21"/>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top w:val="single" w:color="auto" w:sz="12" w:space="0"/>
              <w:left w:val="single" w:color="auto" w:sz="12" w:space="0"/>
            </w:tcBorders>
            <w:noWrap w:val="0"/>
            <w:vAlign w:val="center"/>
          </w:tcPr>
          <w:p>
            <w:pPr>
              <w:widowControl/>
              <w:jc w:val="center"/>
              <w:rPr>
                <w:rFonts w:hint="eastAsia" w:ascii="宋体" w:hAnsi="宋体" w:eastAsia="宋体" w:cs="宋体"/>
                <w:b/>
                <w:sz w:val="21"/>
                <w:szCs w:val="21"/>
                <w:lang w:val="en-US" w:eastAsia="zh-CN"/>
              </w:rPr>
            </w:pPr>
            <w:r>
              <w:rPr>
                <w:rFonts w:hint="eastAsia" w:ascii="宋体" w:hAnsi="宋体" w:eastAsia="宋体" w:cs="宋体"/>
                <w:b/>
                <w:bCs/>
                <w:sz w:val="21"/>
                <w:szCs w:val="21"/>
              </w:rPr>
              <w:t>一</w:t>
            </w:r>
          </w:p>
        </w:tc>
        <w:tc>
          <w:tcPr>
            <w:tcW w:w="6348" w:type="dxa"/>
            <w:tcBorders>
              <w:top w:val="single" w:color="auto" w:sz="12" w:space="0"/>
            </w:tcBorders>
            <w:noWrap w:val="0"/>
            <w:vAlign w:val="center"/>
          </w:tcPr>
          <w:p>
            <w:pPr>
              <w:widowControl/>
              <w:jc w:val="left"/>
              <w:rPr>
                <w:rFonts w:hint="eastAsia" w:ascii="宋体" w:hAnsi="宋体" w:eastAsia="宋体" w:cs="宋体"/>
                <w:color w:val="000000"/>
                <w:sz w:val="21"/>
                <w:szCs w:val="21"/>
                <w:lang w:val="en-US"/>
              </w:rPr>
            </w:pPr>
            <w:r>
              <w:rPr>
                <w:rFonts w:hint="eastAsia" w:ascii="宋体" w:hAnsi="宋体" w:eastAsia="宋体" w:cs="宋体"/>
                <w:b/>
                <w:bCs/>
                <w:color w:val="000000"/>
                <w:sz w:val="21"/>
                <w:szCs w:val="21"/>
                <w:lang w:val="en-US" w:eastAsia="zh-CN" w:bidi="ar"/>
              </w:rPr>
              <w:t>内镜清洗工作站</w:t>
            </w:r>
            <w:r>
              <w:rPr>
                <w:rFonts w:hint="eastAsia" w:ascii="宋体" w:hAnsi="宋体" w:eastAsia="宋体" w:cs="宋体"/>
                <w:b/>
                <w:bCs/>
                <w:color w:val="000000"/>
                <w:sz w:val="21"/>
                <w:szCs w:val="21"/>
                <w:lang w:bidi="ar"/>
              </w:rPr>
              <w:t>技术参数要求</w:t>
            </w:r>
          </w:p>
        </w:tc>
        <w:tc>
          <w:tcPr>
            <w:tcW w:w="1492" w:type="dxa"/>
            <w:tcBorders>
              <w:top w:val="single" w:color="auto" w:sz="12" w:space="0"/>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b/>
                <w:kern w:val="2"/>
                <w:sz w:val="21"/>
                <w:szCs w:val="21"/>
                <w:highlight w:val="none"/>
              </w:rPr>
              <w:t>1</w:t>
            </w:r>
          </w:p>
        </w:tc>
        <w:tc>
          <w:tcPr>
            <w:tcW w:w="6348" w:type="dxa"/>
            <w:noWrap w:val="0"/>
            <w:vAlign w:val="top"/>
          </w:tcPr>
          <w:p>
            <w:pPr>
              <w:pStyle w:val="19"/>
              <w:ind w:left="521" w:leftChars="0" w:firstLine="0" w:firstLineChars="0"/>
              <w:jc w:val="left"/>
              <w:rPr>
                <w:rFonts w:hint="eastAsia" w:ascii="宋体" w:hAnsi="宋体" w:eastAsia="宋体" w:cs="宋体"/>
                <w:color w:val="000000"/>
                <w:sz w:val="21"/>
                <w:szCs w:val="21"/>
              </w:rPr>
            </w:pPr>
            <w:r>
              <w:rPr>
                <w:rFonts w:hint="eastAsia" w:ascii="宋体" w:hAnsi="宋体" w:eastAsia="宋体" w:cs="宋体"/>
                <w:b/>
                <w:sz w:val="21"/>
                <w:szCs w:val="21"/>
                <w:highlight w:val="none"/>
              </w:rPr>
              <w:t>用途：</w:t>
            </w:r>
            <w:r>
              <w:rPr>
                <w:rFonts w:hint="eastAsia" w:ascii="宋体" w:hAnsi="宋体" w:eastAsia="宋体" w:cs="宋体"/>
                <w:b/>
                <w:bCs/>
                <w:sz w:val="21"/>
                <w:szCs w:val="21"/>
              </w:rPr>
              <w:t>适用于医疗机构软式内镜的清洗消毒</w:t>
            </w:r>
          </w:p>
        </w:tc>
        <w:tc>
          <w:tcPr>
            <w:tcW w:w="1492" w:type="dxa"/>
            <w:tcBorders>
              <w:right w:val="single" w:color="auto" w:sz="12" w:space="0"/>
            </w:tcBorders>
            <w:noWrap w:val="0"/>
            <w:vAlign w:val="center"/>
          </w:tcPr>
          <w:p>
            <w:pPr>
              <w:widowControl/>
              <w:spacing w:line="360" w:lineRule="exact"/>
              <w:ind w:left="843" w:leftChars="0" w:hanging="843" w:hangingChars="400"/>
              <w:jc w:val="center"/>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widowControl/>
              <w:spacing w:line="360" w:lineRule="auto"/>
              <w:jc w:val="left"/>
              <w:rPr>
                <w:rFonts w:hint="eastAsia" w:ascii="宋体" w:hAnsi="宋体" w:eastAsia="宋体" w:cs="宋体"/>
                <w:b w:val="0"/>
                <w:bCs/>
                <w:sz w:val="21"/>
                <w:szCs w:val="21"/>
                <w:lang w:eastAsia="zh-CN"/>
              </w:rPr>
            </w:pPr>
            <w:r>
              <w:rPr>
                <w:rFonts w:hint="eastAsia" w:ascii="宋体" w:hAnsi="宋体" w:eastAsia="宋体" w:cs="宋体"/>
                <w:b w:val="0"/>
                <w:bCs/>
                <w:kern w:val="2"/>
                <w:sz w:val="21"/>
                <w:szCs w:val="21"/>
                <w:highlight w:val="none"/>
                <w:lang w:val="en-US" w:eastAsia="zh-CN"/>
              </w:rPr>
              <w:t>2</w:t>
            </w:r>
          </w:p>
        </w:tc>
        <w:tc>
          <w:tcPr>
            <w:tcW w:w="6348" w:type="dxa"/>
            <w:noWrap w:val="0"/>
            <w:vAlign w:val="center"/>
          </w:tcPr>
          <w:p>
            <w:pPr>
              <w:widowControl/>
              <w:spacing w:line="360" w:lineRule="auto"/>
              <w:rPr>
                <w:rFonts w:hint="eastAsia" w:ascii="宋体" w:hAnsi="宋体" w:eastAsia="宋体" w:cs="宋体"/>
                <w:b w:val="0"/>
                <w:bCs/>
                <w:sz w:val="21"/>
                <w:szCs w:val="21"/>
              </w:rPr>
            </w:pPr>
            <w:r>
              <w:rPr>
                <w:rFonts w:hint="eastAsia" w:ascii="宋体" w:hAnsi="宋体" w:eastAsia="宋体" w:cs="宋体"/>
                <w:b w:val="0"/>
                <w:bCs/>
                <w:kern w:val="2"/>
                <w:sz w:val="21"/>
                <w:szCs w:val="21"/>
                <w:highlight w:val="none"/>
              </w:rPr>
              <w:t>主要技术规格及系统概述：</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b w:val="0"/>
                <w:bCs/>
                <w:sz w:val="21"/>
                <w:szCs w:val="21"/>
              </w:rPr>
            </w:pPr>
            <w:r>
              <w:rPr>
                <w:rFonts w:hint="eastAsia" w:ascii="宋体" w:hAnsi="宋体" w:eastAsia="宋体" w:cs="宋体"/>
                <w:b w:val="0"/>
                <w:bCs/>
                <w:sz w:val="21"/>
                <w:szCs w:val="21"/>
                <w:highlight w:val="none"/>
                <w:lang w:val="en-US" w:eastAsia="zh-CN"/>
              </w:rPr>
              <w:t>2.1</w:t>
            </w:r>
          </w:p>
        </w:tc>
        <w:tc>
          <w:tcPr>
            <w:tcW w:w="6348" w:type="dxa"/>
            <w:noWrap w:val="0"/>
            <w:vAlign w:val="top"/>
          </w:tcPr>
          <w:p>
            <w:pPr>
              <w:rPr>
                <w:rFonts w:hint="eastAsia" w:ascii="宋体" w:hAnsi="宋体" w:eastAsia="宋体" w:cs="宋体"/>
                <w:b w:val="0"/>
                <w:bCs/>
                <w:color w:val="auto"/>
                <w:sz w:val="21"/>
                <w:szCs w:val="21"/>
              </w:rPr>
            </w:pPr>
            <w:r>
              <w:rPr>
                <w:rFonts w:hint="eastAsia" w:ascii="宋体" w:hAnsi="宋体" w:eastAsia="宋体" w:cs="宋体"/>
                <w:b w:val="0"/>
                <w:bCs/>
                <w:sz w:val="21"/>
                <w:szCs w:val="21"/>
              </w:rPr>
              <w:t>适用于各种类型、兼容各种品牌的软式内镜的清洗和消毒</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b w:val="0"/>
                <w:bCs/>
                <w:sz w:val="21"/>
                <w:szCs w:val="21"/>
              </w:rPr>
            </w:pPr>
            <w:r>
              <w:rPr>
                <w:rFonts w:hint="eastAsia" w:ascii="宋体" w:hAnsi="宋体" w:eastAsia="宋体" w:cs="宋体"/>
                <w:b w:val="0"/>
                <w:bCs/>
                <w:sz w:val="21"/>
                <w:szCs w:val="21"/>
                <w:highlight w:val="none"/>
                <w:lang w:val="en-US" w:eastAsia="zh-CN"/>
              </w:rPr>
              <w:t>2.2</w:t>
            </w:r>
          </w:p>
        </w:tc>
        <w:tc>
          <w:tcPr>
            <w:tcW w:w="6348" w:type="dxa"/>
            <w:noWrap w:val="0"/>
            <w:vAlign w:val="top"/>
          </w:tcPr>
          <w:p>
            <w:pPr>
              <w:rPr>
                <w:rFonts w:hint="eastAsia" w:ascii="宋体" w:hAnsi="宋体" w:eastAsia="宋体" w:cs="宋体"/>
                <w:b w:val="0"/>
                <w:bCs/>
                <w:i w:val="0"/>
                <w:iCs w:val="0"/>
                <w:color w:val="auto"/>
                <w:kern w:val="0"/>
                <w:sz w:val="21"/>
                <w:szCs w:val="21"/>
                <w:u w:val="none"/>
                <w:lang w:val="en-US" w:eastAsia="zh-CN" w:bidi="ar"/>
              </w:rPr>
            </w:pPr>
            <w:r>
              <w:rPr>
                <w:rFonts w:hint="eastAsia" w:ascii="宋体" w:hAnsi="宋体" w:eastAsia="宋体" w:cs="宋体"/>
                <w:b w:val="0"/>
                <w:bCs/>
                <w:color w:val="auto"/>
                <w:sz w:val="21"/>
                <w:szCs w:val="21"/>
              </w:rPr>
              <w:t xml:space="preserve">洗消槽的尺寸及材料工艺 </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2.2.1</w:t>
            </w:r>
          </w:p>
        </w:tc>
        <w:tc>
          <w:tcPr>
            <w:tcW w:w="6348"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方槽外形尺寸（长*宽）：≤570mm×560 mm,</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b/>
                <w:bCs/>
                <w:sz w:val="21"/>
                <w:szCs w:val="21"/>
                <w:highlight w:val="none"/>
                <w:lang w:val="en-US" w:eastAsia="zh-CN"/>
              </w:rPr>
              <w:t>2.2.2</w:t>
            </w:r>
          </w:p>
        </w:tc>
        <w:tc>
          <w:tcPr>
            <w:tcW w:w="6348"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方槽内腔尺寸（长*宽*高）：≥520mm×460mm×2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 mm；</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0" w:type="dxa"/>
            <w:tcBorders>
              <w:left w:val="single" w:color="auto" w:sz="12" w:space="0"/>
            </w:tcBorders>
            <w:noWrap w:val="0"/>
            <w:vAlign w:val="center"/>
          </w:tcPr>
          <w:p>
            <w:pPr>
              <w:pStyle w:val="19"/>
              <w:ind w:left="0" w:leftChars="0"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2.2.3</w:t>
            </w:r>
          </w:p>
        </w:tc>
        <w:tc>
          <w:tcPr>
            <w:tcW w:w="6348" w:type="dxa"/>
            <w:noWrap w:val="0"/>
            <w:vAlign w:val="top"/>
          </w:tcPr>
          <w:p>
            <w:pPr>
              <w:pStyle w:val="19"/>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rPr>
              <w:t>洗消槽采用进口</w:t>
            </w:r>
            <w:r>
              <w:rPr>
                <w:rFonts w:hint="eastAsia" w:ascii="宋体" w:hAnsi="宋体" w:eastAsia="宋体" w:cs="宋体"/>
                <w:color w:val="auto"/>
                <w:sz w:val="21"/>
                <w:szCs w:val="21"/>
                <w:highlight w:val="none"/>
                <w:lang w:val="en-US" w:eastAsia="zh-CN"/>
              </w:rPr>
              <w:t>PP</w:t>
            </w:r>
            <w:r>
              <w:rPr>
                <w:rFonts w:hint="eastAsia" w:ascii="宋体" w:hAnsi="宋体" w:eastAsia="宋体" w:cs="宋体"/>
                <w:color w:val="auto"/>
                <w:sz w:val="21"/>
                <w:szCs w:val="21"/>
                <w:highlight w:val="none"/>
              </w:rPr>
              <w:t>高分子材料一体注塑成型，禁用玻璃纤维和树脂加固洗消槽采用数控精准注塑生产，每一个同规格的洗消槽大小偏差要≤1mm</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0" w:type="dxa"/>
            <w:tcBorders>
              <w:left w:val="single" w:color="auto" w:sz="12" w:space="0"/>
            </w:tcBorders>
            <w:noWrap w:val="0"/>
            <w:vAlign w:val="center"/>
          </w:tcPr>
          <w:p>
            <w:pPr>
              <w:pStyle w:val="19"/>
              <w:ind w:left="0" w:leftChars="0" w:firstLine="0" w:firstLineChars="0"/>
              <w:jc w:val="left"/>
              <w:rPr>
                <w:rFonts w:hint="eastAsia" w:ascii="宋体" w:hAnsi="宋体" w:eastAsia="宋体" w:cs="宋体"/>
                <w:b w:val="0"/>
                <w:bCs w:val="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kern w:val="2"/>
                <w:sz w:val="21"/>
                <w:szCs w:val="21"/>
                <w:highlight w:val="none"/>
                <w:lang w:val="en-US" w:eastAsia="zh-CN" w:bidi="ar-SA"/>
              </w:rPr>
              <w:t>2.2.4</w:t>
            </w:r>
          </w:p>
        </w:tc>
        <w:tc>
          <w:tcPr>
            <w:tcW w:w="6348" w:type="dxa"/>
            <w:noWrap w:val="0"/>
            <w:vAlign w:val="top"/>
          </w:tcPr>
          <w:p>
            <w:pPr>
              <w:pStyle w:val="19"/>
              <w:ind w:left="0" w:leftChars="0" w:firstLine="0" w:firstLineChars="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下水器和洗消槽须注成一体并身带螺纹的</w:t>
            </w:r>
            <w:r>
              <w:rPr>
                <w:rFonts w:hint="eastAsia" w:ascii="宋体" w:hAnsi="宋体" w:eastAsia="宋体" w:cs="宋体"/>
                <w:b w:val="0"/>
                <w:bCs w:val="0"/>
                <w:color w:val="auto"/>
                <w:sz w:val="21"/>
                <w:szCs w:val="21"/>
                <w:highlight w:val="none"/>
                <w:lang w:val="en-US" w:eastAsia="zh-CN"/>
              </w:rPr>
              <w:t>PP</w:t>
            </w:r>
            <w:r>
              <w:rPr>
                <w:rFonts w:hint="eastAsia" w:ascii="宋体" w:hAnsi="宋体" w:eastAsia="宋体" w:cs="宋体"/>
                <w:b w:val="0"/>
                <w:bCs w:val="0"/>
                <w:color w:val="auto"/>
                <w:sz w:val="21"/>
                <w:szCs w:val="21"/>
                <w:highlight w:val="none"/>
              </w:rPr>
              <w:t>高分子材料，以便解决漏水、防止附着污垢、清洗方便。避免下水器打胶。提供洗消槽和排水接头一体成型的实拍</w:t>
            </w:r>
            <w:r>
              <w:rPr>
                <w:rFonts w:hint="eastAsia" w:ascii="宋体" w:hAnsi="宋体" w:eastAsia="宋体" w:cs="宋体"/>
                <w:b w:val="0"/>
                <w:bCs w:val="0"/>
                <w:color w:val="auto"/>
                <w:sz w:val="21"/>
                <w:szCs w:val="21"/>
                <w:highlight w:val="none"/>
                <w:lang w:val="en-US" w:eastAsia="zh-CN"/>
              </w:rPr>
              <w:t>图片</w:t>
            </w:r>
            <w:r>
              <w:rPr>
                <w:rFonts w:hint="eastAsia" w:ascii="宋体" w:hAnsi="宋体" w:eastAsia="宋体" w:cs="宋体"/>
                <w:b w:val="0"/>
                <w:bCs w:val="0"/>
                <w:color w:val="auto"/>
                <w:sz w:val="21"/>
                <w:szCs w:val="21"/>
                <w:highlight w:val="none"/>
              </w:rPr>
              <w:t>为佐证</w:t>
            </w:r>
          </w:p>
        </w:tc>
        <w:tc>
          <w:tcPr>
            <w:tcW w:w="1492" w:type="dxa"/>
            <w:tcBorders>
              <w:right w:val="single" w:color="auto" w:sz="12" w:space="0"/>
            </w:tcBorders>
            <w:noWrap w:val="0"/>
            <w:vAlign w:val="center"/>
          </w:tcPr>
          <w:p>
            <w:pPr>
              <w:widowControl/>
              <w:spacing w:line="360" w:lineRule="exact"/>
              <w:ind w:left="843" w:leftChars="0" w:hanging="843" w:hangingChars="400"/>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2.2.5</w:t>
            </w:r>
          </w:p>
        </w:tc>
        <w:tc>
          <w:tcPr>
            <w:tcW w:w="6348" w:type="dxa"/>
            <w:noWrap w:val="0"/>
            <w:vAlign w:val="top"/>
          </w:tcPr>
          <w:p>
            <w:pPr>
              <w:pStyle w:val="19"/>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洗消槽的正背面都要一样光滑，耐磨、耐酸碱、不易氧化、易清洗、细菌附着率低、寿命长对内镜无磨损</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521" w:leftChars="0" w:firstLine="0" w:firstLineChars="0"/>
              <w:jc w:val="left"/>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2.3</w:t>
            </w:r>
          </w:p>
        </w:tc>
        <w:tc>
          <w:tcPr>
            <w:tcW w:w="6348" w:type="dxa"/>
            <w:noWrap w:val="0"/>
            <w:vAlign w:val="top"/>
          </w:tcPr>
          <w:p>
            <w:pPr>
              <w:pStyle w:val="19"/>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val="0"/>
                <w:bCs/>
                <w:sz w:val="21"/>
                <w:szCs w:val="21"/>
              </w:rPr>
              <w:t>功能背板的材料和工艺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sz w:val="21"/>
                <w:szCs w:val="21"/>
              </w:rPr>
            </w:pPr>
            <w:r>
              <w:rPr>
                <w:rFonts w:hint="eastAsia" w:ascii="宋体" w:hAnsi="宋体" w:eastAsia="宋体" w:cs="宋体"/>
                <w:sz w:val="21"/>
                <w:szCs w:val="21"/>
                <w:highlight w:val="none"/>
                <w:lang w:val="en-US" w:eastAsia="zh-CN"/>
              </w:rPr>
              <w:t>2.3.1</w:t>
            </w:r>
          </w:p>
        </w:tc>
        <w:tc>
          <w:tcPr>
            <w:tcW w:w="6348" w:type="dxa"/>
            <w:noWrap w:val="0"/>
            <w:vAlign w:val="top"/>
          </w:tcPr>
          <w:p>
            <w:pPr>
              <w:pStyle w:val="19"/>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rPr>
              <w:t>采用进口</w:t>
            </w:r>
            <w:r>
              <w:rPr>
                <w:rFonts w:hint="eastAsia" w:ascii="宋体" w:hAnsi="宋体" w:eastAsia="宋体" w:cs="宋体"/>
                <w:color w:val="auto"/>
                <w:sz w:val="21"/>
                <w:szCs w:val="21"/>
                <w:highlight w:val="none"/>
                <w:lang w:eastAsia="zh-CN"/>
              </w:rPr>
              <w:t>PP</w:t>
            </w:r>
            <w:r>
              <w:rPr>
                <w:rFonts w:hint="eastAsia" w:ascii="宋体" w:hAnsi="宋体" w:eastAsia="宋体" w:cs="宋体"/>
                <w:color w:val="auto"/>
                <w:sz w:val="21"/>
                <w:szCs w:val="21"/>
                <w:highlight w:val="none"/>
              </w:rPr>
              <w:t>分子材料，禁用玻璃纤维和树脂加固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color w:val="000000"/>
                <w:sz w:val="21"/>
                <w:szCs w:val="21"/>
                <w:lang w:eastAsia="zh-CN"/>
              </w:rPr>
              <w:t>▲</w:t>
            </w:r>
            <w:r>
              <w:rPr>
                <w:rFonts w:hint="eastAsia" w:ascii="宋体" w:hAnsi="宋体" w:eastAsia="宋体" w:cs="宋体"/>
                <w:sz w:val="21"/>
                <w:szCs w:val="21"/>
                <w:highlight w:val="none"/>
                <w:lang w:val="en-US" w:eastAsia="zh-CN"/>
              </w:rPr>
              <w:t>2.3.2</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highlight w:val="none"/>
              </w:rPr>
              <w:t>前面板、后盖板和照明灯罩要为注成一体，并且中间为空洞的成型材料，正背面一样光滑，背板中间空洞可安装水、气管和电线。</w:t>
            </w:r>
            <w:r>
              <w:rPr>
                <w:rFonts w:hint="eastAsia" w:ascii="宋体" w:hAnsi="宋体" w:eastAsia="宋体" w:cs="宋体"/>
                <w:b/>
                <w:color w:val="auto"/>
                <w:sz w:val="21"/>
                <w:szCs w:val="21"/>
                <w:highlight w:val="none"/>
              </w:rPr>
              <w:t>提供产品</w:t>
            </w:r>
            <w:r>
              <w:rPr>
                <w:rFonts w:hint="eastAsia" w:ascii="宋体" w:hAnsi="宋体" w:eastAsia="宋体" w:cs="宋体"/>
                <w:b/>
                <w:color w:val="auto"/>
                <w:sz w:val="21"/>
                <w:szCs w:val="21"/>
                <w:highlight w:val="none"/>
                <w:lang w:val="en-US" w:eastAsia="zh-CN"/>
              </w:rPr>
              <w:t>图片</w:t>
            </w:r>
            <w:r>
              <w:rPr>
                <w:rFonts w:hint="eastAsia" w:ascii="宋体" w:hAnsi="宋体" w:eastAsia="宋体" w:cs="宋体"/>
                <w:b/>
                <w:color w:val="auto"/>
                <w:sz w:val="21"/>
                <w:szCs w:val="21"/>
                <w:highlight w:val="none"/>
              </w:rPr>
              <w:t>为佐证</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2.4</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color w:val="auto"/>
                <w:sz w:val="21"/>
                <w:szCs w:val="21"/>
              </w:rPr>
              <w:t>干燥台的材料和工艺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2.4.1</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rPr>
              <w:t>采用数控精准挤压模具挤出成型，一次挤压成型</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2.4.2</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highlight w:val="none"/>
              </w:rPr>
              <w:t>采用进口</w:t>
            </w:r>
            <w:r>
              <w:rPr>
                <w:rFonts w:hint="eastAsia" w:ascii="宋体" w:hAnsi="宋体" w:eastAsia="宋体" w:cs="宋体"/>
                <w:color w:val="auto"/>
                <w:sz w:val="21"/>
                <w:szCs w:val="21"/>
                <w:highlight w:val="none"/>
                <w:lang w:eastAsia="zh-CN"/>
              </w:rPr>
              <w:t>PP</w:t>
            </w:r>
            <w:r>
              <w:rPr>
                <w:rFonts w:hint="eastAsia" w:ascii="宋体" w:hAnsi="宋体" w:eastAsia="宋体" w:cs="宋体"/>
                <w:color w:val="auto"/>
                <w:sz w:val="21"/>
                <w:szCs w:val="21"/>
                <w:highlight w:val="none"/>
              </w:rPr>
              <w:t>分子材料，禁用玻璃纤维和树脂加固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kern w:val="2"/>
                <w:sz w:val="21"/>
                <w:szCs w:val="21"/>
                <w:highlight w:val="none"/>
                <w:lang w:val="en-US" w:eastAsia="zh-CN" w:bidi="ar-SA"/>
              </w:rPr>
              <w:t>2.4.3</w:t>
            </w:r>
          </w:p>
        </w:tc>
        <w:tc>
          <w:tcPr>
            <w:tcW w:w="6348" w:type="dxa"/>
            <w:noWrap w:val="0"/>
            <w:vAlign w:val="top"/>
          </w:tcPr>
          <w:p>
            <w:pPr>
              <w:pStyle w:val="19"/>
              <w:ind w:left="521" w:lef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rPr>
              <w:t>干燥台</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长度可按场地任意定制*宽度≤</w:t>
            </w:r>
            <w:r>
              <w:rPr>
                <w:rFonts w:hint="eastAsia" w:ascii="宋体" w:hAnsi="宋体" w:eastAsia="宋体" w:cs="宋体"/>
                <w:b w:val="0"/>
                <w:bCs w:val="0"/>
                <w:color w:val="auto"/>
                <w:sz w:val="21"/>
                <w:szCs w:val="21"/>
                <w:lang w:val="en-US" w:eastAsia="zh-CN"/>
              </w:rPr>
              <w:t>70</w:t>
            </w:r>
            <w:r>
              <w:rPr>
                <w:rFonts w:hint="eastAsia" w:ascii="宋体" w:hAnsi="宋体" w:eastAsia="宋体" w:cs="宋体"/>
                <w:b w:val="0"/>
                <w:bCs w:val="0"/>
                <w:color w:val="auto"/>
                <w:sz w:val="21"/>
                <w:szCs w:val="21"/>
              </w:rPr>
              <w:t>0mm</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521" w:leftChars="0" w:firstLine="0" w:firstLineChars="0"/>
              <w:jc w:val="left"/>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kern w:val="2"/>
                <w:sz w:val="21"/>
                <w:szCs w:val="21"/>
                <w:highlight w:val="none"/>
                <w:lang w:val="en-US" w:eastAsia="zh-CN" w:bidi="ar-SA"/>
              </w:rPr>
              <w:t>2.5</w:t>
            </w:r>
          </w:p>
        </w:tc>
        <w:tc>
          <w:tcPr>
            <w:tcW w:w="6348" w:type="dxa"/>
            <w:noWrap w:val="0"/>
            <w:vAlign w:val="top"/>
          </w:tcPr>
          <w:p>
            <w:pPr>
              <w:pStyle w:val="19"/>
              <w:ind w:left="0" w:leftChars="0" w:firstLine="0" w:firstLineChars="0"/>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color w:val="auto"/>
                <w:sz w:val="21"/>
                <w:szCs w:val="21"/>
              </w:rPr>
              <w:t>槽盖的材料和工艺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2.5.1</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rPr>
              <w:t>采用数控精准注塑生产，槽盖之间大小偏差要≤1mm</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2.5.2</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rPr>
              <w:t>槽盖与洗消槽在没有密封圈的配合条件下，两者间的间隙要≤1mm,消除消毒液的扩散</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highlight w:val="none"/>
              </w:rPr>
              <w:t>★</w:t>
            </w:r>
            <w:r>
              <w:rPr>
                <w:rFonts w:hint="eastAsia" w:ascii="宋体" w:hAnsi="宋体" w:eastAsia="宋体" w:cs="宋体"/>
                <w:kern w:val="2"/>
                <w:sz w:val="21"/>
                <w:szCs w:val="21"/>
                <w:highlight w:val="none"/>
                <w:lang w:val="en-US" w:eastAsia="zh-CN" w:bidi="ar-SA"/>
              </w:rPr>
              <w:t>2.5.3</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sz w:val="21"/>
                <w:szCs w:val="21"/>
                <w:highlight w:val="none"/>
              </w:rPr>
              <w:t>槽盖和手把为同一种材质并为注塑成一体，清洗方便，凹面镜设计，槽盖上有区分洁净与污染之分，避免产生二次污染。</w:t>
            </w:r>
            <w:r>
              <w:rPr>
                <w:rFonts w:hint="eastAsia" w:ascii="宋体" w:hAnsi="宋体" w:eastAsia="宋体" w:cs="宋体"/>
                <w:b/>
                <w:color w:val="auto"/>
                <w:sz w:val="21"/>
                <w:szCs w:val="21"/>
                <w:highlight w:val="none"/>
              </w:rPr>
              <w:t>提供产品彩色照片为佐证</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ind w:firstLine="210" w:firstLineChars="100"/>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2.6</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sz w:val="21"/>
                <w:szCs w:val="21"/>
              </w:rPr>
              <w:t>柜门板的材料</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2.6.1</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采用进口铝合金和特殊晶钢玻璃制成，功能特征：环保、防潮、防水、耐酸碱，防冷、防高温、防掉漆。</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val="0"/>
                <w:bCs w:val="0"/>
                <w:kern w:val="2"/>
                <w:sz w:val="21"/>
                <w:szCs w:val="21"/>
                <w:highlight w:val="none"/>
                <w:lang w:val="en-US" w:eastAsia="zh-CN" w:bidi="ar-SA"/>
              </w:rPr>
              <w:t>2.7</w:t>
            </w:r>
          </w:p>
        </w:tc>
        <w:tc>
          <w:tcPr>
            <w:tcW w:w="6348" w:type="dxa"/>
            <w:noWrap w:val="0"/>
            <w:vAlign w:val="top"/>
          </w:tcPr>
          <w:p>
            <w:pP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val="0"/>
                <w:bCs w:val="0"/>
                <w:sz w:val="21"/>
                <w:szCs w:val="21"/>
              </w:rPr>
              <w:t>多功能自动灌流器</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2.7.1</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采用中文彩色液晶显示,触摸屏操作面板</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kern w:val="2"/>
                <w:sz w:val="21"/>
                <w:szCs w:val="21"/>
                <w:highlight w:val="none"/>
                <w:lang w:val="en-US" w:eastAsia="zh-CN" w:bidi="ar-SA"/>
              </w:rPr>
              <w:t>2.7.2</w:t>
            </w:r>
          </w:p>
        </w:tc>
        <w:tc>
          <w:tcPr>
            <w:tcW w:w="6348" w:type="dxa"/>
            <w:noWrap w:val="0"/>
            <w:vAlign w:val="top"/>
          </w:tcPr>
          <w:p>
            <w:pP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sz w:val="21"/>
                <w:szCs w:val="21"/>
              </w:rPr>
              <w:t>采用微电脑控制系统，各种数据可自行自由设定，自动累计消毒液的使用次数,一健启动，操作简单，安全可靠</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kern w:val="2"/>
                <w:sz w:val="21"/>
                <w:szCs w:val="21"/>
                <w:highlight w:val="none"/>
                <w:lang w:val="en-US" w:eastAsia="zh-CN" w:bidi="ar-SA"/>
              </w:rPr>
              <w:t>2.8</w:t>
            </w:r>
          </w:p>
        </w:tc>
        <w:tc>
          <w:tcPr>
            <w:tcW w:w="6348" w:type="dxa"/>
            <w:noWrap w:val="0"/>
            <w:vAlign w:val="top"/>
          </w:tcPr>
          <w:p>
            <w:pP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sz w:val="21"/>
                <w:szCs w:val="21"/>
              </w:rPr>
              <w:t>自动加酶装置</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2.8.1</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sz w:val="21"/>
                <w:szCs w:val="21"/>
              </w:rPr>
              <w:t>采用中文彩色液晶显示,触摸屏操作面板，一健启动加酶，操作简单，安全可靠</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2.8.2</w:t>
            </w:r>
          </w:p>
        </w:tc>
        <w:tc>
          <w:tcPr>
            <w:tcW w:w="6348" w:type="dxa"/>
            <w:noWrap w:val="0"/>
            <w:vAlign w:val="top"/>
          </w:tcPr>
          <w:p>
            <w:pP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设有菜单，可由用户任意选择定量，通过灌流显示屏一键实现全自动定量配酶</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2.9</w:t>
            </w:r>
          </w:p>
        </w:tc>
        <w:tc>
          <w:tcPr>
            <w:tcW w:w="6348" w:type="dxa"/>
            <w:noWrap w:val="0"/>
            <w:vAlign w:val="top"/>
          </w:tcPr>
          <w:p>
            <w:pPr>
              <w:pStyle w:val="19"/>
              <w:ind w:left="521"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sz w:val="21"/>
                <w:szCs w:val="21"/>
              </w:rPr>
              <w:t>专用空压机</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highlight w:val="none"/>
              </w:rPr>
              <w:t>★</w:t>
            </w:r>
            <w:r>
              <w:rPr>
                <w:rFonts w:hint="eastAsia" w:ascii="宋体" w:hAnsi="宋体" w:eastAsia="宋体" w:cs="宋体"/>
                <w:kern w:val="2"/>
                <w:sz w:val="21"/>
                <w:szCs w:val="21"/>
                <w:highlight w:val="none"/>
                <w:lang w:val="en-US" w:eastAsia="zh-CN" w:bidi="ar-SA"/>
              </w:rPr>
              <w:t>2.9.1</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采用静音气泵，电压：AC220V，50Hz，电流：5A，功率：≤550W，产气量：75L/min(0.4Mpa)，最大产气压力：0.8 Mpa，噪音＜58db，压力稳定，连接气枪使用，具有良好的吹干排气效果。带有油水分离器的功能，能分离空气中的油污，水分，提高干燥台上干燥气体的清洁度。</w:t>
            </w:r>
            <w:r>
              <w:rPr>
                <w:rFonts w:hint="eastAsia" w:ascii="宋体" w:hAnsi="宋体" w:eastAsia="宋体" w:cs="宋体"/>
                <w:b/>
                <w:bCs/>
                <w:sz w:val="21"/>
                <w:szCs w:val="21"/>
                <w:lang w:val="en-US" w:eastAsia="zh-CN"/>
              </w:rPr>
              <w:t>提供一类医疗器械证件与储气罐CE证件</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2.10</w:t>
            </w:r>
          </w:p>
        </w:tc>
        <w:tc>
          <w:tcPr>
            <w:tcW w:w="6348" w:type="dxa"/>
            <w:noWrap w:val="0"/>
            <w:vAlign w:val="top"/>
          </w:tcPr>
          <w:p>
            <w:pPr>
              <w:pStyle w:val="19"/>
              <w:ind w:left="521"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sz w:val="21"/>
                <w:szCs w:val="21"/>
              </w:rPr>
              <w:t>高压水、气枪</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2.10.1</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枪体外壳采用PP材质模具一次成型，禁止采用金属材质，内部采用POM材料</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2.10.2</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操作手柄为手握式，非按钮式，有效的降低了工作中长时间操作的疲劳度</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2.10.3</w:t>
            </w:r>
          </w:p>
        </w:tc>
        <w:tc>
          <w:tcPr>
            <w:tcW w:w="6348" w:type="dxa"/>
            <w:noWrap w:val="0"/>
            <w:vAlign w:val="top"/>
          </w:tcPr>
          <w:p>
            <w:pPr>
              <w:pStyle w:val="19"/>
              <w:ind w:left="0"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sz w:val="21"/>
                <w:szCs w:val="21"/>
              </w:rPr>
              <w:t>整把枪重量≤90克</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highlight w:val="none"/>
                <w:lang w:val="en-US" w:eastAsia="zh-CN" w:bidi="ar-SA"/>
              </w:rPr>
              <w:t>2.11</w:t>
            </w:r>
          </w:p>
        </w:tc>
        <w:tc>
          <w:tcPr>
            <w:tcW w:w="6348" w:type="dxa"/>
            <w:noWrap w:val="0"/>
            <w:vAlign w:val="top"/>
          </w:tcPr>
          <w:p>
            <w:pPr>
              <w:pStyle w:val="19"/>
              <w:ind w:left="521" w:leftChars="0" w:firstLine="0" w:firstLineChars="0"/>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sz w:val="21"/>
                <w:szCs w:val="21"/>
              </w:rPr>
              <w:t>排水系统</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2.11.1</w:t>
            </w:r>
          </w:p>
        </w:tc>
        <w:tc>
          <w:tcPr>
            <w:tcW w:w="6348" w:type="dxa"/>
            <w:noWrap w:val="0"/>
            <w:vAlign w:val="top"/>
          </w:tcPr>
          <w:p>
            <w:pPr>
              <w:pStyle w:val="19"/>
              <w:ind w:left="0" w:leftChars="0" w:firstLine="0" w:firstLineChars="0"/>
              <w:rPr>
                <w:rFonts w:hint="eastAsia" w:ascii="宋体" w:hAnsi="宋体" w:eastAsia="宋体" w:cs="宋体"/>
                <w:b/>
                <w:sz w:val="21"/>
                <w:szCs w:val="21"/>
              </w:rPr>
            </w:pPr>
            <w:r>
              <w:rPr>
                <w:rFonts w:hint="eastAsia" w:ascii="宋体" w:hAnsi="宋体" w:eastAsia="宋体" w:cs="宋体"/>
                <w:sz w:val="21"/>
                <w:szCs w:val="21"/>
              </w:rPr>
              <w:t>排水管采用优质PVC-U排水管材和管件，符合GB/T 8804.2-2003要求，与洗消槽连接采用自带密封胶垫螺纹对接拧紧，外形美观，工艺精致，方便搬迁，减少漏水。</w:t>
            </w:r>
            <w:r>
              <w:rPr>
                <w:rFonts w:hint="eastAsia" w:ascii="宋体" w:hAnsi="宋体" w:eastAsia="宋体" w:cs="宋体"/>
                <w:b/>
                <w:bCs/>
                <w:sz w:val="21"/>
                <w:szCs w:val="21"/>
                <w:lang w:val="en-US" w:eastAsia="zh-CN"/>
              </w:rPr>
              <w:t>提供槽体下水器不锈钢滤网图</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US" w:eastAsia="zh-CN"/>
              </w:rPr>
              <w:t>2.12</w:t>
            </w:r>
          </w:p>
        </w:tc>
        <w:tc>
          <w:tcPr>
            <w:tcW w:w="6348" w:type="dxa"/>
            <w:noWrap w:val="0"/>
            <w:vAlign w:val="center"/>
          </w:tcPr>
          <w:p>
            <w:pPr>
              <w:rPr>
                <w:rFonts w:hint="eastAsia" w:ascii="宋体" w:hAnsi="宋体" w:eastAsia="宋体" w:cs="宋体"/>
                <w:b/>
                <w:sz w:val="21"/>
                <w:szCs w:val="21"/>
              </w:rPr>
            </w:pPr>
            <w:r>
              <w:rPr>
                <w:rFonts w:hint="eastAsia" w:ascii="宋体" w:hAnsi="宋体" w:eastAsia="宋体" w:cs="宋体"/>
                <w:color w:val="000000"/>
                <w:sz w:val="21"/>
                <w:szCs w:val="21"/>
                <w:lang w:val="en-US" w:eastAsia="zh-CN"/>
              </w:rPr>
              <w:t>提供一种可快速组装的工作站的专利证书</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US" w:eastAsia="zh-CN"/>
              </w:rPr>
              <w:t>2.13</w:t>
            </w:r>
          </w:p>
        </w:tc>
        <w:tc>
          <w:tcPr>
            <w:tcW w:w="6348" w:type="dxa"/>
            <w:noWrap w:val="0"/>
            <w:vAlign w:val="center"/>
          </w:tcPr>
          <w:p>
            <w:pPr>
              <w:rPr>
                <w:rFonts w:hint="eastAsia" w:ascii="宋体" w:hAnsi="宋体" w:eastAsia="宋体" w:cs="宋体"/>
                <w:b/>
                <w:sz w:val="21"/>
                <w:szCs w:val="21"/>
              </w:rPr>
            </w:pPr>
            <w:r>
              <w:rPr>
                <w:rFonts w:hint="eastAsia" w:ascii="宋体" w:hAnsi="宋体" w:eastAsia="宋体" w:cs="宋体"/>
                <w:color w:val="000000"/>
                <w:sz w:val="21"/>
                <w:szCs w:val="21"/>
                <w:lang w:val="en-US" w:eastAsia="zh-CN"/>
              </w:rPr>
              <w:t>提供内镜清洗工作站的控制软件著作权登记证书</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spacing w:line="4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US" w:eastAsia="zh-CN"/>
              </w:rPr>
              <w:t>2.14</w:t>
            </w:r>
          </w:p>
        </w:tc>
        <w:tc>
          <w:tcPr>
            <w:tcW w:w="6348" w:type="dxa"/>
            <w:noWrap w:val="0"/>
            <w:vAlign w:val="center"/>
          </w:tcPr>
          <w:p>
            <w:pPr>
              <w:rPr>
                <w:rFonts w:hint="eastAsia" w:ascii="宋体" w:hAnsi="宋体" w:eastAsia="宋体" w:cs="宋体"/>
                <w:b/>
                <w:sz w:val="21"/>
                <w:szCs w:val="21"/>
              </w:rPr>
            </w:pPr>
            <w:r>
              <w:rPr>
                <w:rFonts w:hint="eastAsia" w:ascii="宋体" w:hAnsi="宋体" w:eastAsia="宋体" w:cs="宋体"/>
                <w:color w:val="000000"/>
                <w:sz w:val="21"/>
                <w:szCs w:val="21"/>
                <w:lang w:val="en-US" w:eastAsia="zh-CN"/>
              </w:rPr>
              <w:t>提供一种内镜清洗工作站用槽盖的专利证书</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521"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bCs w:val="0"/>
                <w:sz w:val="21"/>
                <w:szCs w:val="21"/>
                <w:highlight w:val="none"/>
                <w:lang w:val="en-US" w:eastAsia="zh-CN"/>
              </w:rPr>
              <w:t>3</w:t>
            </w:r>
          </w:p>
        </w:tc>
        <w:tc>
          <w:tcPr>
            <w:tcW w:w="6348" w:type="dxa"/>
            <w:noWrap w:val="0"/>
            <w:vAlign w:val="center"/>
          </w:tcPr>
          <w:p>
            <w:pPr>
              <w:pStyle w:val="19"/>
              <w:ind w:left="521" w:leftChars="0" w:firstLine="0" w:firstLineChars="0"/>
              <w:jc w:val="left"/>
              <w:rPr>
                <w:rFonts w:hint="eastAsia" w:ascii="宋体" w:hAnsi="宋体" w:eastAsia="宋体" w:cs="宋体"/>
                <w:b/>
                <w:sz w:val="21"/>
                <w:szCs w:val="21"/>
              </w:rPr>
            </w:pPr>
            <w:r>
              <w:rPr>
                <w:rFonts w:hint="eastAsia" w:ascii="宋体" w:hAnsi="宋体" w:eastAsia="宋体" w:cs="宋体"/>
                <w:b/>
                <w:bCs w:val="0"/>
                <w:sz w:val="21"/>
                <w:szCs w:val="21"/>
                <w:highlight w:val="none"/>
              </w:rPr>
              <w:t>配置</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bCs/>
                <w:color w:val="000000"/>
                <w:sz w:val="21"/>
                <w:szCs w:val="21"/>
                <w:lang w:eastAsia="zh-CN"/>
              </w:rPr>
              <w:t>▲</w:t>
            </w:r>
            <w:r>
              <w:rPr>
                <w:rFonts w:hint="eastAsia" w:cs="宋体"/>
                <w:b/>
                <w:bCs/>
                <w:color w:val="000000"/>
                <w:sz w:val="21"/>
                <w:szCs w:val="21"/>
                <w:lang w:val="en-US" w:eastAsia="zh-CN"/>
              </w:rPr>
              <w:t>3.</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val="0"/>
                <w:bCs/>
                <w:sz w:val="21"/>
                <w:szCs w:val="21"/>
                <w:highlight w:val="none"/>
              </w:rPr>
              <w:t>1</w:t>
            </w:r>
          </w:p>
        </w:tc>
        <w:tc>
          <w:tcPr>
            <w:tcW w:w="6348" w:type="dxa"/>
            <w:noWrap w:val="0"/>
            <w:vAlign w:val="center"/>
          </w:tcPr>
          <w:p>
            <w:pPr>
              <w:pStyle w:val="19"/>
              <w:ind w:left="0" w:leftChars="0" w:firstLine="0" w:firstLineChars="0"/>
              <w:jc w:val="left"/>
              <w:rPr>
                <w:rFonts w:hint="eastAsia" w:ascii="宋体" w:hAnsi="宋体" w:eastAsia="宋体" w:cs="宋体"/>
                <w:b w:val="0"/>
                <w:bCs/>
                <w:sz w:val="21"/>
                <w:szCs w:val="21"/>
              </w:rPr>
            </w:pPr>
            <w:r>
              <w:rPr>
                <w:rFonts w:hint="eastAsia" w:ascii="宋体" w:hAnsi="宋体" w:eastAsia="宋体" w:cs="宋体"/>
                <w:b w:val="0"/>
                <w:bCs/>
                <w:color w:val="auto"/>
                <w:sz w:val="21"/>
                <w:szCs w:val="21"/>
                <w:highlight w:val="none"/>
                <w:lang w:val="en-US" w:eastAsia="zh-CN"/>
              </w:rPr>
              <w:t>胃镜组：5个方槽：酶洗、酶洗、漂洗、酶洗、漂洗，干燥台长1.6米1个、水气灌流器2套、酶洗浸泡灌流3套、水处理器过滤型1套、空压机2台、自动加酶系统3套、高压水枪3把、高压气枪3把、给水系统3套、排水系统2点位、手动/电动排水系统3点位</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pStyle w:val="19"/>
              <w:ind w:left="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 xml:space="preserve"> </w:t>
            </w:r>
            <w:r>
              <w:rPr>
                <w:rFonts w:hint="eastAsia" w:cs="宋体"/>
                <w:b/>
                <w:bCs/>
                <w:color w:val="000000"/>
                <w:sz w:val="21"/>
                <w:szCs w:val="21"/>
                <w:lang w:val="en-US" w:eastAsia="zh-CN"/>
              </w:rPr>
              <w:t>3.</w:t>
            </w:r>
            <w:r>
              <w:rPr>
                <w:rFonts w:hint="eastAsia" w:ascii="宋体" w:hAnsi="宋体" w:eastAsia="宋体" w:cs="宋体"/>
                <w:b w:val="0"/>
                <w:bCs/>
                <w:sz w:val="21"/>
                <w:szCs w:val="21"/>
                <w:highlight w:val="none"/>
              </w:rPr>
              <w:t>2</w:t>
            </w:r>
          </w:p>
        </w:tc>
        <w:tc>
          <w:tcPr>
            <w:tcW w:w="6348" w:type="dxa"/>
            <w:noWrap w:val="0"/>
            <w:vAlign w:val="center"/>
          </w:tcPr>
          <w:p>
            <w:pPr>
              <w:pStyle w:val="19"/>
              <w:ind w:left="0" w:leftChars="0" w:firstLine="0" w:firstLineChars="0"/>
              <w:jc w:val="left"/>
              <w:rPr>
                <w:rFonts w:hint="eastAsia" w:ascii="宋体" w:hAnsi="宋体" w:eastAsia="宋体" w:cs="宋体"/>
                <w:b w:val="0"/>
                <w:bCs/>
                <w:sz w:val="21"/>
                <w:szCs w:val="21"/>
              </w:rPr>
            </w:pPr>
            <w:r>
              <w:rPr>
                <w:rFonts w:hint="eastAsia" w:ascii="宋体" w:hAnsi="宋体" w:eastAsia="宋体" w:cs="宋体"/>
                <w:b w:val="0"/>
                <w:bCs/>
                <w:color w:val="auto"/>
                <w:sz w:val="21"/>
                <w:szCs w:val="21"/>
                <w:highlight w:val="none"/>
                <w:lang w:val="en-US" w:eastAsia="zh-CN"/>
              </w:rPr>
              <w:t xml:space="preserve"> 肠镜组：4个方槽：酶洗、酶洗、漂洗、酶洗、漂洗，干燥台长1.6米1个、水气灌流器2套、酶洗浸泡灌流2套、水处理器过滤型1套、空压机2台、自动加酶系统2套、高压水枪2把、高压气枪3把、给水系统2套、排水系统2点位、手动/电动排水系统2点位</w:t>
            </w:r>
          </w:p>
        </w:tc>
        <w:tc>
          <w:tcPr>
            <w:tcW w:w="1492" w:type="dxa"/>
            <w:tcBorders>
              <w:right w:val="single" w:color="auto" w:sz="12" w:space="0"/>
            </w:tcBorders>
            <w:noWrap w:val="0"/>
            <w:vAlign w:val="center"/>
          </w:tcPr>
          <w:p>
            <w:pPr>
              <w:widowControl/>
              <w:spacing w:line="360" w:lineRule="exact"/>
              <w:ind w:left="840" w:leftChars="0" w:hanging="840" w:hangingChars="4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二</w:t>
            </w:r>
          </w:p>
        </w:tc>
        <w:tc>
          <w:tcPr>
            <w:tcW w:w="6348" w:type="dxa"/>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b/>
                <w:bCs/>
                <w:i w:val="0"/>
                <w:iCs w:val="0"/>
                <w:color w:val="000000"/>
                <w:kern w:val="0"/>
                <w:sz w:val="21"/>
                <w:szCs w:val="21"/>
                <w:u w:val="none"/>
                <w:lang w:val="en-US" w:eastAsia="zh-CN" w:bidi="ar"/>
              </w:rPr>
              <w:t>安装验收</w:t>
            </w:r>
          </w:p>
        </w:tc>
        <w:tc>
          <w:tcPr>
            <w:tcW w:w="1492" w:type="dxa"/>
            <w:tcBorders>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top"/>
          </w:tcPr>
          <w:p>
            <w:pPr>
              <w:keepNext w:val="0"/>
              <w:keepLines w:val="0"/>
              <w:widowControl/>
              <w:suppressLineNumbers w:val="0"/>
              <w:jc w:val="center"/>
              <w:textAlignment w:val="top"/>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w:t>
            </w:r>
          </w:p>
        </w:tc>
        <w:tc>
          <w:tcPr>
            <w:tcW w:w="6348" w:type="dxa"/>
            <w:noWrap w:val="0"/>
            <w:vAlign w:val="center"/>
          </w:tcPr>
          <w:p>
            <w:pPr>
              <w:keepNext w:val="0"/>
              <w:keepLines w:val="0"/>
              <w:widowControl/>
              <w:suppressLineNumbers w:val="0"/>
              <w:jc w:val="both"/>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安装地点：医院指定科室；</w:t>
            </w:r>
          </w:p>
        </w:tc>
        <w:tc>
          <w:tcPr>
            <w:tcW w:w="1492" w:type="dxa"/>
            <w:tcBorders>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top"/>
          </w:tcPr>
          <w:p>
            <w:pPr>
              <w:keepNext w:val="0"/>
              <w:keepLines w:val="0"/>
              <w:widowControl/>
              <w:suppressLineNumbers w:val="0"/>
              <w:jc w:val="center"/>
              <w:textAlignment w:val="top"/>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6348" w:type="dxa"/>
            <w:noWrap w:val="0"/>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安装完成时间：合同签订后1个月内交货，接买方通知后3天内完成安装；</w:t>
            </w:r>
          </w:p>
        </w:tc>
        <w:tc>
          <w:tcPr>
            <w:tcW w:w="1492" w:type="dxa"/>
            <w:tcBorders>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6348" w:type="dxa"/>
            <w:tcBorders>
              <w:bottom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安装标准：符合我国国家有关技术规范和技术标准；</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top"/>
          </w:tcPr>
          <w:p>
            <w:pPr>
              <w:keepNext w:val="0"/>
              <w:keepLines w:val="0"/>
              <w:widowControl/>
              <w:suppressLineNumbers w:val="0"/>
              <w:jc w:val="center"/>
              <w:textAlignment w:val="top"/>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6348" w:type="dxa"/>
            <w:noWrap w:val="0"/>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验收标准：符合我国国家有关技术规范和技术标准。</w:t>
            </w:r>
          </w:p>
        </w:tc>
        <w:tc>
          <w:tcPr>
            <w:tcW w:w="1492" w:type="dxa"/>
            <w:tcBorders>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tcBorders>
            <w:noWrap w:val="0"/>
            <w:vAlign w:val="top"/>
          </w:tcPr>
          <w:p>
            <w:pPr>
              <w:keepNext w:val="0"/>
              <w:keepLines w:val="0"/>
              <w:widowControl/>
              <w:suppressLineNumbers w:val="0"/>
              <w:jc w:val="center"/>
              <w:textAlignment w:val="top"/>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6348" w:type="dxa"/>
            <w:noWrap w:val="0"/>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安装、验收合格前所产生的一切费用（包括卸货、搬运、必要时的安全性能检测费等）由供方负责提供。</w:t>
            </w:r>
          </w:p>
        </w:tc>
        <w:tc>
          <w:tcPr>
            <w:tcW w:w="1492" w:type="dxa"/>
            <w:tcBorders>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b/>
                <w:bCs/>
                <w:i w:val="0"/>
                <w:iCs w:val="0"/>
                <w:color w:val="000000"/>
                <w:kern w:val="0"/>
                <w:sz w:val="21"/>
                <w:szCs w:val="21"/>
                <w:u w:val="none"/>
                <w:lang w:val="en-US" w:eastAsia="zh-CN" w:bidi="ar"/>
              </w:rPr>
              <w:t>三</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b/>
                <w:bCs/>
                <w:i w:val="0"/>
                <w:iCs w:val="0"/>
                <w:color w:val="000000"/>
                <w:kern w:val="0"/>
                <w:sz w:val="21"/>
                <w:szCs w:val="21"/>
                <w:u w:val="none"/>
                <w:lang w:val="en-US" w:eastAsia="zh-CN" w:bidi="ar"/>
              </w:rPr>
              <w:t>其他要求</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3.1</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属于医疗器械管理范围的产品必须提供医疗器械注册证及注册登记表</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3.2</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厂家承诺提供设备免费保修期（含易损品、维修配件、人工服务等）≥</w:t>
            </w:r>
            <w:r>
              <w:rPr>
                <w:rFonts w:hint="eastAsia" w:ascii="宋体" w:hAnsi="宋体" w:eastAsia="宋体" w:cs="宋体"/>
                <w:i w:val="0"/>
                <w:iCs w:val="0"/>
                <w:color w:val="FF0000"/>
                <w:kern w:val="0"/>
                <w:sz w:val="21"/>
                <w:szCs w:val="21"/>
                <w:u w:val="none"/>
                <w:lang w:val="en-US" w:eastAsia="zh-CN" w:bidi="ar"/>
              </w:rPr>
              <w:t>2年</w:t>
            </w:r>
            <w:r>
              <w:rPr>
                <w:rFonts w:hint="eastAsia" w:ascii="宋体" w:hAnsi="宋体" w:eastAsia="宋体" w:cs="宋体"/>
                <w:i w:val="0"/>
                <w:iCs w:val="0"/>
                <w:color w:val="000000"/>
                <w:kern w:val="0"/>
                <w:sz w:val="21"/>
                <w:szCs w:val="21"/>
                <w:u w:val="none"/>
                <w:lang w:val="en-US" w:eastAsia="zh-CN" w:bidi="ar"/>
              </w:rPr>
              <w:t>。提供过保后年保价格，</w:t>
            </w:r>
          </w:p>
        </w:tc>
        <w:tc>
          <w:tcPr>
            <w:tcW w:w="1492" w:type="dxa"/>
            <w:tcBorders>
              <w:bottom w:val="single" w:color="auto" w:sz="4" w:space="0"/>
              <w:right w:val="single" w:color="auto" w:sz="12" w:space="0"/>
            </w:tcBorders>
            <w:noWrap w:val="0"/>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3.3</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操作手册、维修手册：提供操作手册、维修手册各一套</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3.4</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培训：提供临床应用操作培训,并提供临床资料(培训ppt、考核试题)</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3.5</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软件终身免费升级</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3.6</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付款方式:验收合格后90工作日内付款，投标商开具单张发票限额必须大于投标单台设备价格</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0" w:type="dxa"/>
            <w:tcBorders>
              <w:left w:val="single" w:color="auto" w:sz="12" w:space="0"/>
              <w:bottom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3.7</w:t>
            </w:r>
          </w:p>
        </w:tc>
        <w:tc>
          <w:tcPr>
            <w:tcW w:w="6348" w:type="dxa"/>
            <w:tcBorders>
              <w:bottom w:val="single" w:color="auto" w:sz="4" w:space="0"/>
            </w:tcBorders>
            <w:noWrap w:val="0"/>
            <w:vAlign w:val="top"/>
          </w:tcPr>
          <w:p>
            <w:pPr>
              <w:keepNext w:val="0"/>
              <w:keepLines w:val="0"/>
              <w:widowControl/>
              <w:suppressLineNumbers w:val="0"/>
              <w:jc w:val="both"/>
              <w:textAlignment w:val="top"/>
              <w:rPr>
                <w:rFonts w:hint="eastAsia" w:ascii="宋体" w:hAnsi="宋体" w:eastAsia="宋体" w:cs="宋体"/>
                <w:b/>
                <w:sz w:val="21"/>
                <w:szCs w:val="21"/>
              </w:rPr>
            </w:pPr>
            <w:r>
              <w:rPr>
                <w:rFonts w:hint="eastAsia" w:ascii="宋体" w:hAnsi="宋体" w:eastAsia="宋体" w:cs="宋体"/>
                <w:i w:val="0"/>
                <w:iCs w:val="0"/>
                <w:color w:val="000000"/>
                <w:kern w:val="0"/>
                <w:sz w:val="21"/>
                <w:szCs w:val="21"/>
                <w:u w:val="none"/>
                <w:lang w:val="en-US" w:eastAsia="zh-CN" w:bidi="ar"/>
              </w:rPr>
              <w:t>投标商提供的设备必须在距投标当日10个月内生产</w:t>
            </w:r>
          </w:p>
        </w:tc>
        <w:tc>
          <w:tcPr>
            <w:tcW w:w="1492" w:type="dxa"/>
            <w:tcBorders>
              <w:bottom w:val="single" w:color="auto" w:sz="4" w:space="0"/>
              <w:right w:val="single" w:color="auto" w:sz="12" w:space="0"/>
            </w:tcBorders>
            <w:noWrap w:val="0"/>
            <w:vAlign w:val="top"/>
          </w:tcPr>
          <w:p>
            <w:pPr>
              <w:jc w:val="center"/>
              <w:rPr>
                <w:rFonts w:hint="eastAsia" w:ascii="宋体" w:hAnsi="宋体" w:eastAsia="宋体" w:cs="宋体"/>
                <w:sz w:val="21"/>
                <w:szCs w:val="21"/>
              </w:rPr>
            </w:pPr>
          </w:p>
        </w:tc>
      </w:tr>
    </w:tbl>
    <w:p>
      <w:pPr>
        <w:snapToGrid w:val="0"/>
        <w:spacing w:line="360" w:lineRule="auto"/>
        <w:jc w:val="left"/>
        <w:rPr>
          <w:rFonts w:hint="eastAsia" w:asciiTheme="minorEastAsia" w:hAnsiTheme="minorEastAsia" w:eastAsiaTheme="minorEastAsia" w:cstheme="minorEastAsia"/>
          <w:sz w:val="24"/>
          <w:szCs w:val="24"/>
          <w:lang w:eastAsia="zh-CN"/>
        </w:rPr>
      </w:pPr>
    </w:p>
    <w:p>
      <w:pPr>
        <w:snapToGrid w:val="0"/>
        <w:spacing w:line="360" w:lineRule="auto"/>
        <w:ind w:firstLine="470" w:firstLineChars="196"/>
        <w:jc w:val="left"/>
        <w:rPr>
          <w:rFonts w:hint="eastAsia" w:asciiTheme="minorEastAsia" w:hAnsiTheme="minorEastAsia" w:eastAsiaTheme="minorEastAsia" w:cstheme="minorEastAsia"/>
          <w:sz w:val="24"/>
          <w:szCs w:val="24"/>
        </w:rPr>
      </w:pPr>
    </w:p>
    <w:p>
      <w:pPr>
        <w:snapToGrid w:val="0"/>
        <w:spacing w:line="360" w:lineRule="auto"/>
        <w:ind w:firstLine="470" w:firstLineChars="196"/>
        <w:jc w:val="left"/>
        <w:rPr>
          <w:rFonts w:hint="eastAsia" w:asciiTheme="minorEastAsia" w:hAnsiTheme="minorEastAsia" w:eastAsiaTheme="minorEastAsia" w:cstheme="minorEastAsia"/>
          <w:sz w:val="24"/>
          <w:szCs w:val="24"/>
        </w:rPr>
      </w:pP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Style w:val="14"/>
          <w:rFonts w:hint="eastAsia" w:asciiTheme="minorEastAsia" w:hAnsiTheme="minorEastAsia" w:eastAsiaTheme="minorEastAsia" w:cstheme="minorEastAsia"/>
          <w:b/>
          <w:bCs/>
          <w:kern w:val="2"/>
          <w:sz w:val="32"/>
          <w:szCs w:val="32"/>
          <w:lang w:val="en-US" w:eastAsia="zh-CN" w:bidi="ar-SA"/>
        </w:rPr>
      </w:pPr>
      <w:r>
        <w:rPr>
          <w:rStyle w:val="14"/>
          <w:rFonts w:hint="eastAsia" w:asciiTheme="minorEastAsia" w:hAnsiTheme="minorEastAsia" w:eastAsiaTheme="minorEastAsia" w:cstheme="minorEastAsia"/>
          <w:b/>
          <w:bCs/>
          <w:kern w:val="2"/>
          <w:sz w:val="32"/>
          <w:szCs w:val="32"/>
          <w:lang w:val="en-US" w:eastAsia="zh-CN" w:bidi="ar-SA"/>
        </w:rPr>
        <w:t>评分细则</w:t>
      </w:r>
    </w:p>
    <w:p>
      <w:pPr>
        <w:spacing w:line="360" w:lineRule="auto"/>
        <w:ind w:firstLine="457" w:firstLineChars="196"/>
        <w:rPr>
          <w:rStyle w:val="14"/>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pacing w:val="-4"/>
          <w:sz w:val="24"/>
          <w:szCs w:val="24"/>
        </w:rPr>
        <w:t>1、商务技术分（0-65分）</w:t>
      </w:r>
    </w:p>
    <w:tbl>
      <w:tblPr>
        <w:tblStyle w:val="11"/>
        <w:tblW w:w="93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88"/>
        <w:gridCol w:w="2639"/>
        <w:gridCol w:w="997"/>
        <w:gridCol w:w="4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63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评定项目</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w:t>
            </w:r>
          </w:p>
        </w:tc>
        <w:tc>
          <w:tcPr>
            <w:tcW w:w="4945" w:type="dxa"/>
            <w:noWrap w:val="0"/>
            <w:vAlign w:val="center"/>
          </w:tcPr>
          <w:p>
            <w:pPr>
              <w:ind w:left="105" w:leftChars="50" w:right="10" w:rightChars="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对应于招标文件设备技术规格及配置的偏离度</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highlight w:val="none"/>
              </w:rPr>
              <w:t>与招标文件</w:t>
            </w:r>
            <w:r>
              <w:rPr>
                <w:rFonts w:hint="eastAsia" w:asciiTheme="minorEastAsia" w:hAnsiTheme="minorEastAsia" w:eastAsiaTheme="minorEastAsia" w:cstheme="minorEastAsia"/>
                <w:color w:val="auto"/>
                <w:sz w:val="21"/>
                <w:szCs w:val="21"/>
                <w:highlight w:val="none"/>
                <w:lang w:eastAsia="zh-CN"/>
              </w:rPr>
              <w:t>中</w:t>
            </w:r>
            <w:r>
              <w:rPr>
                <w:rFonts w:hint="eastAsia" w:asciiTheme="minorEastAsia" w:hAnsiTheme="minorEastAsia" w:eastAsiaTheme="minorEastAsia" w:cstheme="minorEastAsia"/>
                <w:color w:val="auto"/>
                <w:sz w:val="21"/>
                <w:szCs w:val="21"/>
                <w:highlight w:val="none"/>
              </w:rPr>
              <w:t>货物技术规格及配置、商务要求对比，一项指标负偏离扣1分，标注★的指标</w:t>
            </w:r>
            <w:r>
              <w:rPr>
                <w:rFonts w:hint="eastAsia" w:asciiTheme="minorEastAsia" w:hAnsiTheme="minorEastAsia" w:eastAsiaTheme="minorEastAsia" w:cstheme="minorEastAsia"/>
                <w:color w:val="auto"/>
                <w:sz w:val="21"/>
                <w:szCs w:val="21"/>
                <w:highlight w:val="none"/>
                <w:lang w:eastAsia="zh-CN"/>
              </w:rPr>
              <w:t>负</w:t>
            </w:r>
            <w:r>
              <w:rPr>
                <w:rFonts w:hint="eastAsia" w:asciiTheme="minorEastAsia" w:hAnsiTheme="minorEastAsia" w:eastAsiaTheme="minorEastAsia" w:cstheme="minorEastAsia"/>
                <w:color w:val="auto"/>
                <w:sz w:val="21"/>
                <w:szCs w:val="21"/>
                <w:highlight w:val="none"/>
              </w:rPr>
              <w:t>偏离每项扣4分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扣完为止</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投标设备配套的合理性</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评委对投标设备配套的合理性、功能实现程度进行评价：投标设备配套合理、功能实现程度高的，得3分；配套较合理、功能实现程度较高的，得2分；配套合理性一般、不能完全达到临床要求功能的，得1分。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投标设备技术指标的先进性</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评委对投标设备技术指标的先进性进行评价：技术指标高于招标要求且具有较高临床使用价值的，每项得1分；最高得3分。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投标机型的档次</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投标机型在产品系列中属高档产品的，得3分；属中等档次产品的，得2分；属低档产品的，得1分。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运行成本</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包括保修价格、售后服务方案、年运行费用和消耗品或易耗品价格等综合运行成本进行评价。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保修服务</w:t>
            </w:r>
          </w:p>
        </w:tc>
        <w:tc>
          <w:tcPr>
            <w:tcW w:w="99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设备</w:t>
            </w:r>
            <w:r>
              <w:rPr>
                <w:rFonts w:hint="eastAsia" w:asciiTheme="minorEastAsia" w:hAnsiTheme="minorEastAsia" w:eastAsiaTheme="minorEastAsia" w:cstheme="minorEastAsia"/>
                <w:sz w:val="21"/>
                <w:szCs w:val="21"/>
              </w:rPr>
              <w:t>保修期超过招标文件要求的，每增加1年加1分</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增加部分不足1年的不计分。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投标产品总体质量性能</w:t>
            </w:r>
          </w:p>
        </w:tc>
        <w:tc>
          <w:tcPr>
            <w:tcW w:w="9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投标产品在临床上的使用情况、稳定性、故障率等总体质量性能综合评价。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市场占有率</w:t>
            </w:r>
          </w:p>
        </w:tc>
        <w:tc>
          <w:tcPr>
            <w:tcW w:w="9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w:t>
            </w:r>
            <w:r>
              <w:rPr>
                <w:rFonts w:hint="eastAsia" w:asciiTheme="minorEastAsia" w:hAnsiTheme="minorEastAsia" w:eastAsiaTheme="minorEastAsia" w:cstheme="minorEastAsia"/>
                <w:sz w:val="21"/>
                <w:szCs w:val="21"/>
                <w:lang w:eastAsia="zh-CN"/>
              </w:rPr>
              <w:t>温州市或浙江省内</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sz w:val="21"/>
                <w:szCs w:val="21"/>
              </w:rPr>
              <w:t>年1月1日起至今与最终用户签订的投标机型合同复印件，每份有效合同得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分，最多</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7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2639"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制造商或代理商的售后服务和维修能力</w:t>
            </w:r>
          </w:p>
        </w:tc>
        <w:tc>
          <w:tcPr>
            <w:tcW w:w="997" w:type="dxa"/>
            <w:noWrap w:val="0"/>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4945" w:type="dxa"/>
            <w:noWrap w:val="0"/>
            <w:vAlign w:val="center"/>
          </w:tcPr>
          <w:p>
            <w:pPr>
              <w:ind w:left="105" w:leftChars="50" w:right="10" w:rightChars="5"/>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制造商或代理商的售后服务和维修能力，服务响应速度、服务人员水平、备品备件配置等综合评价。</w:t>
            </w:r>
            <w:r>
              <w:rPr>
                <w:rFonts w:hint="eastAsia" w:asciiTheme="minorEastAsia" w:hAnsiTheme="minorEastAsia" w:eastAsiaTheme="minorEastAsia" w:cstheme="minorEastAsia"/>
                <w:sz w:val="21"/>
                <w:szCs w:val="21"/>
                <w:lang w:eastAsia="zh-CN"/>
              </w:rPr>
              <w:t>（厂家在温州市或者浙江省内有常驻维修服务点和维修工程师得</w:t>
            </w:r>
            <w:r>
              <w:rPr>
                <w:rFonts w:hint="eastAsia" w:asciiTheme="minorEastAsia" w:hAnsiTheme="minorEastAsia" w:eastAsiaTheme="minorEastAsia" w:cstheme="minorEastAsia"/>
                <w:sz w:val="21"/>
                <w:szCs w:val="21"/>
                <w:lang w:val="en-US" w:eastAsia="zh-CN"/>
              </w:rPr>
              <w:t>1分，代理商有维修服务人员得1分，承诺接用户报修后二十四小时内维修人员能到场维修的得1分</w:t>
            </w:r>
          </w:p>
        </w:tc>
      </w:tr>
    </w:tbl>
    <w:p>
      <w:pPr>
        <w:spacing w:before="120" w:beforeLines="50" w:after="120" w:afterLines="50"/>
        <w:ind w:firstLine="398" w:firstLineChars="196"/>
        <w:jc w:val="both"/>
        <w:rPr>
          <w:rFonts w:hint="eastAsia" w:asciiTheme="minorEastAsia" w:hAnsiTheme="minorEastAsia" w:eastAsiaTheme="minorEastAsia" w:cstheme="minorEastAsia"/>
          <w:b/>
          <w:bCs/>
          <w:spacing w:val="-4"/>
          <w:sz w:val="21"/>
          <w:szCs w:val="21"/>
        </w:rPr>
      </w:pPr>
      <w:r>
        <w:rPr>
          <w:rFonts w:hint="eastAsia" w:asciiTheme="minorEastAsia" w:hAnsiTheme="minorEastAsia" w:eastAsiaTheme="minorEastAsia" w:cstheme="minorEastAsia"/>
          <w:b/>
          <w:spacing w:val="-4"/>
          <w:sz w:val="21"/>
          <w:szCs w:val="21"/>
        </w:rPr>
        <w:t>2、</w:t>
      </w:r>
      <w:r>
        <w:rPr>
          <w:rFonts w:hint="eastAsia" w:asciiTheme="minorEastAsia" w:hAnsiTheme="minorEastAsia" w:eastAsiaTheme="minorEastAsia" w:cstheme="minorEastAsia"/>
          <w:b/>
          <w:bCs/>
          <w:spacing w:val="-4"/>
          <w:sz w:val="21"/>
          <w:szCs w:val="21"/>
        </w:rPr>
        <w:t>价格分（0-35分）</w:t>
      </w:r>
    </w:p>
    <w:p>
      <w:pPr>
        <w:pStyle w:val="9"/>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Fonts w:hint="eastAsia" w:asciiTheme="minorEastAsia" w:hAnsiTheme="minorEastAsia" w:eastAsiaTheme="minorEastAsia" w:cstheme="minorEastAsia"/>
          <w:bCs/>
          <w:spacing w:val="-4"/>
          <w:sz w:val="21"/>
          <w:szCs w:val="21"/>
        </w:rPr>
      </w:pPr>
      <w:r>
        <w:rPr>
          <w:rFonts w:hint="eastAsia" w:asciiTheme="minorEastAsia" w:hAnsiTheme="minorEastAsia" w:eastAsiaTheme="minorEastAsia" w:cstheme="minorEastAsia"/>
          <w:bCs/>
          <w:spacing w:val="-4"/>
          <w:sz w:val="21"/>
          <w:szCs w:val="21"/>
        </w:rPr>
        <w:t>价格分采用低价优先法计算，即满足招标文件要求且投标报价最低的投标报价为评标基准价，其得分为满分35分。其他投标人的价格分按照下列公式计算：</w:t>
      </w:r>
    </w:p>
    <w:p>
      <w:pPr>
        <w:spacing w:before="120" w:beforeLines="50" w:after="120"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价格分=（评标基准价/</w:t>
      </w:r>
      <w:r>
        <w:rPr>
          <w:rFonts w:hint="eastAsia" w:asciiTheme="minorEastAsia" w:hAnsiTheme="minorEastAsia" w:eastAsiaTheme="minorEastAsia" w:cstheme="minorEastAsia"/>
          <w:bCs/>
          <w:spacing w:val="-4"/>
          <w:sz w:val="21"/>
          <w:szCs w:val="21"/>
        </w:rPr>
        <w:t>投标报价</w:t>
      </w:r>
      <w:r>
        <w:rPr>
          <w:rFonts w:hint="eastAsia" w:asciiTheme="minorEastAsia" w:hAnsiTheme="minorEastAsia" w:eastAsiaTheme="minorEastAsia" w:cstheme="minorEastAsia"/>
          <w:sz w:val="21"/>
          <w:szCs w:val="21"/>
        </w:rPr>
        <w:t>）×35%×100</w:t>
      </w:r>
    </w:p>
    <w:p>
      <w:pPr>
        <w:numPr>
          <w:ilvl w:val="0"/>
          <w:numId w:val="2"/>
        </w:numPr>
        <w:ind w:firstLine="422" w:firstLineChars="200"/>
        <w:jc w:val="left"/>
        <w:rPr>
          <w:sz w:val="21"/>
          <w:szCs w:val="21"/>
        </w:rPr>
      </w:pPr>
      <w:r>
        <w:rPr>
          <w:rFonts w:hint="eastAsia" w:asciiTheme="minorEastAsia" w:hAnsiTheme="minorEastAsia" w:eastAsiaTheme="minorEastAsia" w:cstheme="minorEastAsia"/>
          <w:b/>
          <w:bCs w:val="0"/>
          <w:sz w:val="21"/>
          <w:szCs w:val="21"/>
          <w:lang w:val="en-US" w:eastAsia="zh-CN"/>
        </w:rPr>
        <w:t>总分：</w:t>
      </w:r>
      <w:r>
        <w:rPr>
          <w:rFonts w:hint="eastAsia" w:asciiTheme="minorEastAsia" w:hAnsiTheme="minorEastAsia" w:eastAsiaTheme="minorEastAsia" w:cstheme="minorEastAsia"/>
          <w:sz w:val="21"/>
          <w:szCs w:val="21"/>
        </w:rPr>
        <w:t>投标人的综合得分为以上商务技术分及价格分之和</w:t>
      </w:r>
      <w:r>
        <w:rPr>
          <w:sz w:val="21"/>
          <w:szCs w:val="21"/>
        </w:rPr>
        <w:t>。</w:t>
      </w:r>
    </w:p>
    <w:p>
      <w:pPr>
        <w:widowControl w:val="0"/>
        <w:numPr>
          <w:ilvl w:val="0"/>
          <w:numId w:val="0"/>
        </w:numPr>
        <w:jc w:val="left"/>
        <w:rPr>
          <w:sz w:val="21"/>
          <w:szCs w:val="21"/>
        </w:rPr>
      </w:pPr>
    </w:p>
    <w:p>
      <w:pPr>
        <w:widowControl w:val="0"/>
        <w:numPr>
          <w:ilvl w:val="0"/>
          <w:numId w:val="0"/>
        </w:numPr>
        <w:jc w:val="left"/>
        <w:rPr>
          <w:sz w:val="21"/>
          <w:szCs w:val="21"/>
        </w:rPr>
      </w:pPr>
    </w:p>
    <w:p>
      <w:pPr>
        <w:widowControl w:val="0"/>
        <w:numPr>
          <w:ilvl w:val="0"/>
          <w:numId w:val="0"/>
        </w:numPr>
        <w:jc w:val="left"/>
        <w:rPr>
          <w:sz w:val="21"/>
          <w:szCs w:val="21"/>
        </w:rPr>
      </w:pPr>
    </w:p>
    <w:p>
      <w:pPr>
        <w:widowControl w:val="0"/>
        <w:numPr>
          <w:ilvl w:val="0"/>
          <w:numId w:val="0"/>
        </w:numPr>
        <w:jc w:val="left"/>
        <w:rPr>
          <w:sz w:val="21"/>
          <w:szCs w:val="21"/>
        </w:rPr>
      </w:pPr>
    </w:p>
    <w:p>
      <w:pPr>
        <w:widowControl w:val="0"/>
        <w:numPr>
          <w:ilvl w:val="0"/>
          <w:numId w:val="0"/>
        </w:numPr>
        <w:jc w:val="left"/>
        <w:rPr>
          <w:sz w:val="21"/>
          <w:szCs w:val="21"/>
        </w:rPr>
      </w:pPr>
    </w:p>
    <w:p>
      <w:pPr>
        <w:pStyle w:val="9"/>
        <w:keepNext w:val="0"/>
        <w:keepLines w:val="0"/>
        <w:widowControl/>
        <w:numPr>
          <w:ilvl w:val="0"/>
          <w:numId w:val="0"/>
        </w:numPr>
        <w:suppressLineNumbers w:val="0"/>
        <w:spacing w:before="255" w:beforeAutospacing="0" w:after="255" w:afterAutospacing="0" w:line="300" w:lineRule="atLeast"/>
        <w:ind w:leftChars="0" w:right="0" w:rightChars="0"/>
        <w:jc w:val="both"/>
        <w:rPr>
          <w:rStyle w:val="14"/>
          <w:rFonts w:hint="default" w:eastAsia="宋体" w:asciiTheme="minorEastAsia" w:hAnsiTheme="minorEastAsia" w:cstheme="minorEastAsia"/>
          <w:b/>
          <w:bCs/>
          <w:kern w:val="2"/>
          <w:sz w:val="21"/>
          <w:szCs w:val="21"/>
          <w:lang w:val="en-US" w:eastAsia="zh-CN" w:bidi="ar-SA"/>
        </w:rPr>
      </w:pPr>
      <w:r>
        <w:rPr>
          <w:rStyle w:val="14"/>
          <w:rFonts w:hint="eastAsia" w:eastAsia="宋体" w:asciiTheme="minorEastAsia" w:hAnsiTheme="minorEastAsia" w:cstheme="minorEastAsia"/>
          <w:b/>
          <w:bCs/>
          <w:kern w:val="2"/>
          <w:sz w:val="21"/>
          <w:szCs w:val="21"/>
          <w:lang w:val="en-US" w:eastAsia="zh-CN" w:bidi="ar-SA"/>
        </w:rPr>
        <w:t>九、我院正式合同版本</w:t>
      </w:r>
    </w:p>
    <w:p>
      <w:pPr>
        <w:pStyle w:val="10"/>
        <w:rPr>
          <w:rFonts w:hint="eastAsia"/>
          <w:sz w:val="30"/>
          <w:szCs w:val="30"/>
        </w:rPr>
      </w:pPr>
    </w:p>
    <w:p>
      <w:pPr>
        <w:pStyle w:val="10"/>
        <w:rPr>
          <w:sz w:val="44"/>
        </w:rPr>
      </w:pPr>
      <w:r>
        <w:rPr>
          <w:rFonts w:hint="eastAsia"/>
          <w:sz w:val="44"/>
        </w:rPr>
        <w:t>温州市中医院医疗设备采购合同</w:t>
      </w:r>
    </w:p>
    <w:p>
      <w:pPr>
        <w:jc w:val="right"/>
        <w:rPr>
          <w:w w:val="95"/>
          <w:sz w:val="22"/>
          <w:szCs w:val="22"/>
        </w:rPr>
      </w:pPr>
      <w:r>
        <w:rPr>
          <w:rFonts w:hint="eastAsia"/>
          <w:w w:val="95"/>
        </w:rPr>
        <w:t xml:space="preserve">                                         </w:t>
      </w:r>
      <w:r>
        <w:rPr>
          <w:rFonts w:hint="eastAsia"/>
          <w:w w:val="95"/>
          <w:sz w:val="22"/>
          <w:szCs w:val="22"/>
        </w:rPr>
        <w:t xml:space="preserve"> </w:t>
      </w:r>
      <w:r>
        <w:rPr>
          <w:w w:val="95"/>
          <w:sz w:val="22"/>
          <w:szCs w:val="22"/>
        </w:rPr>
        <w:t>合同编号：</w:t>
      </w:r>
      <w:r>
        <w:rPr>
          <w:rFonts w:hint="eastAsia"/>
          <w:w w:val="95"/>
          <w:sz w:val="22"/>
          <w:szCs w:val="22"/>
        </w:rPr>
        <w:t xml:space="preserve">          </w:t>
      </w:r>
    </w:p>
    <w:p>
      <w:pPr>
        <w:spacing w:before="107" w:line="220" w:lineRule="atLeast"/>
        <w:ind w:left="105"/>
        <w:rPr>
          <w:b/>
          <w:sz w:val="22"/>
          <w:szCs w:val="22"/>
        </w:rPr>
      </w:pPr>
      <w:r>
        <w:rPr>
          <w:rFonts w:hint="eastAsia"/>
          <w:b/>
          <w:sz w:val="22"/>
          <w:szCs w:val="22"/>
        </w:rPr>
        <w:t>甲方（采购单位）：温州市中医院</w:t>
      </w:r>
    </w:p>
    <w:p>
      <w:pPr>
        <w:spacing w:before="107" w:line="220" w:lineRule="atLeast"/>
        <w:ind w:left="105"/>
        <w:rPr>
          <w:b/>
          <w:sz w:val="22"/>
          <w:szCs w:val="22"/>
        </w:rPr>
      </w:pPr>
      <w:r>
        <w:rPr>
          <w:b/>
          <w:sz w:val="22"/>
          <w:szCs w:val="22"/>
        </w:rPr>
        <w:t>乙方（供应商）：</w:t>
      </w:r>
      <w:r>
        <w:rPr>
          <w:rFonts w:hint="eastAsia"/>
          <w:b/>
          <w:sz w:val="22"/>
          <w:szCs w:val="22"/>
        </w:rPr>
        <w:t xml:space="preserve"> </w:t>
      </w:r>
    </w:p>
    <w:p>
      <w:pPr>
        <w:pStyle w:val="4"/>
        <w:spacing w:before="106"/>
        <w:ind w:left="111" w:right="209" w:firstLine="550" w:firstLineChars="250"/>
        <w:rPr>
          <w:color w:val="000000" w:themeColor="text1"/>
          <w:sz w:val="22"/>
          <w:szCs w:val="22"/>
          <w14:textFill>
            <w14:solidFill>
              <w14:schemeClr w14:val="tx1"/>
            </w14:solidFill>
          </w14:textFill>
        </w:rPr>
      </w:pPr>
      <w:r>
        <w:rPr>
          <w:sz w:val="22"/>
          <w:szCs w:val="22"/>
        </w:rPr>
        <w:t>根据《中华人民共</w:t>
      </w:r>
      <w:r>
        <w:rPr>
          <w:color w:val="000000" w:themeColor="text1"/>
          <w:sz w:val="22"/>
          <w:szCs w:val="22"/>
          <w14:textFill>
            <w14:solidFill>
              <w14:schemeClr w14:val="tx1"/>
            </w14:solidFill>
          </w14:textFill>
        </w:rPr>
        <w:t>和国政府采购法》、《中华人民共和国</w:t>
      </w:r>
      <w:r>
        <w:rPr>
          <w:rFonts w:hint="eastAsia"/>
          <w:color w:val="000000" w:themeColor="text1"/>
          <w:sz w:val="22"/>
          <w:szCs w:val="22"/>
          <w14:textFill>
            <w14:solidFill>
              <w14:schemeClr w14:val="tx1"/>
            </w14:solidFill>
          </w14:textFill>
        </w:rPr>
        <w:t>民法典</w:t>
      </w:r>
      <w:r>
        <w:rPr>
          <w:color w:val="000000" w:themeColor="text1"/>
          <w:sz w:val="22"/>
          <w:szCs w:val="22"/>
          <w14:textFill>
            <w14:solidFill>
              <w14:schemeClr w14:val="tx1"/>
            </w14:solidFill>
          </w14:textFill>
        </w:rPr>
        <w:t>》等相关法律法规，以及</w:t>
      </w:r>
      <w:r>
        <w:rPr>
          <w:rFonts w:hint="eastAsia"/>
          <w:color w:val="000000" w:themeColor="text1"/>
          <w:sz w:val="22"/>
          <w:szCs w:val="22"/>
          <w:u w:val="single"/>
          <w:lang w:val="en-US" w:eastAsia="zh-CN"/>
          <w14:textFill>
            <w14:solidFill>
              <w14:schemeClr w14:val="tx1"/>
            </w14:solidFill>
          </w14:textFill>
        </w:rPr>
        <w:t xml:space="preserve">         项</w:t>
      </w:r>
      <w:r>
        <w:rPr>
          <w:color w:val="000000" w:themeColor="text1"/>
          <w:sz w:val="22"/>
          <w:szCs w:val="22"/>
          <w14:textFill>
            <w14:solidFill>
              <w14:schemeClr w14:val="tx1"/>
            </w14:solidFill>
          </w14:textFill>
        </w:rPr>
        <w:t>目</w:t>
      </w:r>
      <w:r>
        <w:rPr>
          <w:rFonts w:hint="eastAsia"/>
          <w:color w:val="000000" w:themeColor="text1"/>
          <w:sz w:val="22"/>
          <w:szCs w:val="22"/>
          <w:u w:val="single"/>
          <w:lang w:val="en-US"/>
          <w14:textFill>
            <w14:solidFill>
              <w14:schemeClr w14:val="tx1"/>
            </w14:solidFill>
          </w14:textFill>
        </w:rPr>
        <w:t>(招标</w:t>
      </w:r>
      <w:r>
        <w:rPr>
          <w:color w:val="000000" w:themeColor="text1"/>
          <w:sz w:val="22"/>
          <w:szCs w:val="22"/>
          <w:u w:val="single"/>
          <w:lang w:val="en-US"/>
          <w14:textFill>
            <w14:solidFill>
              <w14:schemeClr w14:val="tx1"/>
            </w14:solidFill>
          </w14:textFill>
        </w:rPr>
        <w:t>编号</w:t>
      </w:r>
      <w:r>
        <w:rPr>
          <w:rFonts w:hint="eastAsia"/>
          <w:color w:val="000000" w:themeColor="text1"/>
          <w:sz w:val="22"/>
          <w:szCs w:val="22"/>
          <w:u w:val="single"/>
          <w:lang w:val="en-US" w:eastAsia="zh-CN"/>
          <w14:textFill>
            <w14:solidFill>
              <w14:schemeClr w14:val="tx1"/>
            </w14:solidFill>
          </w14:textFill>
        </w:rPr>
        <w:t xml:space="preserve">:      </w:t>
      </w:r>
      <w:r>
        <w:rPr>
          <w:rFonts w:hint="eastAsia"/>
          <w:color w:val="000000" w:themeColor="text1"/>
          <w:sz w:val="22"/>
          <w:szCs w:val="22"/>
          <w:u w:val="single"/>
          <w:lang w:val="en-US"/>
          <w14:textFill>
            <w14:solidFill>
              <w14:schemeClr w14:val="tx1"/>
            </w14:solidFill>
          </w14:textFill>
        </w:rPr>
        <w:t>)</w:t>
      </w:r>
      <w:r>
        <w:rPr>
          <w:color w:val="000000" w:themeColor="text1"/>
          <w:sz w:val="22"/>
          <w:szCs w:val="22"/>
          <w14:textFill>
            <w14:solidFill>
              <w14:schemeClr w14:val="tx1"/>
            </w14:solidFill>
          </w14:textFill>
        </w:rPr>
        <w:t>（以下简称</w:t>
      </w:r>
      <w:r>
        <w:rPr>
          <w:rFonts w:ascii="Verdana" w:hAnsi="Verdana" w:eastAsia="Verdan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项目</w:t>
      </w:r>
      <w:r>
        <w:rPr>
          <w:rFonts w:ascii="Verdana" w:hAnsi="Verdana" w:eastAsia="Verdan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）招标文件、中标供应商投标文件、项目采购协议，或入围承诺书，甲乙双方经协商一致，签署本合同。</w:t>
      </w:r>
    </w:p>
    <w:p>
      <w:pPr>
        <w:pStyle w:val="3"/>
        <w:numPr>
          <w:ilvl w:val="0"/>
          <w:numId w:val="0"/>
        </w:numPr>
        <w:spacing w:before="84" w:after="13"/>
        <w:ind w:left="105" w:leftChars="0"/>
        <w:rPr>
          <w:color w:val="000000" w:themeColor="text1"/>
          <w:sz w:val="22"/>
          <w:szCs w:val="22"/>
          <w14:textFill>
            <w14:solidFill>
              <w14:schemeClr w14:val="tx1"/>
            </w14:solidFill>
          </w14:textFill>
        </w:rPr>
      </w:pPr>
      <w:r>
        <w:rPr>
          <w:rFonts w:hint="eastAsia"/>
          <w:color w:val="000000" w:themeColor="text1"/>
          <w:sz w:val="22"/>
          <w:szCs w:val="22"/>
          <w:lang w:eastAsia="zh-CN"/>
          <w14:textFill>
            <w14:solidFill>
              <w14:schemeClr w14:val="tx1"/>
            </w14:solidFill>
          </w14:textFill>
        </w:rPr>
        <w:t>一、</w:t>
      </w:r>
      <w:r>
        <w:rPr>
          <w:color w:val="000000" w:themeColor="text1"/>
          <w:sz w:val="22"/>
          <w:szCs w:val="22"/>
          <w14:textFill>
            <w14:solidFill>
              <w14:schemeClr w14:val="tx1"/>
            </w14:solidFill>
          </w14:textFill>
        </w:rPr>
        <w:t>货物内容及合同价格</w:t>
      </w:r>
    </w:p>
    <w:tbl>
      <w:tblPr>
        <w:tblStyle w:val="11"/>
        <w:tblW w:w="9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3"/>
        <w:gridCol w:w="1418"/>
        <w:gridCol w:w="1559"/>
        <w:gridCol w:w="2126"/>
        <w:gridCol w:w="993"/>
        <w:gridCol w:w="13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 w:hRule="atLeast"/>
          <w:jc w:val="center"/>
        </w:trPr>
        <w:tc>
          <w:tcPr>
            <w:tcW w:w="1813" w:type="dxa"/>
            <w:vAlign w:val="center"/>
          </w:tcPr>
          <w:p>
            <w:pPr>
              <w:pStyle w:val="18"/>
              <w:spacing w:before="116"/>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货物名称</w:t>
            </w:r>
          </w:p>
        </w:tc>
        <w:tc>
          <w:tcPr>
            <w:tcW w:w="1418" w:type="dxa"/>
            <w:vAlign w:val="center"/>
          </w:tcPr>
          <w:p>
            <w:pPr>
              <w:pStyle w:val="18"/>
              <w:spacing w:before="116"/>
              <w:ind w:right="276"/>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品牌</w:t>
            </w:r>
          </w:p>
        </w:tc>
        <w:tc>
          <w:tcPr>
            <w:tcW w:w="1559" w:type="dxa"/>
            <w:vAlign w:val="center"/>
          </w:tcPr>
          <w:p>
            <w:pPr>
              <w:pStyle w:val="18"/>
              <w:spacing w:before="116"/>
              <w:ind w:left="287" w:right="276"/>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型号规格</w:t>
            </w:r>
          </w:p>
        </w:tc>
        <w:tc>
          <w:tcPr>
            <w:tcW w:w="2126" w:type="dxa"/>
            <w:vAlign w:val="center"/>
          </w:tcPr>
          <w:p>
            <w:pPr>
              <w:pStyle w:val="18"/>
              <w:spacing w:before="116"/>
              <w:ind w:left="71" w:right="61"/>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配置要求</w:t>
            </w:r>
          </w:p>
        </w:tc>
        <w:tc>
          <w:tcPr>
            <w:tcW w:w="993" w:type="dxa"/>
            <w:vAlign w:val="center"/>
          </w:tcPr>
          <w:p>
            <w:pPr>
              <w:pStyle w:val="18"/>
              <w:spacing w:before="116"/>
              <w:ind w:left="71" w:right="61"/>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数量</w:t>
            </w:r>
          </w:p>
        </w:tc>
        <w:tc>
          <w:tcPr>
            <w:tcW w:w="1353" w:type="dxa"/>
            <w:vAlign w:val="center"/>
          </w:tcPr>
          <w:p>
            <w:pPr>
              <w:pStyle w:val="18"/>
              <w:spacing w:before="116"/>
              <w:ind w:left="71" w:right="62"/>
              <w:jc w:val="center"/>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1813" w:type="dxa"/>
            <w:vAlign w:val="center"/>
          </w:tcPr>
          <w:p>
            <w:pPr>
              <w:pStyle w:val="18"/>
              <w:jc w:val="center"/>
              <w:rPr>
                <w:b/>
                <w:color w:val="000000" w:themeColor="text1"/>
                <w:sz w:val="22"/>
                <w:szCs w:val="22"/>
                <w:lang w:val="en-US"/>
                <w14:textFill>
                  <w14:solidFill>
                    <w14:schemeClr w14:val="tx1"/>
                  </w14:solidFill>
                </w14:textFill>
              </w:rPr>
            </w:pPr>
          </w:p>
        </w:tc>
        <w:tc>
          <w:tcPr>
            <w:tcW w:w="1418" w:type="dxa"/>
            <w:vAlign w:val="center"/>
          </w:tcPr>
          <w:p>
            <w:pPr>
              <w:pStyle w:val="18"/>
              <w:jc w:val="center"/>
              <w:rPr>
                <w:b/>
                <w:color w:val="000000" w:themeColor="text1"/>
                <w:sz w:val="22"/>
                <w:szCs w:val="22"/>
                <w:lang w:val="en-US"/>
                <w14:textFill>
                  <w14:solidFill>
                    <w14:schemeClr w14:val="tx1"/>
                  </w14:solidFill>
                </w14:textFill>
              </w:rPr>
            </w:pPr>
          </w:p>
        </w:tc>
        <w:tc>
          <w:tcPr>
            <w:tcW w:w="1559" w:type="dxa"/>
            <w:vAlign w:val="center"/>
          </w:tcPr>
          <w:p>
            <w:pPr>
              <w:pStyle w:val="18"/>
              <w:jc w:val="center"/>
              <w:rPr>
                <w:b/>
                <w:color w:val="000000" w:themeColor="text1"/>
                <w:sz w:val="22"/>
                <w:szCs w:val="22"/>
                <w:lang w:val="en-US"/>
                <w14:textFill>
                  <w14:solidFill>
                    <w14:schemeClr w14:val="tx1"/>
                  </w14:solidFill>
                </w14:textFill>
              </w:rPr>
            </w:pPr>
          </w:p>
        </w:tc>
        <w:tc>
          <w:tcPr>
            <w:tcW w:w="2126" w:type="dxa"/>
            <w:vAlign w:val="center"/>
          </w:tcPr>
          <w:p>
            <w:pPr>
              <w:pStyle w:val="18"/>
              <w:jc w:val="center"/>
              <w:rPr>
                <w:rFonts w:ascii="Verdana"/>
                <w:color w:val="000000" w:themeColor="text1"/>
                <w:sz w:val="22"/>
                <w:szCs w:val="22"/>
                <w14:textFill>
                  <w14:solidFill>
                    <w14:schemeClr w14:val="tx1"/>
                  </w14:solidFill>
                </w14:textFill>
              </w:rPr>
            </w:pPr>
          </w:p>
        </w:tc>
        <w:tc>
          <w:tcPr>
            <w:tcW w:w="993" w:type="dxa"/>
            <w:vAlign w:val="center"/>
          </w:tcPr>
          <w:p>
            <w:pPr>
              <w:pStyle w:val="18"/>
              <w:jc w:val="center"/>
              <w:rPr>
                <w:rFonts w:ascii="Verdana"/>
                <w:color w:val="000000" w:themeColor="text1"/>
                <w:sz w:val="22"/>
                <w:szCs w:val="22"/>
                <w14:textFill>
                  <w14:solidFill>
                    <w14:schemeClr w14:val="tx1"/>
                  </w14:solidFill>
                </w14:textFill>
              </w:rPr>
            </w:pPr>
          </w:p>
        </w:tc>
        <w:tc>
          <w:tcPr>
            <w:tcW w:w="1353" w:type="dxa"/>
            <w:vAlign w:val="center"/>
          </w:tcPr>
          <w:p>
            <w:pPr>
              <w:pStyle w:val="18"/>
              <w:jc w:val="center"/>
              <w:rPr>
                <w:rFonts w:ascii="Verdana"/>
                <w:color w:val="000000" w:themeColor="text1"/>
                <w:sz w:val="22"/>
                <w:szCs w:val="2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1813" w:type="dxa"/>
            <w:vAlign w:val="center"/>
          </w:tcPr>
          <w:p>
            <w:pPr>
              <w:pStyle w:val="18"/>
              <w:jc w:val="center"/>
              <w:rPr>
                <w:b/>
                <w:color w:val="000000" w:themeColor="text1"/>
                <w:sz w:val="22"/>
                <w:szCs w:val="22"/>
                <w:lang w:val="en-US"/>
                <w14:textFill>
                  <w14:solidFill>
                    <w14:schemeClr w14:val="tx1"/>
                  </w14:solidFill>
                </w14:textFill>
              </w:rPr>
            </w:pPr>
          </w:p>
        </w:tc>
        <w:tc>
          <w:tcPr>
            <w:tcW w:w="1418" w:type="dxa"/>
            <w:vAlign w:val="center"/>
          </w:tcPr>
          <w:p>
            <w:pPr>
              <w:pStyle w:val="18"/>
              <w:jc w:val="center"/>
              <w:rPr>
                <w:b/>
                <w:color w:val="000000" w:themeColor="text1"/>
                <w:sz w:val="22"/>
                <w:szCs w:val="22"/>
                <w:lang w:val="en-US"/>
                <w14:textFill>
                  <w14:solidFill>
                    <w14:schemeClr w14:val="tx1"/>
                  </w14:solidFill>
                </w14:textFill>
              </w:rPr>
            </w:pPr>
          </w:p>
        </w:tc>
        <w:tc>
          <w:tcPr>
            <w:tcW w:w="1559" w:type="dxa"/>
            <w:vAlign w:val="center"/>
          </w:tcPr>
          <w:p>
            <w:pPr>
              <w:pStyle w:val="18"/>
              <w:jc w:val="center"/>
              <w:rPr>
                <w:b/>
                <w:color w:val="000000" w:themeColor="text1"/>
                <w:sz w:val="22"/>
                <w:szCs w:val="22"/>
                <w:lang w:val="en-US"/>
                <w14:textFill>
                  <w14:solidFill>
                    <w14:schemeClr w14:val="tx1"/>
                  </w14:solidFill>
                </w14:textFill>
              </w:rPr>
            </w:pPr>
          </w:p>
        </w:tc>
        <w:tc>
          <w:tcPr>
            <w:tcW w:w="2126" w:type="dxa"/>
            <w:vAlign w:val="center"/>
          </w:tcPr>
          <w:p>
            <w:pPr>
              <w:pStyle w:val="18"/>
              <w:jc w:val="center"/>
              <w:rPr>
                <w:rFonts w:ascii="Verdana"/>
                <w:color w:val="000000" w:themeColor="text1"/>
                <w:sz w:val="22"/>
                <w:szCs w:val="22"/>
                <w14:textFill>
                  <w14:solidFill>
                    <w14:schemeClr w14:val="tx1"/>
                  </w14:solidFill>
                </w14:textFill>
              </w:rPr>
            </w:pPr>
          </w:p>
        </w:tc>
        <w:tc>
          <w:tcPr>
            <w:tcW w:w="993" w:type="dxa"/>
            <w:vAlign w:val="center"/>
          </w:tcPr>
          <w:p>
            <w:pPr>
              <w:pStyle w:val="18"/>
              <w:jc w:val="center"/>
              <w:rPr>
                <w:rFonts w:ascii="Verdana"/>
                <w:color w:val="000000" w:themeColor="text1"/>
                <w:sz w:val="22"/>
                <w:szCs w:val="22"/>
                <w14:textFill>
                  <w14:solidFill>
                    <w14:schemeClr w14:val="tx1"/>
                  </w14:solidFill>
                </w14:textFill>
              </w:rPr>
            </w:pPr>
          </w:p>
        </w:tc>
        <w:tc>
          <w:tcPr>
            <w:tcW w:w="1353" w:type="dxa"/>
            <w:vAlign w:val="center"/>
          </w:tcPr>
          <w:p>
            <w:pPr>
              <w:pStyle w:val="18"/>
              <w:jc w:val="center"/>
              <w:rPr>
                <w:rFonts w:ascii="Verdana"/>
                <w:color w:val="000000" w:themeColor="text1"/>
                <w:sz w:val="22"/>
                <w:szCs w:val="2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jc w:val="center"/>
        </w:trPr>
        <w:tc>
          <w:tcPr>
            <w:tcW w:w="9262" w:type="dxa"/>
            <w:gridSpan w:val="6"/>
          </w:tcPr>
          <w:p>
            <w:pPr>
              <w:pStyle w:val="18"/>
              <w:spacing w:before="116"/>
              <w:ind w:left="0" w:leftChars="0" w:firstLine="0" w:firstLineChars="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合同总价大写</w:t>
            </w:r>
            <w:r>
              <w:rPr>
                <w:rFonts w:hint="eastAsia"/>
                <w:color w:val="000000" w:themeColor="text1"/>
                <w:sz w:val="22"/>
                <w:szCs w:val="22"/>
                <w:lang w:val="en-US"/>
                <w14:textFill>
                  <w14:solidFill>
                    <w14:schemeClr w14:val="tx1"/>
                  </w14:solidFill>
                </w14:textFill>
              </w:rPr>
              <w:t xml:space="preserve">: </w:t>
            </w:r>
            <w:r>
              <w:rPr>
                <w:rFonts w:hint="eastAsia"/>
                <w:color w:val="000000" w:themeColor="text1"/>
                <w:sz w:val="22"/>
                <w:szCs w:val="22"/>
                <w14:textFill>
                  <w14:solidFill>
                    <w14:schemeClr w14:val="tx1"/>
                  </w14:solidFill>
                </w14:textFill>
              </w:rPr>
              <w:t xml:space="preserve">元整                           </w:t>
            </w:r>
            <w:r>
              <w:rPr>
                <w:color w:val="000000" w:themeColor="text1"/>
                <w:sz w:val="22"/>
                <w:szCs w:val="22"/>
                <w14:textFill>
                  <w14:solidFill>
                    <w14:schemeClr w14:val="tx1"/>
                  </w14:solidFill>
                </w14:textFill>
              </w:rPr>
              <w:t>小写：￥</w:t>
            </w:r>
          </w:p>
        </w:tc>
      </w:tr>
    </w:tbl>
    <w:p>
      <w:pPr>
        <w:ind w:right="1636"/>
        <w:jc w:val="righ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金额单位：元</w:t>
      </w:r>
    </w:p>
    <w:p>
      <w:pPr>
        <w:pStyle w:val="4"/>
        <w:spacing w:line="0" w:lineRule="atLeast"/>
        <w:ind w:right="21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注：1、商品型号、数量、配置要求及使用单位地址等详见附件清单</w:t>
      </w:r>
    </w:p>
    <w:p>
      <w:pPr>
        <w:pStyle w:val="4"/>
        <w:spacing w:line="0" w:lineRule="atLeast"/>
        <w:ind w:left="105" w:right="21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 xml:space="preserve">   2、以上合同总价包含货物到达</w:t>
      </w:r>
      <w:r>
        <w:rPr>
          <w:rFonts w:hint="eastAsia"/>
          <w:color w:val="000000" w:themeColor="text1"/>
          <w:sz w:val="22"/>
          <w:szCs w:val="22"/>
          <w:lang w:eastAsia="zh-CN"/>
          <w14:textFill>
            <w14:solidFill>
              <w14:schemeClr w14:val="tx1"/>
            </w14:solidFill>
          </w14:textFill>
        </w:rPr>
        <w:t>甲方</w:t>
      </w:r>
      <w:r>
        <w:rPr>
          <w:rFonts w:hint="eastAsia"/>
          <w:color w:val="000000" w:themeColor="text1"/>
          <w:sz w:val="22"/>
          <w:szCs w:val="22"/>
          <w14:textFill>
            <w14:solidFill>
              <w14:schemeClr w14:val="tx1"/>
            </w14:solidFill>
          </w14:textFill>
        </w:rPr>
        <w:t>并能正常使用所需的一切费用，包括但不限于包装费、运输费、装卸费、保险费、安装调试费、技术服务费、培训费以及保修费、税费等。</w:t>
      </w:r>
    </w:p>
    <w:p>
      <w:pPr>
        <w:pStyle w:val="3"/>
        <w:spacing w:before="85"/>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二、技术资料</w:t>
      </w:r>
    </w:p>
    <w:p>
      <w:pPr>
        <w:pStyle w:val="19"/>
        <w:numPr>
          <w:ilvl w:val="0"/>
          <w:numId w:val="0"/>
        </w:numPr>
        <w:tabs>
          <w:tab w:val="left" w:pos="522"/>
        </w:tabs>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乙方应按招标文件规定的时间向甲方提供使用货物的有关技术资料。</w:t>
      </w:r>
    </w:p>
    <w:p>
      <w:pPr>
        <w:pStyle w:val="19"/>
        <w:numPr>
          <w:ilvl w:val="0"/>
          <w:numId w:val="0"/>
        </w:numPr>
        <w:tabs>
          <w:tab w:val="left" w:pos="522"/>
        </w:tabs>
        <w:ind w:left="351" w:leftChars="0" w:right="101" w:righ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spacing w:before="8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三、知识产权</w:t>
      </w:r>
    </w:p>
    <w:p>
      <w:pPr>
        <w:pStyle w:val="4"/>
        <w:spacing w:before="22"/>
        <w:ind w:left="351"/>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乙方应保证所提供的货物或其任何一部分均不会侵犯任何第三方的知识产权。</w:t>
      </w:r>
    </w:p>
    <w:p>
      <w:pPr>
        <w:pStyle w:val="3"/>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四、产权担保</w:t>
      </w:r>
    </w:p>
    <w:p>
      <w:pPr>
        <w:pStyle w:val="4"/>
        <w:spacing w:before="23"/>
        <w:ind w:left="351"/>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乙方保证所交付的货物的所有权完全属于乙方且无任何抵押、查封等产权瑕疵。</w:t>
      </w:r>
    </w:p>
    <w:p>
      <w:pPr>
        <w:pStyle w:val="3"/>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五、转包或分包</w:t>
      </w:r>
    </w:p>
    <w:p>
      <w:pPr>
        <w:pStyle w:val="4"/>
        <w:spacing w:before="22"/>
        <w:ind w:left="351"/>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本合同范围的货物，应由乙方直接供应，不得转让他人供应，否则，甲方有权解除合同，没收质量保证金并追究乙方的违约责任。</w:t>
      </w:r>
    </w:p>
    <w:p>
      <w:pPr>
        <w:pStyle w:val="3"/>
        <w:spacing w:before="10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六、质保期和质保金</w:t>
      </w:r>
    </w:p>
    <w:p>
      <w:pPr>
        <w:pStyle w:val="19"/>
        <w:numPr>
          <w:ilvl w:val="0"/>
          <w:numId w:val="0"/>
        </w:numPr>
        <w:tabs>
          <w:tab w:val="left" w:pos="522"/>
        </w:tabs>
        <w:ind w:left="351" w:leftChars="0"/>
        <w:rPr>
          <w:color w:val="000000" w:themeColor="text1"/>
          <w:sz w:val="22"/>
          <w:szCs w:val="22"/>
          <w:highlight w:val="none"/>
          <w14:textFill>
            <w14:solidFill>
              <w14:schemeClr w14:val="tx1"/>
            </w14:solidFill>
          </w14:textFill>
        </w:rPr>
      </w:pPr>
      <w:r>
        <w:rPr>
          <w:rFonts w:hint="eastAsia"/>
          <w:color w:val="000000" w:themeColor="text1"/>
          <w:spacing w:val="-6"/>
          <w:sz w:val="22"/>
          <w:szCs w:val="22"/>
          <w:lang w:val="en-US" w:eastAsia="zh-CN"/>
          <w14:textFill>
            <w14:solidFill>
              <w14:schemeClr w14:val="tx1"/>
            </w14:solidFill>
          </w14:textFill>
        </w:rPr>
        <w:t>1、</w:t>
      </w:r>
      <w:r>
        <w:rPr>
          <w:color w:val="000000" w:themeColor="text1"/>
          <w:spacing w:val="-6"/>
          <w:sz w:val="22"/>
          <w:szCs w:val="22"/>
          <w:highlight w:val="none"/>
          <w14:textFill>
            <w14:solidFill>
              <w14:schemeClr w14:val="tx1"/>
            </w14:solidFill>
          </w14:textFill>
        </w:rPr>
        <w:t>质保期为</w:t>
      </w:r>
      <w:r>
        <w:rPr>
          <w:rFonts w:hint="eastAsia"/>
          <w:color w:val="000000" w:themeColor="text1"/>
          <w:spacing w:val="-6"/>
          <w:sz w:val="22"/>
          <w:szCs w:val="22"/>
          <w:highlight w:val="none"/>
          <w:u w:val="single"/>
          <w:lang w:val="en-US"/>
          <w14:textFill>
            <w14:solidFill>
              <w14:schemeClr w14:val="tx1"/>
            </w14:solidFill>
          </w14:textFill>
        </w:rPr>
        <w:t xml:space="preserve">    </w:t>
      </w:r>
      <w:r>
        <w:rPr>
          <w:rFonts w:hint="eastAsia"/>
          <w:color w:val="000000" w:themeColor="text1"/>
          <w:spacing w:val="-6"/>
          <w:sz w:val="22"/>
          <w:szCs w:val="22"/>
          <w:highlight w:val="none"/>
          <w:lang w:val="en-US"/>
          <w14:textFill>
            <w14:solidFill>
              <w14:schemeClr w14:val="tx1"/>
            </w14:solidFill>
          </w14:textFill>
        </w:rPr>
        <w:t>年</w:t>
      </w:r>
      <w:r>
        <w:rPr>
          <w:color w:val="000000" w:themeColor="text1"/>
          <w:sz w:val="22"/>
          <w:szCs w:val="22"/>
          <w:highlight w:val="none"/>
          <w14:textFill>
            <w14:solidFill>
              <w14:schemeClr w14:val="tx1"/>
            </w14:solidFill>
          </w14:textFill>
        </w:rPr>
        <w:t>。（自交货验收合格之日起计）</w:t>
      </w:r>
    </w:p>
    <w:p>
      <w:pPr>
        <w:pStyle w:val="19"/>
        <w:numPr>
          <w:ilvl w:val="0"/>
          <w:numId w:val="0"/>
        </w:numPr>
        <w:tabs>
          <w:tab w:val="left" w:pos="522"/>
          <w:tab w:val="left" w:pos="1347"/>
        </w:tabs>
        <w:spacing w:before="70"/>
        <w:ind w:left="351" w:leftChars="0"/>
        <w:rPr>
          <w:rFonts w:hint="eastAsia" w:ascii="Verdana" w:eastAsia="宋体"/>
          <w:strike/>
          <w:dstrike w:val="0"/>
          <w:color w:val="000000" w:themeColor="text1"/>
          <w:sz w:val="22"/>
          <w:szCs w:val="22"/>
          <w:highlight w:val="none"/>
          <w:lang w:val="en-US" w:eastAsia="zh-CN"/>
          <w14:textFill>
            <w14:solidFill>
              <w14:schemeClr w14:val="tx1"/>
            </w14:solidFill>
          </w14:textFill>
        </w:rPr>
      </w:pPr>
      <w:r>
        <w:rPr>
          <w:rFonts w:hint="eastAsia"/>
          <w:strike w:val="0"/>
          <w:dstrike w:val="0"/>
          <w:color w:val="000000" w:themeColor="text1"/>
          <w:sz w:val="22"/>
          <w:szCs w:val="22"/>
          <w:highlight w:val="none"/>
          <w:lang w:val="en-US" w:eastAsia="zh-CN"/>
          <w14:textFill>
            <w14:solidFill>
              <w14:schemeClr w14:val="tx1"/>
            </w14:solidFill>
          </w14:textFill>
        </w:rPr>
        <w:t>2、</w:t>
      </w:r>
      <w:r>
        <w:rPr>
          <w:strike w:val="0"/>
          <w:dstrike w:val="0"/>
          <w:color w:val="000000" w:themeColor="text1"/>
          <w:sz w:val="22"/>
          <w:szCs w:val="22"/>
          <w:highlight w:val="none"/>
          <w14:textFill>
            <w14:solidFill>
              <w14:schemeClr w14:val="tx1"/>
            </w14:solidFill>
          </w14:textFill>
        </w:rPr>
        <w:t>质保金</w:t>
      </w:r>
      <w:r>
        <w:rPr>
          <w:rFonts w:hint="eastAsia"/>
          <w:strike w:val="0"/>
          <w:dstrike w:val="0"/>
          <w:color w:val="000000" w:themeColor="text1"/>
          <w:sz w:val="22"/>
          <w:szCs w:val="22"/>
          <w:highlight w:val="none"/>
          <w:lang w:eastAsia="zh-CN"/>
          <w14:textFill>
            <w14:solidFill>
              <w14:schemeClr w14:val="tx1"/>
            </w14:solidFill>
          </w14:textFill>
        </w:rPr>
        <w:t>：</w:t>
      </w:r>
      <w:r>
        <w:rPr>
          <w:rFonts w:hint="eastAsia"/>
          <w:color w:val="000000" w:themeColor="text1"/>
          <w:spacing w:val="-6"/>
          <w:sz w:val="22"/>
          <w:szCs w:val="22"/>
          <w:highlight w:val="none"/>
          <w:u w:val="single"/>
          <w:lang w:val="en-US"/>
          <w14:textFill>
            <w14:solidFill>
              <w14:schemeClr w14:val="tx1"/>
            </w14:solidFill>
          </w14:textFill>
        </w:rPr>
        <w:t xml:space="preserve">    </w:t>
      </w:r>
    </w:p>
    <w:p>
      <w:pPr>
        <w:pStyle w:val="3"/>
        <w:spacing w:before="0"/>
        <w:rPr>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七、交货期、交货方式及交货地点</w:t>
      </w:r>
    </w:p>
    <w:p>
      <w:pPr>
        <w:pStyle w:val="19"/>
        <w:numPr>
          <w:ilvl w:val="0"/>
          <w:numId w:val="0"/>
        </w:numPr>
        <w:tabs>
          <w:tab w:val="left" w:pos="522"/>
        </w:tabs>
        <w:spacing w:before="22"/>
        <w:ind w:left="351" w:leftChars="0"/>
        <w:rPr>
          <w:rFonts w:hint="eastAsia" w:eastAsia="宋体"/>
          <w:color w:val="000000" w:themeColor="text1"/>
          <w:sz w:val="22"/>
          <w:szCs w:val="22"/>
          <w:highlight w:val="none"/>
          <w:lang w:eastAsia="zh-CN"/>
          <w14:textFill>
            <w14:solidFill>
              <w14:schemeClr w14:val="tx1"/>
            </w14:solidFill>
          </w14:textFill>
        </w:rPr>
      </w:pPr>
      <w:r>
        <w:rPr>
          <w:rFonts w:hint="eastAsia"/>
          <w:color w:val="000000" w:themeColor="text1"/>
          <w:spacing w:val="-3"/>
          <w:sz w:val="22"/>
          <w:szCs w:val="22"/>
          <w:highlight w:val="none"/>
          <w:lang w:val="en-US" w:eastAsia="zh-CN"/>
          <w14:textFill>
            <w14:solidFill>
              <w14:schemeClr w14:val="tx1"/>
            </w14:solidFill>
          </w14:textFill>
        </w:rPr>
        <w:t>1、</w:t>
      </w:r>
      <w:r>
        <w:rPr>
          <w:color w:val="000000" w:themeColor="text1"/>
          <w:spacing w:val="-3"/>
          <w:sz w:val="22"/>
          <w:szCs w:val="22"/>
          <w:highlight w:val="none"/>
          <w14:textFill>
            <w14:solidFill>
              <w14:schemeClr w14:val="tx1"/>
            </w14:solidFill>
          </w14:textFill>
        </w:rPr>
        <w:t>交货期：合同签订后</w:t>
      </w:r>
      <w:r>
        <w:rPr>
          <w:rFonts w:hint="eastAsia"/>
          <w:color w:val="000000" w:themeColor="text1"/>
          <w:spacing w:val="-3"/>
          <w:sz w:val="22"/>
          <w:szCs w:val="22"/>
          <w:highlight w:val="none"/>
          <w:u w:val="single"/>
          <w:lang w:val="en-US" w:eastAsia="zh-CN"/>
          <w14:textFill>
            <w14:solidFill>
              <w14:schemeClr w14:val="tx1"/>
            </w14:solidFill>
          </w14:textFill>
        </w:rPr>
        <w:t xml:space="preserve">   </w:t>
      </w:r>
      <w:r>
        <w:rPr>
          <w:color w:val="000000" w:themeColor="text1"/>
          <w:sz w:val="22"/>
          <w:szCs w:val="22"/>
          <w:highlight w:val="none"/>
          <w14:textFill>
            <w14:solidFill>
              <w14:schemeClr w14:val="tx1"/>
            </w14:solidFill>
          </w14:textFill>
        </w:rPr>
        <w:t>个工作日</w:t>
      </w:r>
      <w:r>
        <w:rPr>
          <w:rFonts w:hint="eastAsia"/>
          <w:color w:val="000000" w:themeColor="text1"/>
          <w:sz w:val="22"/>
          <w:szCs w:val="22"/>
          <w:highlight w:val="none"/>
          <w:lang w:eastAsia="zh-CN"/>
          <w14:textFill>
            <w14:solidFill>
              <w14:schemeClr w14:val="tx1"/>
            </w14:solidFill>
          </w14:textFill>
        </w:rPr>
        <w:t>内</w:t>
      </w:r>
    </w:p>
    <w:p>
      <w:pPr>
        <w:pStyle w:val="19"/>
        <w:numPr>
          <w:ilvl w:val="0"/>
          <w:numId w:val="0"/>
        </w:numPr>
        <w:tabs>
          <w:tab w:val="left" w:pos="522"/>
        </w:tabs>
        <w:ind w:left="351" w:leftChars="0"/>
        <w:rPr>
          <w:color w:val="000000" w:themeColor="text1"/>
          <w:sz w:val="22"/>
          <w:szCs w:val="22"/>
          <w:highlight w:val="none"/>
          <w14:textFill>
            <w14:solidFill>
              <w14:schemeClr w14:val="tx1"/>
            </w14:solidFill>
          </w14:textFill>
        </w:rPr>
      </w:pPr>
      <w:r>
        <w:rPr>
          <w:rFonts w:hint="eastAsia"/>
          <w:color w:val="000000" w:themeColor="text1"/>
          <w:spacing w:val="-5"/>
          <w:sz w:val="22"/>
          <w:szCs w:val="22"/>
          <w:highlight w:val="none"/>
          <w:lang w:val="en-US" w:eastAsia="zh-CN"/>
          <w14:textFill>
            <w14:solidFill>
              <w14:schemeClr w14:val="tx1"/>
            </w14:solidFill>
          </w14:textFill>
        </w:rPr>
        <w:t>2、</w:t>
      </w:r>
      <w:r>
        <w:rPr>
          <w:color w:val="000000" w:themeColor="text1"/>
          <w:spacing w:val="-5"/>
          <w:sz w:val="22"/>
          <w:szCs w:val="22"/>
          <w:highlight w:val="none"/>
          <w14:textFill>
            <w14:solidFill>
              <w14:schemeClr w14:val="tx1"/>
            </w14:solidFill>
          </w14:textFill>
        </w:rPr>
        <w:t>交货方式：</w:t>
      </w:r>
      <w:r>
        <w:rPr>
          <w:rFonts w:hint="eastAsia"/>
          <w:color w:val="000000" w:themeColor="text1"/>
          <w:spacing w:val="-5"/>
          <w:sz w:val="22"/>
          <w:szCs w:val="22"/>
          <w:highlight w:val="none"/>
          <w14:textFill>
            <w14:solidFill>
              <w14:schemeClr w14:val="tx1"/>
            </w14:solidFill>
          </w14:textFill>
        </w:rPr>
        <w:t>按甲方指定地点</w:t>
      </w:r>
      <w:r>
        <w:rPr>
          <w:color w:val="000000" w:themeColor="text1"/>
          <w:sz w:val="22"/>
          <w:szCs w:val="22"/>
          <w:highlight w:val="none"/>
          <w14:textFill>
            <w14:solidFill>
              <w14:schemeClr w14:val="tx1"/>
            </w14:solidFill>
          </w14:textFill>
        </w:rPr>
        <w:t>送货上门</w:t>
      </w:r>
    </w:p>
    <w:p>
      <w:pPr>
        <w:pStyle w:val="19"/>
        <w:numPr>
          <w:ilvl w:val="0"/>
          <w:numId w:val="0"/>
        </w:numPr>
        <w:ind w:left="351" w:leftChars="0"/>
        <w:rPr>
          <w:rFonts w:hint="eastAsia" w:eastAsia="宋体"/>
          <w:color w:val="000000" w:themeColor="text1"/>
          <w:sz w:val="22"/>
          <w:szCs w:val="22"/>
          <w:highlight w:val="none"/>
          <w:lang w:eastAsia="zh-CN"/>
          <w14:textFill>
            <w14:solidFill>
              <w14:schemeClr w14:val="tx1"/>
            </w14:solidFill>
          </w14:textFill>
        </w:rPr>
      </w:pPr>
      <w:r>
        <w:rPr>
          <w:rFonts w:hint="eastAsia"/>
          <w:color w:val="000000" w:themeColor="text1"/>
          <w:spacing w:val="-11"/>
          <w:sz w:val="22"/>
          <w:szCs w:val="22"/>
          <w:highlight w:val="none"/>
          <w:lang w:val="en-US" w:eastAsia="zh-CN"/>
          <w14:textFill>
            <w14:solidFill>
              <w14:schemeClr w14:val="tx1"/>
            </w14:solidFill>
          </w14:textFill>
        </w:rPr>
        <w:t>3、</w:t>
      </w:r>
      <w:r>
        <w:rPr>
          <w:color w:val="000000" w:themeColor="text1"/>
          <w:spacing w:val="-11"/>
          <w:sz w:val="22"/>
          <w:szCs w:val="22"/>
          <w:highlight w:val="none"/>
          <w14:textFill>
            <w14:solidFill>
              <w14:schemeClr w14:val="tx1"/>
            </w14:solidFill>
          </w14:textFill>
        </w:rPr>
        <w:t>交货地点：</w:t>
      </w:r>
      <w:r>
        <w:rPr>
          <w:rFonts w:hint="eastAsia"/>
          <w:color w:val="000000" w:themeColor="text1"/>
          <w:sz w:val="22"/>
          <w:szCs w:val="22"/>
          <w:highlight w:val="none"/>
          <w:lang w:eastAsia="zh-CN"/>
          <w14:textFill>
            <w14:solidFill>
              <w14:schemeClr w14:val="tx1"/>
            </w14:solidFill>
          </w14:textFill>
        </w:rPr>
        <w:t>甲方指定地点</w:t>
      </w:r>
    </w:p>
    <w:p>
      <w:pPr>
        <w:tabs>
          <w:tab w:val="left" w:pos="522"/>
        </w:tabs>
        <w:ind w:left="105" w:right="5480"/>
        <w:rPr>
          <w:b/>
          <w:bCs/>
          <w:color w:val="000000" w:themeColor="text1"/>
          <w:sz w:val="22"/>
          <w:szCs w:val="22"/>
          <w:highlight w:val="none"/>
          <w14:textFill>
            <w14:solidFill>
              <w14:schemeClr w14:val="tx1"/>
            </w14:solidFill>
          </w14:textFill>
        </w:rPr>
      </w:pPr>
      <w:r>
        <w:rPr>
          <w:b/>
          <w:color w:val="000000" w:themeColor="text1"/>
          <w:spacing w:val="10"/>
          <w:sz w:val="22"/>
          <w:szCs w:val="22"/>
          <w:highlight w:val="none"/>
          <w14:textFill>
            <w14:solidFill>
              <w14:schemeClr w14:val="tx1"/>
            </w14:solidFill>
          </w14:textFill>
        </w:rPr>
        <w:t>八、</w:t>
      </w:r>
      <w:r>
        <w:rPr>
          <w:rFonts w:hint="eastAsia"/>
          <w:b/>
          <w:bCs/>
          <w:color w:val="000000" w:themeColor="text1"/>
          <w:sz w:val="22"/>
          <w:szCs w:val="22"/>
          <w:highlight w:val="none"/>
          <w14:textFill>
            <w14:solidFill>
              <w14:schemeClr w14:val="tx1"/>
            </w14:solidFill>
          </w14:textFill>
        </w:rPr>
        <w:t>货款支付</w:t>
      </w:r>
    </w:p>
    <w:p>
      <w:pPr>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甲方按以下第</w:t>
      </w:r>
      <w:r>
        <w:rPr>
          <w:rFonts w:hint="eastAsia"/>
          <w:color w:val="000000" w:themeColor="text1"/>
          <w:sz w:val="22"/>
          <w:szCs w:val="22"/>
          <w:highlight w:val="none"/>
          <w:u w:val="single"/>
          <w:lang w:val="en-US" w:eastAsia="zh-CN"/>
          <w14:textFill>
            <w14:solidFill>
              <w14:schemeClr w14:val="tx1"/>
            </w14:solidFill>
          </w14:textFill>
        </w:rPr>
        <w:t xml:space="preserve">   </w:t>
      </w:r>
      <w:r>
        <w:rPr>
          <w:rFonts w:hint="eastAsia"/>
          <w:color w:val="000000" w:themeColor="text1"/>
          <w:sz w:val="22"/>
          <w:szCs w:val="22"/>
          <w:highlight w:val="none"/>
          <w14:textFill>
            <w14:solidFill>
              <w14:schemeClr w14:val="tx1"/>
            </w14:solidFill>
          </w14:textFill>
        </w:rPr>
        <w:t>种方式支付乙方合同价款。</w:t>
      </w:r>
    </w:p>
    <w:p>
      <w:pPr>
        <w:pStyle w:val="4"/>
        <w:spacing w:before="21"/>
        <w:ind w:left="351"/>
        <w:rPr>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lang w:val="en-US" w:eastAsia="zh-CN" w:bidi="zh-CN"/>
          <w14:textFill>
            <w14:solidFill>
              <w14:schemeClr w14:val="tx1"/>
            </w14:solidFill>
          </w14:textFill>
        </w:rPr>
        <w:t>1、</w:t>
      </w:r>
      <w:r>
        <w:rPr>
          <w:color w:val="000000" w:themeColor="text1"/>
          <w:sz w:val="22"/>
          <w:szCs w:val="22"/>
          <w:highlight w:val="none"/>
          <w14:textFill>
            <w14:solidFill>
              <w14:schemeClr w14:val="tx1"/>
            </w14:solidFill>
          </w14:textFill>
        </w:rPr>
        <w:t>一次性支付：</w:t>
      </w:r>
    </w:p>
    <w:p>
      <w:pPr>
        <w:pStyle w:val="4"/>
        <w:tabs>
          <w:tab w:val="left" w:pos="4877"/>
        </w:tabs>
        <w:spacing w:before="71"/>
        <w:ind w:left="351"/>
        <w:rPr>
          <w:color w:val="000000" w:themeColor="text1"/>
          <w:sz w:val="22"/>
          <w:szCs w:val="22"/>
          <w:highlight w:val="none"/>
          <w14:textFill>
            <w14:solidFill>
              <w14:schemeClr w14:val="tx1"/>
            </w14:solidFill>
          </w14:textFill>
        </w:rPr>
      </w:pPr>
      <w:r>
        <w:rPr>
          <w:color w:val="000000" w:themeColor="text1"/>
          <w:sz w:val="22"/>
          <w:szCs w:val="22"/>
          <w:highlight w:val="none"/>
          <w14:textFill>
            <w14:solidFill>
              <w14:schemeClr w14:val="tx1"/>
            </w14:solidFill>
          </w14:textFill>
        </w:rPr>
        <w:t>本合同项下的全部货物安装调试完毕并经最终验收合格后</w:t>
      </w:r>
      <w:r>
        <w:rPr>
          <w:rFonts w:hint="eastAsia" w:ascii="宋体" w:hAnsi="宋体" w:eastAsia="宋体" w:cs="宋体"/>
          <w:color w:val="000000" w:themeColor="text1"/>
          <w:kern w:val="0"/>
          <w:sz w:val="22"/>
          <w:szCs w:val="22"/>
          <w:highlight w:val="none"/>
          <w:u w:val="single" w:color="4068E0"/>
          <w:lang w:val="en-US" w:eastAsia="zh-CN" w:bidi="zh-CN"/>
          <w14:textFill>
            <w14:solidFill>
              <w14:schemeClr w14:val="tx1"/>
            </w14:solidFill>
          </w14:textFill>
        </w:rPr>
        <w:t xml:space="preserve"> 3 </w:t>
      </w:r>
      <w:r>
        <w:rPr>
          <w:rFonts w:hint="default"/>
          <w:color w:val="000000" w:themeColor="text1"/>
          <w:sz w:val="22"/>
          <w:szCs w:val="22"/>
          <w:highlight w:val="none"/>
          <w:lang w:val="zh-CN"/>
          <w14:textFill>
            <w14:solidFill>
              <w14:schemeClr w14:val="tx1"/>
            </w14:solidFill>
          </w14:textFill>
        </w:rPr>
        <w:t>个月</w:t>
      </w:r>
      <w:r>
        <w:rPr>
          <w:color w:val="000000" w:themeColor="text1"/>
          <w:sz w:val="22"/>
          <w:szCs w:val="22"/>
          <w:highlight w:val="none"/>
          <w:lang w:val="zh-CN"/>
          <w14:textFill>
            <w14:solidFill>
              <w14:schemeClr w14:val="tx1"/>
            </w14:solidFill>
          </w14:textFill>
        </w:rPr>
        <w:t>内</w:t>
      </w:r>
      <w:r>
        <w:rPr>
          <w:color w:val="000000" w:themeColor="text1"/>
          <w:sz w:val="22"/>
          <w:szCs w:val="22"/>
          <w:highlight w:val="none"/>
          <w14:textFill>
            <w14:solidFill>
              <w14:schemeClr w14:val="tx1"/>
            </w14:solidFill>
          </w14:textFill>
        </w:rPr>
        <w:t>，甲方向乙方支付全部合同价款。</w:t>
      </w:r>
    </w:p>
    <w:p>
      <w:pPr>
        <w:pStyle w:val="4"/>
        <w:spacing w:before="69"/>
        <w:ind w:left="351"/>
        <w:rPr>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lang w:val="en-US" w:eastAsia="zh-CN" w:bidi="zh-CN"/>
          <w14:textFill>
            <w14:solidFill>
              <w14:schemeClr w14:val="tx1"/>
            </w14:solidFill>
          </w14:textFill>
        </w:rPr>
        <w:t>2、</w:t>
      </w:r>
      <w:r>
        <w:rPr>
          <w:color w:val="000000" w:themeColor="text1"/>
          <w:sz w:val="22"/>
          <w:szCs w:val="22"/>
          <w:highlight w:val="none"/>
          <w14:textFill>
            <w14:solidFill>
              <w14:schemeClr w14:val="tx1"/>
            </w14:solidFill>
          </w14:textFill>
        </w:rPr>
        <w:t>分期支付：</w:t>
      </w:r>
    </w:p>
    <w:p>
      <w:pPr>
        <w:pStyle w:val="19"/>
        <w:numPr>
          <w:ilvl w:val="0"/>
          <w:numId w:val="0"/>
        </w:numPr>
        <w:tabs>
          <w:tab w:val="left" w:pos="797"/>
          <w:tab w:val="left" w:pos="2800"/>
          <w:tab w:val="left" w:pos="5814"/>
          <w:tab w:val="left" w:pos="7603"/>
          <w:tab w:val="left" w:pos="8599"/>
        </w:tabs>
        <w:spacing w:before="69"/>
        <w:ind w:left="351" w:leftChars="0"/>
        <w:rPr>
          <w:color w:val="000000" w:themeColor="text1"/>
          <w:sz w:val="22"/>
          <w:szCs w:val="22"/>
          <w:highlight w:val="none"/>
          <w14:textFill>
            <w14:solidFill>
              <w14:schemeClr w14:val="tx1"/>
            </w14:solidFill>
          </w14:textFill>
        </w:rPr>
      </w:pPr>
      <w:r>
        <w:rPr>
          <w:rFonts w:hint="eastAsia"/>
          <w:color w:val="000000" w:themeColor="text1"/>
          <w:sz w:val="22"/>
          <w:szCs w:val="22"/>
          <w:highlight w:val="none"/>
          <w:lang w:eastAsia="zh-CN"/>
          <w14:textFill>
            <w14:solidFill>
              <w14:schemeClr w14:val="tx1"/>
            </w14:solidFill>
          </w14:textFill>
        </w:rPr>
        <w:t>（</w:t>
      </w:r>
      <w:r>
        <w:rPr>
          <w:rFonts w:hint="eastAsia"/>
          <w:color w:val="000000" w:themeColor="text1"/>
          <w:sz w:val="22"/>
          <w:szCs w:val="22"/>
          <w:highlight w:val="none"/>
          <w:lang w:val="en-US" w:eastAsia="zh-CN"/>
          <w14:textFill>
            <w14:solidFill>
              <w14:schemeClr w14:val="tx1"/>
            </w14:solidFill>
          </w14:textFill>
        </w:rPr>
        <w:t>1</w:t>
      </w:r>
      <w:r>
        <w:rPr>
          <w:rFonts w:hint="eastAsia"/>
          <w:color w:val="000000" w:themeColor="text1"/>
          <w:sz w:val="22"/>
          <w:szCs w:val="22"/>
          <w:highlight w:val="none"/>
          <w:lang w:eastAsia="zh-CN"/>
          <w14:textFill>
            <w14:solidFill>
              <w14:schemeClr w14:val="tx1"/>
            </w14:solidFill>
          </w14:textFill>
        </w:rPr>
        <w:t>）</w:t>
      </w:r>
      <w:r>
        <w:rPr>
          <w:color w:val="000000" w:themeColor="text1"/>
          <w:sz w:val="22"/>
          <w:szCs w:val="22"/>
          <w:highlight w:val="none"/>
          <w14:textFill>
            <w14:solidFill>
              <w14:schemeClr w14:val="tx1"/>
            </w14:solidFill>
          </w14:textFill>
        </w:rPr>
        <w:t>甲方应于本合同生效后</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个工作日内向乙方支付合同总价款的</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rFonts w:ascii="Verdana" w:hAnsi="Verdana" w:eastAsia="Verdana"/>
          <w:color w:val="000000" w:themeColor="text1"/>
          <w:sz w:val="22"/>
          <w:szCs w:val="22"/>
          <w:highlight w:val="none"/>
          <w14:textFill>
            <w14:solidFill>
              <w14:schemeClr w14:val="tx1"/>
            </w14:solidFill>
          </w14:textFill>
        </w:rPr>
        <w:t>%</w:t>
      </w:r>
      <w:r>
        <w:rPr>
          <w:color w:val="000000" w:themeColor="text1"/>
          <w:sz w:val="22"/>
          <w:szCs w:val="22"/>
          <w:highlight w:val="none"/>
          <w14:textFill>
            <w14:solidFill>
              <w14:schemeClr w14:val="tx1"/>
            </w14:solidFill>
          </w14:textFill>
        </w:rPr>
        <w:t>作为预付款，计</w:t>
      </w:r>
      <w:r>
        <w:rPr>
          <w:rFonts w:ascii="Verdana" w:hAnsi="Verdana" w:eastAsia="Verdana"/>
          <w:color w:val="000000" w:themeColor="text1"/>
          <w:sz w:val="22"/>
          <w:szCs w:val="22"/>
          <w:highlight w:val="none"/>
          <w14:textFill>
            <w14:solidFill>
              <w14:schemeClr w14:val="tx1"/>
            </w14:solidFill>
          </w14:textFill>
        </w:rPr>
        <w:t>¥</w:t>
      </w:r>
      <w:r>
        <w:rPr>
          <w:rFonts w:ascii="Verdana" w:hAnsi="Verdana" w:eastAsia="Verdana"/>
          <w:color w:val="000000" w:themeColor="text1"/>
          <w:sz w:val="22"/>
          <w:szCs w:val="22"/>
          <w:highlight w:val="none"/>
          <w:u w:val="single" w:color="4068E0"/>
          <w14:textFill>
            <w14:solidFill>
              <w14:schemeClr w14:val="tx1"/>
            </w14:solidFill>
          </w14:textFill>
        </w:rPr>
        <w:t xml:space="preserve"> </w:t>
      </w:r>
      <w:r>
        <w:rPr>
          <w:rFonts w:hint="eastAsia" w:ascii="Verdana" w:hAnsi="Verdan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元（大写</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元整）；</w:t>
      </w:r>
    </w:p>
    <w:p>
      <w:pPr>
        <w:pStyle w:val="19"/>
        <w:numPr>
          <w:ilvl w:val="0"/>
          <w:numId w:val="0"/>
        </w:numPr>
        <w:tabs>
          <w:tab w:val="left" w:pos="797"/>
          <w:tab w:val="left" w:pos="2632"/>
          <w:tab w:val="left" w:pos="6150"/>
          <w:tab w:val="left" w:pos="7098"/>
          <w:tab w:val="left" w:pos="8095"/>
        </w:tabs>
        <w:spacing w:before="118"/>
        <w:ind w:left="351" w:leftChars="0"/>
        <w:rPr>
          <w:color w:val="000000" w:themeColor="text1"/>
          <w:sz w:val="22"/>
          <w:szCs w:val="22"/>
          <w:highlight w:val="none"/>
          <w14:textFill>
            <w14:solidFill>
              <w14:schemeClr w14:val="tx1"/>
            </w14:solidFill>
          </w14:textFill>
        </w:rPr>
      </w:pPr>
      <w:r>
        <w:rPr>
          <w:rFonts w:hint="eastAsia"/>
          <w:color w:val="000000" w:themeColor="text1"/>
          <w:sz w:val="22"/>
          <w:szCs w:val="22"/>
          <w:highlight w:val="none"/>
          <w:lang w:eastAsia="zh-CN"/>
          <w14:textFill>
            <w14:solidFill>
              <w14:schemeClr w14:val="tx1"/>
            </w14:solidFill>
          </w14:textFill>
        </w:rPr>
        <w:t>（</w:t>
      </w:r>
      <w:r>
        <w:rPr>
          <w:rFonts w:hint="eastAsia"/>
          <w:color w:val="000000" w:themeColor="text1"/>
          <w:sz w:val="22"/>
          <w:szCs w:val="22"/>
          <w:highlight w:val="none"/>
          <w:lang w:val="en-US" w:eastAsia="zh-CN"/>
          <w14:textFill>
            <w14:solidFill>
              <w14:schemeClr w14:val="tx1"/>
            </w14:solidFill>
          </w14:textFill>
        </w:rPr>
        <w:t>2</w:t>
      </w:r>
      <w:r>
        <w:rPr>
          <w:rFonts w:hint="eastAsia"/>
          <w:color w:val="000000" w:themeColor="text1"/>
          <w:sz w:val="22"/>
          <w:szCs w:val="22"/>
          <w:highlight w:val="none"/>
          <w:lang w:eastAsia="zh-CN"/>
          <w14:textFill>
            <w14:solidFill>
              <w14:schemeClr w14:val="tx1"/>
            </w14:solidFill>
          </w14:textFill>
        </w:rPr>
        <w:t>）</w:t>
      </w:r>
      <w:r>
        <w:rPr>
          <w:color w:val="000000" w:themeColor="text1"/>
          <w:sz w:val="22"/>
          <w:szCs w:val="22"/>
          <w:highlight w:val="none"/>
          <w14:textFill>
            <w14:solidFill>
              <w14:schemeClr w14:val="tx1"/>
            </w14:solidFill>
          </w14:textFill>
        </w:rPr>
        <w:t>全部货物验收合格后</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个工作日内，甲方向乙方支付合同总价款的</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rFonts w:ascii="Verdana" w:hAnsi="Verdana" w:eastAsia="Verdana"/>
          <w:color w:val="000000" w:themeColor="text1"/>
          <w:sz w:val="22"/>
          <w:szCs w:val="22"/>
          <w:highlight w:val="none"/>
          <w14:textFill>
            <w14:solidFill>
              <w14:schemeClr w14:val="tx1"/>
            </w14:solidFill>
          </w14:textFill>
        </w:rPr>
        <w:t>%</w:t>
      </w:r>
      <w:r>
        <w:rPr>
          <w:color w:val="000000" w:themeColor="text1"/>
          <w:sz w:val="22"/>
          <w:szCs w:val="22"/>
          <w:highlight w:val="none"/>
          <w14:textFill>
            <w14:solidFill>
              <w14:schemeClr w14:val="tx1"/>
            </w14:solidFill>
          </w14:textFill>
        </w:rPr>
        <w:t>，计</w:t>
      </w:r>
      <w:r>
        <w:rPr>
          <w:rFonts w:ascii="Verdana" w:hAnsi="Verdana" w:eastAsia="Verdana"/>
          <w:color w:val="000000" w:themeColor="text1"/>
          <w:sz w:val="22"/>
          <w:szCs w:val="22"/>
          <w:highlight w:val="none"/>
          <w14:textFill>
            <w14:solidFill>
              <w14:schemeClr w14:val="tx1"/>
            </w14:solidFill>
          </w14:textFill>
        </w:rPr>
        <w:t>¥</w:t>
      </w:r>
      <w:r>
        <w:rPr>
          <w:rFonts w:ascii="Verdana" w:hAnsi="Verdana" w:eastAsia="Verdana"/>
          <w:color w:val="000000" w:themeColor="text1"/>
          <w:sz w:val="22"/>
          <w:szCs w:val="22"/>
          <w:highlight w:val="none"/>
          <w:u w:val="single" w:color="4068E0"/>
          <w14:textFill>
            <w14:solidFill>
              <w14:schemeClr w14:val="tx1"/>
            </w14:solidFill>
          </w14:textFill>
        </w:rPr>
        <w:t xml:space="preserve"> </w:t>
      </w:r>
      <w:r>
        <w:rPr>
          <w:rFonts w:hint="eastAsia" w:ascii="Verdana" w:hAnsi="Verdan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元（大写</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color w:val="000000" w:themeColor="text1"/>
          <w:sz w:val="22"/>
          <w:szCs w:val="22"/>
          <w:highlight w:val="none"/>
          <w14:textFill>
            <w14:solidFill>
              <w14:schemeClr w14:val="tx1"/>
            </w14:solidFill>
          </w14:textFill>
        </w:rPr>
        <w:t>元整）。</w:t>
      </w:r>
    </w:p>
    <w:p>
      <w:pPr>
        <w:pStyle w:val="19"/>
        <w:numPr>
          <w:ilvl w:val="0"/>
          <w:numId w:val="0"/>
        </w:numPr>
        <w:tabs>
          <w:tab w:val="left" w:pos="797"/>
          <w:tab w:val="left" w:pos="2632"/>
          <w:tab w:val="left" w:pos="6150"/>
          <w:tab w:val="left" w:pos="7098"/>
          <w:tab w:val="left" w:pos="8095"/>
        </w:tabs>
        <w:spacing w:before="118"/>
        <w:ind w:left="351" w:leftChars="0"/>
        <w:rPr>
          <w:rFonts w:hint="eastAsia" w:ascii="Times New Roman" w:hAnsi="Times New Roman" w:eastAsia="新宋体" w:cs="Times New Roman"/>
          <w:color w:val="auto"/>
          <w:sz w:val="22"/>
          <w:szCs w:val="22"/>
          <w:highlight w:val="none"/>
          <w:lang w:eastAsia="zh-CN"/>
        </w:rPr>
      </w:pPr>
      <w:r>
        <w:rPr>
          <w:rFonts w:hint="eastAsia" w:ascii="宋体" w:hAnsi="宋体" w:eastAsia="宋体" w:cs="宋体"/>
          <w:color w:val="000000" w:themeColor="text1"/>
          <w:kern w:val="0"/>
          <w:sz w:val="22"/>
          <w:szCs w:val="22"/>
          <w:lang w:val="en-US" w:eastAsia="zh-CN" w:bidi="zh-CN"/>
          <w14:textFill>
            <w14:solidFill>
              <w14:schemeClr w14:val="tx1"/>
            </w14:solidFill>
          </w14:textFill>
        </w:rPr>
        <w:t>3、</w:t>
      </w:r>
      <w:r>
        <w:rPr>
          <w:rFonts w:hint="eastAsia" w:ascii="Verdana" w:eastAsia="宋体" w:cs="宋体"/>
          <w:color w:val="000000" w:themeColor="text1"/>
          <w:kern w:val="0"/>
          <w:sz w:val="22"/>
          <w:szCs w:val="22"/>
          <w:highlight w:val="none"/>
          <w:lang w:val="en-US" w:eastAsia="zh-CN" w:bidi="zh-CN"/>
          <w14:textFill>
            <w14:solidFill>
              <w14:schemeClr w14:val="tx1"/>
            </w14:solidFill>
          </w14:textFill>
        </w:rPr>
        <w:t>若</w:t>
      </w:r>
      <w:r>
        <w:rPr>
          <w:rFonts w:hint="default" w:ascii="Times New Roman" w:hAnsi="Times New Roman" w:eastAsia="新宋体" w:cs="Times New Roman"/>
          <w:color w:val="auto"/>
          <w:sz w:val="22"/>
          <w:szCs w:val="22"/>
          <w:highlight w:val="none"/>
        </w:rPr>
        <w:t>乙方为中小企业：在合同签订生效以及具备实施条件后，乙方须向甲方提交与预付款等额的“预付款保函”</w:t>
      </w:r>
      <w:r>
        <w:rPr>
          <w:rFonts w:hint="eastAsia"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合同预付款为合同金额的</w:t>
      </w:r>
      <w:r>
        <w:rPr>
          <w:rFonts w:hint="eastAsia" w:ascii="Times New Roman" w:hAnsi="Times New Roman" w:eastAsia="新宋体" w:cs="Times New Roman"/>
          <w:color w:val="auto"/>
          <w:sz w:val="22"/>
          <w:szCs w:val="22"/>
          <w:highlight w:val="none"/>
          <w:lang w:val="en-US" w:eastAsia="zh-CN"/>
        </w:rPr>
        <w:t>30</w:t>
      </w:r>
      <w:r>
        <w:rPr>
          <w:rFonts w:hint="default" w:ascii="Times New Roman" w:hAnsi="Times New Roman" w:eastAsia="新宋体" w:cs="Times New Roman"/>
          <w:color w:val="auto"/>
          <w:sz w:val="22"/>
          <w:szCs w:val="22"/>
          <w:highlight w:val="none"/>
        </w:rPr>
        <w:t>%</w:t>
      </w:r>
      <w:r>
        <w:rPr>
          <w:rFonts w:hint="eastAsia" w:ascii="Times New Roman" w:hAnsi="Times New Roman" w:eastAsia="新宋体" w:cs="Times New Roman"/>
          <w:color w:val="auto"/>
          <w:sz w:val="22"/>
          <w:szCs w:val="22"/>
          <w:highlight w:val="none"/>
          <w:lang w:eastAsia="zh-CN"/>
        </w:rPr>
        <w:t>）</w:t>
      </w:r>
      <w:r>
        <w:rPr>
          <w:rFonts w:hint="default" w:ascii="Times New Roman" w:hAnsi="Times New Roman" w:eastAsia="新宋体" w:cs="Times New Roman"/>
          <w:color w:val="auto"/>
          <w:sz w:val="22"/>
          <w:szCs w:val="22"/>
          <w:highlight w:val="none"/>
        </w:rPr>
        <w:t>。甲方收到“预付款保函”后7个工作日内支付预付款；</w:t>
      </w:r>
      <w:r>
        <w:rPr>
          <w:rFonts w:hint="eastAsia" w:ascii="Times New Roman" w:hAnsi="Times New Roman" w:eastAsia="新宋体" w:cs="Times New Roman"/>
          <w:color w:val="auto"/>
          <w:sz w:val="22"/>
          <w:szCs w:val="22"/>
          <w:highlight w:val="none"/>
          <w:lang w:eastAsia="zh-CN"/>
        </w:rPr>
        <w:t>待</w:t>
      </w:r>
      <w:r>
        <w:rPr>
          <w:rFonts w:hint="default" w:ascii="Times New Roman" w:hAnsi="Times New Roman" w:eastAsia="新宋体" w:cs="Times New Roman"/>
          <w:color w:val="auto"/>
          <w:sz w:val="22"/>
          <w:szCs w:val="22"/>
          <w:highlight w:val="none"/>
        </w:rPr>
        <w:t>（每批）货物验收合格后，乙方开具合同货物</w:t>
      </w:r>
      <w:r>
        <w:rPr>
          <w:rFonts w:hint="eastAsia" w:ascii="Times New Roman" w:hAnsi="Times New Roman" w:eastAsia="新宋体" w:cs="Times New Roman"/>
          <w:color w:val="auto"/>
          <w:sz w:val="22"/>
          <w:szCs w:val="22"/>
          <w:highlight w:val="none"/>
          <w:lang w:eastAsia="zh-CN"/>
        </w:rPr>
        <w:t>全额</w:t>
      </w:r>
      <w:r>
        <w:rPr>
          <w:rFonts w:hint="default" w:ascii="Times New Roman" w:hAnsi="Times New Roman" w:eastAsia="新宋体" w:cs="Times New Roman"/>
          <w:color w:val="auto"/>
          <w:sz w:val="22"/>
          <w:szCs w:val="22"/>
          <w:highlight w:val="none"/>
        </w:rPr>
        <w:t>发票，甲方在收到</w:t>
      </w:r>
      <w:r>
        <w:rPr>
          <w:rFonts w:hint="eastAsia" w:ascii="Times New Roman" w:hAnsi="Times New Roman" w:eastAsia="新宋体" w:cs="Times New Roman"/>
          <w:color w:val="auto"/>
          <w:sz w:val="22"/>
          <w:szCs w:val="22"/>
          <w:highlight w:val="none"/>
          <w:lang w:eastAsia="zh-CN"/>
        </w:rPr>
        <w:t>全额</w:t>
      </w:r>
      <w:r>
        <w:rPr>
          <w:rFonts w:hint="default" w:ascii="Times New Roman" w:hAnsi="Times New Roman" w:eastAsia="新宋体" w:cs="Times New Roman"/>
          <w:color w:val="auto"/>
          <w:sz w:val="22"/>
          <w:szCs w:val="22"/>
          <w:highlight w:val="none"/>
        </w:rPr>
        <w:t>发票后</w:t>
      </w:r>
      <w:r>
        <w:rPr>
          <w:rFonts w:hint="eastAsia" w:ascii="Times New Roman" w:hAnsi="Times New Roman" w:eastAsia="新宋体" w:cs="Times New Roman"/>
          <w:color w:val="auto"/>
          <w:sz w:val="22"/>
          <w:szCs w:val="22"/>
          <w:highlight w:val="none"/>
          <w:lang w:val="en-US" w:eastAsia="zh-CN"/>
        </w:rPr>
        <w:t>3个月内</w:t>
      </w:r>
      <w:r>
        <w:rPr>
          <w:rFonts w:hint="default" w:ascii="Times New Roman" w:hAnsi="Times New Roman" w:eastAsia="新宋体" w:cs="Times New Roman"/>
          <w:color w:val="auto"/>
          <w:sz w:val="22"/>
          <w:szCs w:val="22"/>
          <w:highlight w:val="none"/>
        </w:rPr>
        <w:t>支付至</w:t>
      </w:r>
      <w:r>
        <w:rPr>
          <w:rFonts w:hint="eastAsia" w:ascii="Times New Roman" w:hAnsi="Times New Roman" w:eastAsia="新宋体" w:cs="Times New Roman"/>
          <w:color w:val="auto"/>
          <w:sz w:val="22"/>
          <w:szCs w:val="22"/>
          <w:highlight w:val="none"/>
          <w:lang w:val="en-US" w:eastAsia="zh-CN"/>
        </w:rPr>
        <w:t>100</w:t>
      </w:r>
      <w:r>
        <w:rPr>
          <w:rFonts w:hint="default" w:ascii="Times New Roman" w:hAnsi="Times New Roman" w:eastAsia="新宋体" w:cs="Times New Roman"/>
          <w:color w:val="auto"/>
          <w:sz w:val="22"/>
          <w:szCs w:val="22"/>
          <w:highlight w:val="none"/>
        </w:rPr>
        <w:t>%合同货款</w:t>
      </w:r>
      <w:r>
        <w:rPr>
          <w:rFonts w:hint="eastAsia" w:ascii="Times New Roman" w:hAnsi="Times New Roman" w:eastAsia="新宋体" w:cs="Times New Roman"/>
          <w:color w:val="auto"/>
          <w:sz w:val="22"/>
          <w:szCs w:val="22"/>
          <w:highlight w:val="none"/>
          <w:lang w:eastAsia="zh-CN"/>
        </w:rPr>
        <w:t>。</w:t>
      </w:r>
    </w:p>
    <w:p>
      <w:pPr>
        <w:pStyle w:val="19"/>
        <w:numPr>
          <w:ilvl w:val="0"/>
          <w:numId w:val="0"/>
        </w:numPr>
        <w:tabs>
          <w:tab w:val="left" w:pos="797"/>
          <w:tab w:val="left" w:pos="2632"/>
          <w:tab w:val="left" w:pos="6150"/>
          <w:tab w:val="left" w:pos="7098"/>
          <w:tab w:val="left" w:pos="8095"/>
        </w:tabs>
        <w:spacing w:before="118"/>
        <w:ind w:left="351" w:leftChars="0"/>
        <w:rPr>
          <w:rFonts w:hint="default" w:ascii="Times New Roman" w:hAnsi="Times New Roman" w:eastAsia="新宋体" w:cs="Times New Roman"/>
          <w:color w:val="auto"/>
          <w:sz w:val="22"/>
          <w:szCs w:val="22"/>
          <w:highlight w:val="none"/>
          <w:lang w:val="en-US" w:eastAsia="zh-CN"/>
        </w:rPr>
      </w:pPr>
      <w:r>
        <w:rPr>
          <w:rFonts w:hint="eastAsia" w:ascii="Times New Roman" w:hAnsi="Times New Roman" w:eastAsia="新宋体" w:cs="Times New Roman"/>
          <w:color w:val="auto"/>
          <w:sz w:val="22"/>
          <w:szCs w:val="22"/>
          <w:highlight w:val="none"/>
          <w:lang w:val="en-US" w:eastAsia="zh-CN"/>
        </w:rPr>
        <w:t>4、其他方式：</w:t>
      </w:r>
    </w:p>
    <w:p>
      <w:pPr>
        <w:pStyle w:val="3"/>
        <w:spacing w:before="16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九、税费</w:t>
      </w:r>
    </w:p>
    <w:p>
      <w:pPr>
        <w:pStyle w:val="4"/>
        <w:spacing w:before="23"/>
        <w:ind w:left="351"/>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本合同执行中相关的一切税费均由乙方负担。</w:t>
      </w:r>
    </w:p>
    <w:p>
      <w:pPr>
        <w:pStyle w:val="3"/>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十、质量保证及售后服务</w:t>
      </w:r>
    </w:p>
    <w:p>
      <w:pPr>
        <w:pStyle w:val="19"/>
        <w:numPr>
          <w:ilvl w:val="0"/>
          <w:numId w:val="0"/>
        </w:numPr>
        <w:tabs>
          <w:tab w:val="left" w:pos="522"/>
        </w:tabs>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乙方保证本合同中所供应的商品是最新生产的符合国家技术规格和质量标准的出厂原装</w:t>
      </w:r>
      <w:r>
        <w:rPr>
          <w:rFonts w:hint="eastAsia"/>
          <w:color w:val="000000" w:themeColor="text1"/>
          <w:sz w:val="22"/>
          <w:szCs w:val="22"/>
          <w14:textFill>
            <w14:solidFill>
              <w14:schemeClr w14:val="tx1"/>
            </w14:solidFill>
          </w14:textFill>
        </w:rPr>
        <w:t>的</w:t>
      </w:r>
      <w:r>
        <w:rPr>
          <w:color w:val="000000" w:themeColor="text1"/>
          <w:sz w:val="22"/>
          <w:szCs w:val="22"/>
          <w14:textFill>
            <w14:solidFill>
              <w14:schemeClr w14:val="tx1"/>
            </w14:solidFill>
          </w14:textFill>
        </w:rPr>
        <w:t>合格产品。如发生所供商品与合同不符，甲方</w:t>
      </w:r>
      <w:r>
        <w:rPr>
          <w:rFonts w:hint="eastAsia"/>
          <w:color w:val="000000" w:themeColor="text1"/>
          <w:sz w:val="22"/>
          <w:szCs w:val="22"/>
          <w14:textFill>
            <w14:solidFill>
              <w14:schemeClr w14:val="tx1"/>
            </w14:solidFill>
          </w14:textFill>
        </w:rPr>
        <w:t>（采购单位）有权拒收或退货，由此产生的一切责任和后果由乙方承担。</w:t>
      </w:r>
    </w:p>
    <w:p>
      <w:pPr>
        <w:pStyle w:val="19"/>
        <w:numPr>
          <w:ilvl w:val="0"/>
          <w:numId w:val="0"/>
        </w:numPr>
        <w:tabs>
          <w:tab w:val="left" w:pos="522"/>
        </w:tabs>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乙方提供的货物在质保期内因货物本身的质量问题发生故障，乙方应负责免费更换。对达不到技术要求者，根据实际情况，经双方协商，可按以下办法处理：</w:t>
      </w:r>
    </w:p>
    <w:p>
      <w:pPr>
        <w:pStyle w:val="19"/>
        <w:numPr>
          <w:ilvl w:val="0"/>
          <w:numId w:val="0"/>
        </w:numPr>
        <w:tabs>
          <w:tab w:val="left" w:pos="797"/>
        </w:tabs>
        <w:spacing w:before="0"/>
        <w:ind w:left="351" w:leftChars="0"/>
        <w:rPr>
          <w:color w:val="000000" w:themeColor="text1"/>
          <w:sz w:val="22"/>
          <w:szCs w:val="22"/>
          <w14:textFill>
            <w14:solidFill>
              <w14:schemeClr w14:val="tx1"/>
            </w14:solidFill>
          </w14:textFill>
        </w:rPr>
      </w:pPr>
      <w:r>
        <w:rPr>
          <w:rFonts w:hint="eastAsia"/>
          <w:color w:val="000000" w:themeColor="text1"/>
          <w:sz w:val="22"/>
          <w:szCs w:val="22"/>
          <w:lang w:eastAsia="zh-CN"/>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1</w:t>
      </w:r>
      <w:r>
        <w:rPr>
          <w:rFonts w:hint="eastAsia"/>
          <w:color w:val="000000" w:themeColor="text1"/>
          <w:sz w:val="22"/>
          <w:szCs w:val="22"/>
          <w:lang w:eastAsia="zh-CN"/>
          <w14:textFill>
            <w14:solidFill>
              <w14:schemeClr w14:val="tx1"/>
            </w14:solidFill>
          </w14:textFill>
        </w:rPr>
        <w:t>）</w:t>
      </w:r>
      <w:r>
        <w:rPr>
          <w:color w:val="000000" w:themeColor="text1"/>
          <w:sz w:val="22"/>
          <w:szCs w:val="22"/>
          <w14:textFill>
            <w14:solidFill>
              <w14:schemeClr w14:val="tx1"/>
            </w14:solidFill>
          </w14:textFill>
        </w:rPr>
        <w:t>更换：由乙方承担所发生的全部费用。</w:t>
      </w:r>
    </w:p>
    <w:p>
      <w:pPr>
        <w:pStyle w:val="19"/>
        <w:numPr>
          <w:ilvl w:val="0"/>
          <w:numId w:val="0"/>
        </w:numPr>
        <w:tabs>
          <w:tab w:val="left" w:pos="797"/>
        </w:tabs>
        <w:spacing w:before="22"/>
        <w:ind w:left="351" w:leftChars="0"/>
        <w:rPr>
          <w:color w:val="000000" w:themeColor="text1"/>
          <w:sz w:val="22"/>
          <w:szCs w:val="22"/>
          <w14:textFill>
            <w14:solidFill>
              <w14:schemeClr w14:val="tx1"/>
            </w14:solidFill>
          </w14:textFill>
        </w:rPr>
      </w:pPr>
      <w:r>
        <w:rPr>
          <w:rFonts w:hint="eastAsia"/>
          <w:color w:val="000000" w:themeColor="text1"/>
          <w:sz w:val="22"/>
          <w:szCs w:val="22"/>
          <w:lang w:eastAsia="zh-CN"/>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lang w:eastAsia="zh-CN"/>
          <w14:textFill>
            <w14:solidFill>
              <w14:schemeClr w14:val="tx1"/>
            </w14:solidFill>
          </w14:textFill>
        </w:rPr>
        <w:t>）</w:t>
      </w:r>
      <w:r>
        <w:rPr>
          <w:color w:val="000000" w:themeColor="text1"/>
          <w:sz w:val="22"/>
          <w:szCs w:val="22"/>
          <w14:textFill>
            <w14:solidFill>
              <w14:schemeClr w14:val="tx1"/>
            </w14:solidFill>
          </w14:textFill>
        </w:rPr>
        <w:t>贬值处理：由甲乙双方合议定价。</w:t>
      </w:r>
    </w:p>
    <w:p>
      <w:pPr>
        <w:pStyle w:val="19"/>
        <w:numPr>
          <w:ilvl w:val="0"/>
          <w:numId w:val="0"/>
        </w:numPr>
        <w:tabs>
          <w:tab w:val="left" w:pos="797"/>
        </w:tabs>
        <w:ind w:left="351" w:leftChars="0"/>
        <w:rPr>
          <w:color w:val="000000" w:themeColor="text1"/>
          <w:sz w:val="22"/>
          <w:szCs w:val="22"/>
          <w14:textFill>
            <w14:solidFill>
              <w14:schemeClr w14:val="tx1"/>
            </w14:solidFill>
          </w14:textFill>
        </w:rPr>
      </w:pPr>
      <w:r>
        <w:rPr>
          <w:rFonts w:hint="eastAsia"/>
          <w:color w:val="000000" w:themeColor="text1"/>
          <w:sz w:val="22"/>
          <w:szCs w:val="22"/>
          <w:lang w:eastAsia="zh-CN"/>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lang w:eastAsia="zh-CN"/>
          <w14:textFill>
            <w14:solidFill>
              <w14:schemeClr w14:val="tx1"/>
            </w14:solidFill>
          </w14:textFill>
        </w:rPr>
        <w:t>）</w:t>
      </w:r>
      <w:r>
        <w:rPr>
          <w:color w:val="000000" w:themeColor="text1"/>
          <w:sz w:val="22"/>
          <w:szCs w:val="22"/>
          <w14:textFill>
            <w14:solidFill>
              <w14:schemeClr w14:val="tx1"/>
            </w14:solidFill>
          </w14:textFill>
        </w:rPr>
        <w:t>退货处理：乙方应退还甲方支付的合同款，同时应承担该货物的直接费用（运输、保险、检验、货款利息及银行手续费等）。</w:t>
      </w:r>
    </w:p>
    <w:p>
      <w:pPr>
        <w:pStyle w:val="19"/>
        <w:numPr>
          <w:ilvl w:val="0"/>
          <w:numId w:val="0"/>
        </w:numPr>
        <w:tabs>
          <w:tab w:val="left" w:pos="522"/>
        </w:tabs>
        <w:spacing w:before="22"/>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在质保期内，乙方应对货物出现的质量及安全问题负责处理解决并承担一切费用。</w:t>
      </w:r>
    </w:p>
    <w:p>
      <w:pPr>
        <w:pStyle w:val="19"/>
        <w:numPr>
          <w:ilvl w:val="0"/>
          <w:numId w:val="0"/>
        </w:numPr>
        <w:tabs>
          <w:tab w:val="left" w:pos="522"/>
        </w:tabs>
        <w:spacing w:before="22"/>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上述的货物在质保期内免费保修，因人为因素出现的故障不在免费保修范围内。超过保修期的机器设备，终生维修，维修时只收部件成本费。乙方应当在</w:t>
      </w:r>
      <w:r>
        <w:rPr>
          <w:rFonts w:hint="eastAsia"/>
          <w:color w:val="000000" w:themeColor="text1"/>
          <w:sz w:val="22"/>
          <w:szCs w:val="22"/>
          <w:lang w:eastAsia="zh-CN"/>
          <w14:textFill>
            <w14:solidFill>
              <w14:schemeClr w14:val="tx1"/>
            </w14:solidFill>
          </w14:textFill>
        </w:rPr>
        <w:t>接到</w:t>
      </w:r>
      <w:r>
        <w:rPr>
          <w:rFonts w:hint="eastAsia"/>
          <w:color w:val="000000" w:themeColor="text1"/>
          <w:sz w:val="22"/>
          <w:szCs w:val="22"/>
          <w14:textFill>
            <w14:solidFill>
              <w14:schemeClr w14:val="tx1"/>
            </w14:solidFill>
          </w14:textFill>
        </w:rPr>
        <w:t>甲方通知维修后</w:t>
      </w:r>
      <w:r>
        <w:rPr>
          <w:color w:val="000000" w:themeColor="text1"/>
          <w:sz w:val="22"/>
          <w:szCs w:val="22"/>
          <w:highlight w:val="none"/>
          <w:u w:val="single" w:color="4068E0"/>
          <w14:textFill>
            <w14:solidFill>
              <w14:schemeClr w14:val="tx1"/>
            </w14:solidFill>
          </w14:textFill>
        </w:rPr>
        <w:t xml:space="preserve"> </w:t>
      </w:r>
      <w:r>
        <w:rPr>
          <w:rFonts w:hint="eastAsia"/>
          <w:color w:val="000000" w:themeColor="text1"/>
          <w:sz w:val="22"/>
          <w:szCs w:val="22"/>
          <w:highlight w:val="none"/>
          <w:u w:val="single" w:color="4068E0"/>
          <w:lang w:val="en-US"/>
          <w14:textFill>
            <w14:solidFill>
              <w14:schemeClr w14:val="tx1"/>
            </w14:solidFill>
          </w14:textFill>
        </w:rPr>
        <w:t>/</w:t>
      </w:r>
      <w:r>
        <w:rPr>
          <w:rFonts w:hint="eastAsia"/>
          <w:color w:val="000000" w:themeColor="text1"/>
          <w:sz w:val="22"/>
          <w:szCs w:val="22"/>
          <w14:textFill>
            <w14:solidFill>
              <w14:schemeClr w14:val="tx1"/>
            </w14:solidFill>
          </w14:textFill>
        </w:rPr>
        <w:t>日内到达货物所在地进行维修。</w:t>
      </w:r>
    </w:p>
    <w:p>
      <w:pPr>
        <w:pStyle w:val="3"/>
        <w:spacing w:before="85"/>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十一、调试和验收</w:t>
      </w:r>
    </w:p>
    <w:p>
      <w:pPr>
        <w:pStyle w:val="19"/>
        <w:numPr>
          <w:ilvl w:val="0"/>
          <w:numId w:val="0"/>
        </w:numPr>
        <w:tabs>
          <w:tab w:val="left" w:pos="522"/>
        </w:tabs>
        <w:spacing w:before="106"/>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甲方对乙方提交的货物依据招标文件上的技术规格要求和国家有关质量标准进行现场验收。货到后，甲方需在</w:t>
      </w:r>
      <w:r>
        <w:rPr>
          <w:rFonts w:hint="eastAsia"/>
          <w:color w:val="000000" w:themeColor="text1"/>
          <w:sz w:val="22"/>
          <w:szCs w:val="22"/>
          <w14:textFill>
            <w14:solidFill>
              <w14:schemeClr w14:val="tx1"/>
            </w14:solidFill>
          </w14:textFill>
        </w:rPr>
        <w:t>二十</w:t>
      </w:r>
      <w:r>
        <w:rPr>
          <w:color w:val="000000" w:themeColor="text1"/>
          <w:sz w:val="22"/>
          <w:szCs w:val="22"/>
          <w14:textFill>
            <w14:solidFill>
              <w14:schemeClr w14:val="tx1"/>
            </w14:solidFill>
          </w14:textFill>
        </w:rPr>
        <w:t>个工作日内验收</w:t>
      </w:r>
      <w:r>
        <w:rPr>
          <w:rFonts w:hint="eastAsia"/>
          <w:color w:val="000000" w:themeColor="text1"/>
          <w:sz w:val="22"/>
          <w:szCs w:val="22"/>
          <w14:textFill>
            <w14:solidFill>
              <w14:schemeClr w14:val="tx1"/>
            </w14:solidFill>
          </w14:textFill>
        </w:rPr>
        <w:t>（质量等隐蔽瑕疵除外）。</w:t>
      </w:r>
    </w:p>
    <w:p>
      <w:pPr>
        <w:pStyle w:val="19"/>
        <w:numPr>
          <w:ilvl w:val="0"/>
          <w:numId w:val="0"/>
        </w:numPr>
        <w:tabs>
          <w:tab w:val="left" w:pos="522"/>
        </w:tabs>
        <w:ind w:left="351" w:leftChars="0" w:right="101" w:righ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乙方交货前应对产品作出全面检查和对验收文件进行整理，并列出清单，作为甲方收货验收和使用的技术条件依据，检验的结果应随货物交甲方。</w:t>
      </w:r>
    </w:p>
    <w:p>
      <w:pPr>
        <w:pStyle w:val="19"/>
        <w:numPr>
          <w:ilvl w:val="0"/>
          <w:numId w:val="0"/>
        </w:numPr>
        <w:tabs>
          <w:tab w:val="left" w:pos="522"/>
        </w:tabs>
        <w:spacing w:before="0"/>
        <w:ind w:left="351" w:leftChars="0" w:right="101" w:righ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甲方对乙方提供的货物在使用前进行调试时，乙方需负责安装并培训甲方的使用操作人员，并协助甲方一起调试，直到符合技术要求，甲方才做最终验收。</w:t>
      </w:r>
    </w:p>
    <w:p>
      <w:pPr>
        <w:pStyle w:val="19"/>
        <w:numPr>
          <w:ilvl w:val="0"/>
          <w:numId w:val="0"/>
        </w:numPr>
        <w:tabs>
          <w:tab w:val="left" w:pos="522"/>
        </w:tabs>
        <w:spacing w:before="0"/>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4、</w:t>
      </w:r>
      <w:r>
        <w:rPr>
          <w:color w:val="000000" w:themeColor="text1"/>
          <w:sz w:val="22"/>
          <w:szCs w:val="22"/>
          <w14:textFill>
            <w14:solidFill>
              <w14:schemeClr w14:val="tx1"/>
            </w14:solidFill>
          </w14:textFill>
        </w:rPr>
        <w:t>对技术复杂的货物，甲方应请国家认可的专业检测机构参与验收，并由其出具质量检测报告。</w:t>
      </w:r>
    </w:p>
    <w:p>
      <w:pPr>
        <w:pStyle w:val="19"/>
        <w:numPr>
          <w:ilvl w:val="0"/>
          <w:numId w:val="0"/>
        </w:numPr>
        <w:tabs>
          <w:tab w:val="left" w:pos="522"/>
        </w:tabs>
        <w:spacing w:before="22"/>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5、</w:t>
      </w:r>
      <w:r>
        <w:rPr>
          <w:color w:val="000000" w:themeColor="text1"/>
          <w:sz w:val="22"/>
          <w:szCs w:val="22"/>
          <w14:textFill>
            <w14:solidFill>
              <w14:schemeClr w14:val="tx1"/>
            </w14:solidFill>
          </w14:textFill>
        </w:rPr>
        <w:t>验收时乙方必须在现场，验收完毕后作出验收结果报告；验收费用由乙方负责。</w:t>
      </w:r>
    </w:p>
    <w:p>
      <w:pPr>
        <w:pStyle w:val="3"/>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十二、货物包装</w:t>
      </w:r>
    </w:p>
    <w:p>
      <w:pPr>
        <w:pStyle w:val="19"/>
        <w:numPr>
          <w:ilvl w:val="0"/>
          <w:numId w:val="0"/>
        </w:numPr>
        <w:tabs>
          <w:tab w:val="left" w:pos="522"/>
        </w:tabs>
        <w:spacing w:before="22"/>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乙方应在货物发运前对其进行满足运输距离、防潮、防震、防锈和防破损装卸等要求包装，以保证货物安全运达甲方指定地点。</w:t>
      </w:r>
    </w:p>
    <w:p>
      <w:pPr>
        <w:pStyle w:val="19"/>
        <w:numPr>
          <w:ilvl w:val="0"/>
          <w:numId w:val="0"/>
        </w:numPr>
        <w:tabs>
          <w:tab w:val="left" w:pos="522"/>
        </w:tabs>
        <w:spacing w:before="22"/>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rFonts w:hint="eastAsia"/>
          <w:color w:val="000000" w:themeColor="text1"/>
          <w:sz w:val="22"/>
          <w:szCs w:val="22"/>
          <w14:textFill>
            <w14:solidFill>
              <w14:schemeClr w14:val="tx1"/>
            </w14:solidFill>
          </w14:textFill>
        </w:rPr>
        <w:t>使用说明书、质量检验证明书、随配附件和工具以及清单一并附于货物内。</w:t>
      </w:r>
    </w:p>
    <w:p>
      <w:pPr>
        <w:pStyle w:val="19"/>
        <w:tabs>
          <w:tab w:val="left" w:pos="522"/>
        </w:tabs>
        <w:ind w:left="0" w:right="4471" w:firstLine="0"/>
        <w:rPr>
          <w:b/>
          <w:color w:val="000000" w:themeColor="text1"/>
          <w:sz w:val="22"/>
          <w:szCs w:val="22"/>
          <w14:textFill>
            <w14:solidFill>
              <w14:schemeClr w14:val="tx1"/>
            </w14:solidFill>
          </w14:textFill>
        </w:rPr>
      </w:pPr>
      <w:r>
        <w:rPr>
          <w:rFonts w:hint="eastAsia"/>
          <w:b/>
          <w:color w:val="000000" w:themeColor="text1"/>
          <w:spacing w:val="10"/>
          <w:sz w:val="22"/>
          <w:szCs w:val="22"/>
          <w14:textFill>
            <w14:solidFill>
              <w14:schemeClr w14:val="tx1"/>
            </w14:solidFill>
          </w14:textFill>
        </w:rPr>
        <w:t>十</w:t>
      </w:r>
      <w:r>
        <w:rPr>
          <w:b/>
          <w:color w:val="000000" w:themeColor="text1"/>
          <w:spacing w:val="10"/>
          <w:sz w:val="22"/>
          <w:szCs w:val="22"/>
          <w14:textFill>
            <w14:solidFill>
              <w14:schemeClr w14:val="tx1"/>
            </w14:solidFill>
          </w14:textFill>
        </w:rPr>
        <w:t>三、违约责任</w:t>
      </w:r>
    </w:p>
    <w:p>
      <w:pPr>
        <w:pStyle w:val="19"/>
        <w:numPr>
          <w:ilvl w:val="0"/>
          <w:numId w:val="0"/>
        </w:numPr>
        <w:tabs>
          <w:tab w:val="left" w:pos="522"/>
        </w:tabs>
        <w:spacing w:before="0"/>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甲方无正当理由拒收货物的，甲方向乙方</w:t>
      </w:r>
      <w:r>
        <w:rPr>
          <w:rFonts w:hint="eastAsia"/>
          <w:color w:val="000000" w:themeColor="text1"/>
          <w:sz w:val="22"/>
          <w:szCs w:val="22"/>
          <w:lang w:eastAsia="zh-CN"/>
          <w14:textFill>
            <w14:solidFill>
              <w14:schemeClr w14:val="tx1"/>
            </w14:solidFill>
          </w14:textFill>
        </w:rPr>
        <w:t>支付</w:t>
      </w:r>
      <w:r>
        <w:rPr>
          <w:color w:val="000000" w:themeColor="text1"/>
          <w:sz w:val="22"/>
          <w:szCs w:val="22"/>
          <w14:textFill>
            <w14:solidFill>
              <w14:schemeClr w14:val="tx1"/>
            </w14:solidFill>
          </w14:textFill>
        </w:rPr>
        <w:t>拒收货款总值的</w:t>
      </w:r>
      <w:r>
        <w:rPr>
          <w:color w:val="000000" w:themeColor="text1"/>
          <w:spacing w:val="3"/>
          <w:sz w:val="22"/>
          <w:szCs w:val="22"/>
          <w:u w:val="none" w:color="auto"/>
          <w14:textFill>
            <w14:solidFill>
              <w14:schemeClr w14:val="tx1"/>
            </w14:solidFill>
          </w14:textFill>
        </w:rPr>
        <w:t>百分之五</w:t>
      </w:r>
      <w:r>
        <w:rPr>
          <w:color w:val="000000" w:themeColor="text1"/>
          <w:sz w:val="22"/>
          <w:szCs w:val="22"/>
          <w14:textFill>
            <w14:solidFill>
              <w14:schemeClr w14:val="tx1"/>
            </w14:solidFill>
          </w14:textFill>
        </w:rPr>
        <w:t>违约金。</w:t>
      </w:r>
    </w:p>
    <w:p>
      <w:pPr>
        <w:pStyle w:val="19"/>
        <w:numPr>
          <w:ilvl w:val="0"/>
          <w:numId w:val="0"/>
        </w:numPr>
        <w:tabs>
          <w:tab w:val="left" w:pos="522"/>
        </w:tabs>
        <w:spacing w:before="117"/>
        <w:ind w:left="351" w:leftChars="0"/>
        <w:rPr>
          <w:rFonts w:hint="default" w:eastAsia="宋体"/>
          <w:color w:val="000000" w:themeColor="text1"/>
          <w:sz w:val="22"/>
          <w:szCs w:val="22"/>
          <w:lang w:val="en-US"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甲方无故逾期验收和办理货款支付手续的</w:t>
      </w:r>
      <w:r>
        <w:rPr>
          <w:rFonts w:hint="eastAsia" w:ascii="Verdana" w:eastAsia="宋体"/>
          <w:color w:val="000000" w:themeColor="text1"/>
          <w:sz w:val="22"/>
          <w:szCs w:val="22"/>
          <w:lang w:eastAsia="zh-CN"/>
          <w14:textFill>
            <w14:solidFill>
              <w14:schemeClr w14:val="tx1"/>
            </w14:solidFill>
          </w14:textFill>
        </w:rPr>
        <w:t>，</w:t>
      </w:r>
      <w:r>
        <w:rPr>
          <w:color w:val="000000" w:themeColor="text1"/>
          <w:sz w:val="22"/>
          <w:szCs w:val="22"/>
          <w14:textFill>
            <w14:solidFill>
              <w14:schemeClr w14:val="tx1"/>
            </w14:solidFill>
          </w14:textFill>
        </w:rPr>
        <w:t>甲方应按逾期付款总额每日</w:t>
      </w:r>
      <w:r>
        <w:rPr>
          <w:color w:val="000000" w:themeColor="text1"/>
          <w:spacing w:val="2"/>
          <w:sz w:val="22"/>
          <w:szCs w:val="22"/>
          <w:u w:val="none" w:color="auto"/>
          <w14:textFill>
            <w14:solidFill>
              <w14:schemeClr w14:val="tx1"/>
            </w14:solidFill>
          </w14:textFill>
        </w:rPr>
        <w:t>万分之五</w:t>
      </w:r>
      <w:r>
        <w:rPr>
          <w:color w:val="000000" w:themeColor="text1"/>
          <w:sz w:val="22"/>
          <w:szCs w:val="22"/>
          <w14:textFill>
            <w14:solidFill>
              <w14:schemeClr w14:val="tx1"/>
            </w14:solidFill>
          </w14:textFill>
        </w:rPr>
        <w:t>向乙方支付违约金</w:t>
      </w:r>
      <w:r>
        <w:rPr>
          <w:rFonts w:hint="eastAsia"/>
          <w:color w:val="000000" w:themeColor="text1"/>
          <w:sz w:val="22"/>
          <w:szCs w:val="22"/>
          <w:lang w:eastAsia="zh-CN"/>
          <w14:textFill>
            <w14:solidFill>
              <w14:schemeClr w14:val="tx1"/>
            </w14:solidFill>
          </w14:textFill>
        </w:rPr>
        <w:t>，最高不超过合同总金额的</w:t>
      </w:r>
      <w:r>
        <w:rPr>
          <w:rFonts w:hint="eastAsia"/>
          <w:color w:val="000000" w:themeColor="text1"/>
          <w:sz w:val="22"/>
          <w:szCs w:val="22"/>
          <w:lang w:val="en-US" w:eastAsia="zh-CN"/>
          <w14:textFill>
            <w14:solidFill>
              <w14:schemeClr w14:val="tx1"/>
            </w14:solidFill>
          </w14:textFill>
        </w:rPr>
        <w:t>5%。</w:t>
      </w:r>
    </w:p>
    <w:p>
      <w:pPr>
        <w:pStyle w:val="19"/>
        <w:numPr>
          <w:ilvl w:val="0"/>
          <w:numId w:val="0"/>
        </w:numPr>
        <w:tabs>
          <w:tab w:val="left" w:pos="522"/>
        </w:tabs>
        <w:spacing w:before="118"/>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乙方逾期交付货物的，乙方应按逾期交货总额每日</w:t>
      </w:r>
      <w:r>
        <w:rPr>
          <w:color w:val="000000" w:themeColor="text1"/>
          <w:spacing w:val="15"/>
          <w:sz w:val="22"/>
          <w:szCs w:val="22"/>
          <w:u w:val="none" w:color="auto"/>
          <w14:textFill>
            <w14:solidFill>
              <w14:schemeClr w14:val="tx1"/>
            </w14:solidFill>
          </w14:textFill>
        </w:rPr>
        <w:t>千分之六</w:t>
      </w:r>
      <w:r>
        <w:rPr>
          <w:color w:val="000000" w:themeColor="text1"/>
          <w:sz w:val="22"/>
          <w:szCs w:val="22"/>
          <w14:textFill>
            <w14:solidFill>
              <w14:schemeClr w14:val="tx1"/>
            </w14:solidFill>
          </w14:textFill>
        </w:rPr>
        <w:t>向甲方支付违约金，由甲方从待付货款中扣除。逾期超过约定日期</w:t>
      </w:r>
      <w:r>
        <w:rPr>
          <w:rFonts w:hint="eastAsia"/>
          <w:color w:val="000000" w:themeColor="text1"/>
          <w:sz w:val="22"/>
          <w:szCs w:val="22"/>
          <w14:textFill>
            <w14:solidFill>
              <w14:schemeClr w14:val="tx1"/>
            </w14:solidFill>
          </w14:textFill>
        </w:rPr>
        <w:t>10个工作日不能交货的，甲方可解除本合同。乙方因逾期交货或因其他违约行为导致甲方解除合同的，乙方应向甲方支付合同总值</w:t>
      </w:r>
      <w:r>
        <w:rPr>
          <w:rFonts w:hint="eastAsia"/>
          <w:color w:val="000000" w:themeColor="text1"/>
          <w:sz w:val="22"/>
          <w:szCs w:val="22"/>
          <w:lang w:val="en-US" w:eastAsia="zh-CN"/>
          <w14:textFill>
            <w14:solidFill>
              <w14:schemeClr w14:val="tx1"/>
            </w14:solidFill>
          </w14:textFill>
        </w:rPr>
        <w:t xml:space="preserve"> </w:t>
      </w:r>
      <w:r>
        <w:rPr>
          <w:rFonts w:hint="eastAsia"/>
          <w:color w:val="000000" w:themeColor="text1"/>
          <w:sz w:val="22"/>
          <w:szCs w:val="22"/>
          <w:u w:val="none"/>
          <w14:textFill>
            <w14:solidFill>
              <w14:schemeClr w14:val="tx1"/>
            </w14:solidFill>
          </w14:textFill>
        </w:rPr>
        <w:t>5%</w:t>
      </w:r>
      <w:r>
        <w:rPr>
          <w:rFonts w:hint="eastAsia"/>
          <w:color w:val="000000" w:themeColor="text1"/>
          <w:sz w:val="22"/>
          <w:szCs w:val="22"/>
          <w:u w:val="none"/>
          <w:lang w:val="en-US" w:eastAsia="zh-CN"/>
          <w14:textFill>
            <w14:solidFill>
              <w14:schemeClr w14:val="tx1"/>
            </w14:solidFill>
          </w14:textFill>
        </w:rPr>
        <w:t xml:space="preserve"> </w:t>
      </w:r>
      <w:r>
        <w:rPr>
          <w:rFonts w:hint="eastAsia"/>
          <w:color w:val="000000" w:themeColor="text1"/>
          <w:sz w:val="22"/>
          <w:szCs w:val="22"/>
          <w14:textFill>
            <w14:solidFill>
              <w14:schemeClr w14:val="tx1"/>
            </w14:solidFill>
          </w14:textFill>
        </w:rPr>
        <w:t>的违约金，如造成甲方损失超过违约金的，超出部分由乙方继续承担赔偿责任。</w:t>
      </w:r>
    </w:p>
    <w:p>
      <w:pPr>
        <w:pStyle w:val="19"/>
        <w:numPr>
          <w:ilvl w:val="0"/>
          <w:numId w:val="0"/>
        </w:numPr>
        <w:ind w:left="350"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乙方所交的货物品种、型号、规格、技术参数、质量不符合合同</w:t>
      </w:r>
      <w:r>
        <w:rPr>
          <w:rFonts w:hint="eastAsia"/>
          <w:color w:val="000000" w:themeColor="text1"/>
          <w:sz w:val="22"/>
          <w:szCs w:val="22"/>
          <w:lang w:eastAsia="zh-CN"/>
          <w14:textFill>
            <w14:solidFill>
              <w14:schemeClr w14:val="tx1"/>
            </w14:solidFill>
          </w14:textFill>
        </w:rPr>
        <w:t>约定</w:t>
      </w:r>
      <w:r>
        <w:rPr>
          <w:rFonts w:hint="eastAsia"/>
          <w:color w:val="000000" w:themeColor="text1"/>
          <w:sz w:val="22"/>
          <w:szCs w:val="22"/>
          <w14:textFill>
            <w14:solidFill>
              <w14:schemeClr w14:val="tx1"/>
            </w14:solidFill>
          </w14:textFill>
        </w:rPr>
        <w:t>及招标文件规定标准的，甲方有权拒收该货物，乙方愿意更换货物，但逾期交货的，按乙方逾期交货处理。乙方拒绝更换货物的，甲方可单方面解除合同。</w:t>
      </w:r>
    </w:p>
    <w:p>
      <w:pPr>
        <w:pStyle w:val="3"/>
        <w:spacing w:before="85"/>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十四、不可抗力事件处理</w:t>
      </w:r>
    </w:p>
    <w:p>
      <w:pPr>
        <w:pStyle w:val="19"/>
        <w:numPr>
          <w:ilvl w:val="0"/>
          <w:numId w:val="0"/>
        </w:numPr>
        <w:tabs>
          <w:tab w:val="left" w:pos="522"/>
        </w:tabs>
        <w:spacing w:before="106"/>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1、</w:t>
      </w:r>
      <w:r>
        <w:rPr>
          <w:color w:val="000000" w:themeColor="text1"/>
          <w:sz w:val="22"/>
          <w:szCs w:val="22"/>
          <w14:textFill>
            <w14:solidFill>
              <w14:schemeClr w14:val="tx1"/>
            </w14:solidFill>
          </w14:textFill>
        </w:rPr>
        <w:t>在合同有效期内，任何一方因不可抗力事件导致不能履行合同，</w:t>
      </w:r>
      <w:r>
        <w:rPr>
          <w:rFonts w:hint="eastAsia"/>
          <w:color w:val="000000" w:themeColor="text1"/>
          <w:sz w:val="22"/>
          <w:szCs w:val="22"/>
          <w14:textFill>
            <w14:solidFill>
              <w14:schemeClr w14:val="tx1"/>
            </w14:solidFill>
          </w14:textFill>
        </w:rPr>
        <w:t>双方协商后，</w:t>
      </w:r>
      <w:r>
        <w:rPr>
          <w:color w:val="000000" w:themeColor="text1"/>
          <w:sz w:val="22"/>
          <w:szCs w:val="22"/>
          <w14:textFill>
            <w14:solidFill>
              <w14:schemeClr w14:val="tx1"/>
            </w14:solidFill>
          </w14:textFill>
        </w:rPr>
        <w:t>则合同履行期可延长，其延长期与不可抗力影响期相同。</w:t>
      </w:r>
    </w:p>
    <w:p>
      <w:pPr>
        <w:pStyle w:val="19"/>
        <w:numPr>
          <w:ilvl w:val="0"/>
          <w:numId w:val="0"/>
        </w:numPr>
        <w:tabs>
          <w:tab w:val="left" w:pos="522"/>
        </w:tabs>
        <w:ind w:left="351" w:leftChars="0"/>
        <w:rPr>
          <w:color w:val="000000" w:themeColor="text1"/>
          <w:sz w:val="22"/>
          <w:szCs w:val="22"/>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不可抗力事件发生后，应立即通知对方，并寄送有关权威机构出具的证明。</w:t>
      </w:r>
    </w:p>
    <w:p>
      <w:pPr>
        <w:pStyle w:val="19"/>
        <w:numPr>
          <w:ilvl w:val="0"/>
          <w:numId w:val="0"/>
        </w:numPr>
        <w:tabs>
          <w:tab w:val="left" w:pos="522"/>
        </w:tabs>
        <w:spacing w:before="22"/>
        <w:ind w:left="351" w:leftChars="0"/>
        <w:rPr>
          <w:color w:val="000000" w:themeColor="text1"/>
          <w:sz w:val="22"/>
          <w:szCs w:val="22"/>
          <w14:textFill>
            <w14:solidFill>
              <w14:schemeClr w14:val="tx1"/>
            </w14:solidFill>
          </w14:textFill>
        </w:rPr>
      </w:pPr>
      <w:r>
        <w:rPr>
          <w:rFonts w:hint="eastAsia"/>
          <w:color w:val="000000" w:themeColor="text1"/>
          <w:spacing w:val="-3"/>
          <w:sz w:val="22"/>
          <w:szCs w:val="22"/>
          <w:lang w:val="en-US" w:eastAsia="zh-CN"/>
          <w14:textFill>
            <w14:solidFill>
              <w14:schemeClr w14:val="tx1"/>
            </w14:solidFill>
          </w14:textFill>
        </w:rPr>
        <w:t>3、</w:t>
      </w:r>
      <w:r>
        <w:rPr>
          <w:color w:val="000000" w:themeColor="text1"/>
          <w:spacing w:val="-3"/>
          <w:sz w:val="22"/>
          <w:szCs w:val="22"/>
          <w14:textFill>
            <w14:solidFill>
              <w14:schemeClr w14:val="tx1"/>
            </w14:solidFill>
          </w14:textFill>
        </w:rPr>
        <w:t xml:space="preserve">不可抗力事件延续 </w:t>
      </w:r>
      <w:r>
        <w:rPr>
          <w:color w:val="000000" w:themeColor="text1"/>
          <w:sz w:val="22"/>
          <w:szCs w:val="22"/>
          <w14:textFill>
            <w14:solidFill>
              <w14:schemeClr w14:val="tx1"/>
            </w14:solidFill>
          </w14:textFill>
        </w:rPr>
        <w:t>120天以上，双方</w:t>
      </w:r>
      <w:r>
        <w:rPr>
          <w:rFonts w:hint="eastAsia"/>
          <w:color w:val="000000" w:themeColor="text1"/>
          <w:sz w:val="22"/>
          <w:szCs w:val="22"/>
          <w14:textFill>
            <w14:solidFill>
              <w14:schemeClr w14:val="tx1"/>
            </w14:solidFill>
          </w14:textFill>
        </w:rPr>
        <w:t>可以</w:t>
      </w:r>
      <w:r>
        <w:rPr>
          <w:color w:val="000000" w:themeColor="text1"/>
          <w:sz w:val="22"/>
          <w:szCs w:val="22"/>
          <w14:textFill>
            <w14:solidFill>
              <w14:schemeClr w14:val="tx1"/>
            </w14:solidFill>
          </w14:textFill>
        </w:rPr>
        <w:t>通过友好协商，确定是否继续履行合同。</w:t>
      </w:r>
    </w:p>
    <w:p>
      <w:pPr>
        <w:pStyle w:val="3"/>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十五、诉讼</w:t>
      </w:r>
    </w:p>
    <w:p>
      <w:pPr>
        <w:pStyle w:val="4"/>
        <w:spacing w:before="22"/>
        <w:ind w:left="351"/>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双方在执行合同中所发生的一切争议，应通过协商解决。如协商不成，可向甲方所在地法院起诉。</w:t>
      </w:r>
    </w:p>
    <w:p>
      <w:pPr>
        <w:pStyle w:val="3"/>
        <w:spacing w:before="107"/>
        <w:rPr>
          <w:sz w:val="22"/>
          <w:szCs w:val="22"/>
        </w:rPr>
      </w:pPr>
      <w:r>
        <w:rPr>
          <w:sz w:val="22"/>
          <w:szCs w:val="22"/>
        </w:rPr>
        <w:t>十六、合同生效及其它</w:t>
      </w:r>
    </w:p>
    <w:p>
      <w:pPr>
        <w:pStyle w:val="19"/>
        <w:numPr>
          <w:ilvl w:val="0"/>
          <w:numId w:val="0"/>
        </w:numPr>
        <w:tabs>
          <w:tab w:val="left" w:pos="522"/>
        </w:tabs>
        <w:ind w:left="351" w:leftChars="0"/>
        <w:rPr>
          <w:sz w:val="22"/>
          <w:szCs w:val="22"/>
        </w:rPr>
      </w:pPr>
      <w:r>
        <w:rPr>
          <w:rFonts w:hint="eastAsia"/>
          <w:sz w:val="22"/>
          <w:szCs w:val="22"/>
          <w:lang w:val="en-US" w:eastAsia="zh-CN"/>
        </w:rPr>
        <w:t>1、</w:t>
      </w:r>
      <w:r>
        <w:rPr>
          <w:sz w:val="22"/>
          <w:szCs w:val="22"/>
        </w:rPr>
        <w:t>本合同经甲、乙双方签字并加盖单位公章后生效。</w:t>
      </w:r>
    </w:p>
    <w:p>
      <w:pPr>
        <w:pStyle w:val="19"/>
        <w:numPr>
          <w:ilvl w:val="0"/>
          <w:numId w:val="0"/>
        </w:numPr>
        <w:tabs>
          <w:tab w:val="left" w:pos="522"/>
        </w:tabs>
        <w:ind w:left="351" w:leftChars="0" w:right="101" w:rightChars="0"/>
        <w:rPr>
          <w:sz w:val="22"/>
          <w:szCs w:val="22"/>
        </w:rPr>
      </w:pPr>
      <w:r>
        <w:rPr>
          <w:rFonts w:hint="eastAsia"/>
          <w:sz w:val="22"/>
          <w:szCs w:val="22"/>
          <w:lang w:val="en-US" w:eastAsia="zh-CN"/>
        </w:rPr>
        <w:t>2、</w:t>
      </w:r>
      <w:r>
        <w:rPr>
          <w:sz w:val="22"/>
          <w:szCs w:val="22"/>
        </w:rPr>
        <w:t>招标文件、投标文件、项目采购协议或入围承诺书与本合同具有同等法律效力。如前述各项文件之间约定不一致的，应以最新签署的文件内容为准。</w:t>
      </w:r>
    </w:p>
    <w:p>
      <w:pPr>
        <w:pStyle w:val="19"/>
        <w:numPr>
          <w:ilvl w:val="0"/>
          <w:numId w:val="0"/>
        </w:numPr>
        <w:tabs>
          <w:tab w:val="left" w:pos="522"/>
        </w:tabs>
        <w:spacing w:before="1"/>
        <w:ind w:left="350" w:leftChars="0"/>
        <w:rPr>
          <w:sz w:val="22"/>
          <w:szCs w:val="22"/>
        </w:rPr>
      </w:pPr>
      <w:r>
        <w:rPr>
          <w:rFonts w:hint="eastAsia"/>
          <w:sz w:val="22"/>
          <w:szCs w:val="22"/>
          <w:lang w:val="en-US" w:eastAsia="zh-CN"/>
        </w:rPr>
        <w:t>3、</w:t>
      </w:r>
      <w:r>
        <w:rPr>
          <w:sz w:val="22"/>
          <w:szCs w:val="22"/>
        </w:rPr>
        <w:t>本合同未尽事宜，</w:t>
      </w:r>
      <w:r>
        <w:rPr>
          <w:rFonts w:hint="eastAsia"/>
          <w:sz w:val="22"/>
          <w:szCs w:val="22"/>
        </w:rPr>
        <w:t>以招投标文件为准</w:t>
      </w:r>
      <w:r>
        <w:rPr>
          <w:sz w:val="22"/>
          <w:szCs w:val="22"/>
        </w:rPr>
        <w:t>。</w:t>
      </w:r>
    </w:p>
    <w:p>
      <w:pPr>
        <w:pStyle w:val="19"/>
        <w:numPr>
          <w:ilvl w:val="0"/>
          <w:numId w:val="0"/>
        </w:numPr>
        <w:ind w:left="350" w:leftChars="0"/>
        <w:rPr>
          <w:sz w:val="22"/>
          <w:szCs w:val="22"/>
        </w:rPr>
      </w:pPr>
      <w:r>
        <w:rPr>
          <w:rFonts w:hint="eastAsia"/>
          <w:sz w:val="22"/>
          <w:szCs w:val="22"/>
          <w:lang w:val="en-US" w:eastAsia="zh-CN"/>
        </w:rPr>
        <w:t>4、</w:t>
      </w:r>
      <w:r>
        <w:rPr>
          <w:rFonts w:hint="eastAsia"/>
          <w:sz w:val="22"/>
          <w:szCs w:val="22"/>
        </w:rPr>
        <w:t>本合同一式三份，甲方执二份，乙方执一份，具有同等法律效力。</w:t>
      </w:r>
    </w:p>
    <w:p>
      <w:pPr>
        <w:pStyle w:val="19"/>
        <w:numPr>
          <w:ilvl w:val="0"/>
          <w:numId w:val="0"/>
        </w:numPr>
        <w:ind w:left="350" w:leftChars="0"/>
        <w:rPr>
          <w:sz w:val="22"/>
          <w:szCs w:val="22"/>
        </w:rPr>
      </w:pPr>
      <w:r>
        <w:rPr>
          <w:rFonts w:hint="eastAsia"/>
          <w:sz w:val="22"/>
          <w:szCs w:val="22"/>
          <w:lang w:val="en-US" w:eastAsia="zh-CN"/>
        </w:rPr>
        <w:t>5、</w:t>
      </w:r>
      <w:r>
        <w:rPr>
          <w:rFonts w:hint="eastAsia"/>
          <w:sz w:val="22"/>
          <w:szCs w:val="22"/>
        </w:rPr>
        <w:t>附件设备配置清单系本合同不可分割的组成部分，与本合同具有同等法律效力。</w:t>
      </w:r>
    </w:p>
    <w:p>
      <w:pPr>
        <w:pStyle w:val="4"/>
        <w:spacing w:before="106" w:line="264" w:lineRule="auto"/>
        <w:ind w:left="105" w:right="209"/>
        <w:rPr>
          <w:sz w:val="22"/>
          <w:szCs w:val="22"/>
        </w:rPr>
      </w:pPr>
    </w:p>
    <w:p>
      <w:pPr>
        <w:pStyle w:val="4"/>
        <w:spacing w:before="106" w:line="264" w:lineRule="auto"/>
        <w:ind w:left="105" w:right="209"/>
        <w:rPr>
          <w:sz w:val="22"/>
          <w:szCs w:val="22"/>
        </w:rPr>
      </w:pPr>
    </w:p>
    <w:p>
      <w:pPr>
        <w:pStyle w:val="4"/>
        <w:spacing w:before="106" w:line="264" w:lineRule="auto"/>
        <w:ind w:left="105" w:right="209"/>
        <w:rPr>
          <w:sz w:val="22"/>
          <w:szCs w:val="22"/>
        </w:rPr>
      </w:pPr>
    </w:p>
    <w:p>
      <w:pPr>
        <w:pStyle w:val="4"/>
        <w:spacing w:before="106" w:line="264" w:lineRule="auto"/>
        <w:ind w:left="105" w:right="209"/>
        <w:rPr>
          <w:sz w:val="22"/>
          <w:szCs w:val="22"/>
        </w:rPr>
      </w:pPr>
    </w:p>
    <w:p>
      <w:pPr>
        <w:pStyle w:val="4"/>
        <w:spacing w:before="106" w:line="264" w:lineRule="auto"/>
        <w:ind w:left="105" w:right="209"/>
        <w:rPr>
          <w:sz w:val="22"/>
          <w:szCs w:val="22"/>
        </w:rPr>
      </w:pPr>
    </w:p>
    <w:p>
      <w:pPr>
        <w:pStyle w:val="4"/>
        <w:spacing w:before="106" w:line="264" w:lineRule="auto"/>
        <w:ind w:left="105" w:right="209"/>
        <w:rPr>
          <w:sz w:val="22"/>
          <w:szCs w:val="22"/>
        </w:rPr>
      </w:pPr>
    </w:p>
    <w:p>
      <w:pPr>
        <w:pStyle w:val="4"/>
        <w:spacing w:before="106" w:line="264" w:lineRule="auto"/>
        <w:ind w:left="105" w:right="209"/>
        <w:rPr>
          <w:sz w:val="22"/>
          <w:szCs w:val="22"/>
        </w:rPr>
      </w:pPr>
      <w:r>
        <w:rPr>
          <w:rFonts w:hint="eastAsia"/>
          <w:sz w:val="22"/>
          <w:szCs w:val="22"/>
        </w:rPr>
        <w:t>甲方（盖章）： 温州市中医院</w:t>
      </w:r>
      <w:r>
        <w:rPr>
          <w:rFonts w:hint="eastAsia"/>
          <w:sz w:val="22"/>
          <w:szCs w:val="22"/>
        </w:rPr>
        <w:tab/>
      </w:r>
      <w:r>
        <w:rPr>
          <w:rFonts w:hint="eastAsia"/>
          <w:sz w:val="22"/>
          <w:szCs w:val="22"/>
        </w:rPr>
        <w:tab/>
      </w:r>
      <w:r>
        <w:rPr>
          <w:rFonts w:hint="eastAsia"/>
          <w:sz w:val="22"/>
          <w:szCs w:val="22"/>
        </w:rPr>
        <w:t xml:space="preserve">              </w:t>
      </w:r>
      <w:r>
        <w:rPr>
          <w:rFonts w:hint="eastAsia"/>
          <w:sz w:val="22"/>
          <w:szCs w:val="22"/>
          <w:lang w:val="en-US" w:eastAsia="zh-CN"/>
        </w:rPr>
        <w:t xml:space="preserve"> </w:t>
      </w:r>
      <w:r>
        <w:rPr>
          <w:rFonts w:hint="eastAsia"/>
          <w:sz w:val="22"/>
          <w:szCs w:val="22"/>
        </w:rPr>
        <w:t xml:space="preserve">乙方（盖章）：  </w:t>
      </w:r>
    </w:p>
    <w:p>
      <w:pPr>
        <w:pStyle w:val="4"/>
        <w:spacing w:before="106" w:line="264" w:lineRule="auto"/>
        <w:ind w:left="105" w:right="209"/>
        <w:rPr>
          <w:sz w:val="22"/>
          <w:szCs w:val="22"/>
        </w:rPr>
      </w:pPr>
      <w:r>
        <w:rPr>
          <w:rFonts w:hint="eastAsia"/>
          <w:sz w:val="22"/>
          <w:szCs w:val="22"/>
        </w:rPr>
        <w:t>地址：温州市六虹桥路蛟尾路9号                   地址：</w:t>
      </w:r>
    </w:p>
    <w:p>
      <w:pPr>
        <w:pStyle w:val="4"/>
        <w:spacing w:before="106" w:line="264" w:lineRule="auto"/>
        <w:ind w:left="105" w:right="209"/>
        <w:rPr>
          <w:sz w:val="22"/>
          <w:szCs w:val="22"/>
        </w:rPr>
      </w:pPr>
      <w:r>
        <w:rPr>
          <w:rFonts w:hint="eastAsia"/>
          <w:sz w:val="22"/>
          <w:szCs w:val="22"/>
        </w:rPr>
        <w:t xml:space="preserve">法定（授权）代表人：                            法定（授权）代表人： </w:t>
      </w:r>
    </w:p>
    <w:p>
      <w:pPr>
        <w:pStyle w:val="4"/>
        <w:spacing w:before="106" w:line="264" w:lineRule="auto"/>
        <w:ind w:left="105" w:right="209"/>
        <w:rPr>
          <w:sz w:val="18"/>
        </w:rPr>
      </w:pPr>
      <w:r>
        <w:rPr>
          <w:rFonts w:hint="eastAsia"/>
          <w:sz w:val="22"/>
          <w:szCs w:val="22"/>
        </w:rPr>
        <w:t>签字日期：    年    月    日                    签字日期：    年   月   日</w:t>
      </w:r>
    </w:p>
    <w:p>
      <w:pPr>
        <w:widowControl/>
        <w:jc w:val="left"/>
        <w:rPr>
          <w:rFonts w:ascii="宋体" w:hAnsi="宋体" w:eastAsia="宋体" w:cs="宋体"/>
          <w:kern w:val="0"/>
          <w:szCs w:val="17"/>
          <w:lang w:val="zh-CN" w:bidi="zh-CN"/>
        </w:rPr>
      </w:pPr>
      <w:r>
        <w:br w:type="page"/>
      </w:r>
    </w:p>
    <w:p>
      <w:pPr>
        <w:jc w:val="center"/>
        <w:rPr>
          <w:b/>
          <w:sz w:val="36"/>
          <w:szCs w:val="36"/>
        </w:rPr>
      </w:pPr>
      <w:r>
        <w:rPr>
          <w:rFonts w:hint="eastAsia"/>
          <w:b/>
          <w:sz w:val="36"/>
          <w:szCs w:val="36"/>
        </w:rPr>
        <w:t>设备配置清单</w:t>
      </w:r>
    </w:p>
    <w:p>
      <w:pPr>
        <w:pStyle w:val="4"/>
        <w:rPr>
          <w:sz w:val="20"/>
        </w:rPr>
      </w:pPr>
    </w:p>
    <w:tbl>
      <w:tblPr>
        <w:tblStyle w:val="11"/>
        <w:tblpPr w:leftFromText="180" w:rightFromText="180" w:vertAnchor="text" w:horzAnchor="margin" w:tblpXSpec="center" w:tblpY="357"/>
        <w:tblOverlap w:val="never"/>
        <w:tblW w:w="9500" w:type="dxa"/>
        <w:tblInd w:w="-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5"/>
        <w:gridCol w:w="1231"/>
        <w:gridCol w:w="2934"/>
        <w:gridCol w:w="1815"/>
        <w:gridCol w:w="705"/>
        <w:gridCol w:w="111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dxa"/>
          </w:tcPr>
          <w:p>
            <w:pPr>
              <w:jc w:val="center"/>
              <w:rPr>
                <w:b/>
                <w:sz w:val="22"/>
                <w:szCs w:val="22"/>
              </w:rPr>
            </w:pPr>
            <w:r>
              <w:rPr>
                <w:rFonts w:hint="eastAsia"/>
                <w:b/>
                <w:sz w:val="22"/>
                <w:szCs w:val="22"/>
              </w:rPr>
              <w:t>序号</w:t>
            </w:r>
          </w:p>
        </w:tc>
        <w:tc>
          <w:tcPr>
            <w:tcW w:w="1231" w:type="dxa"/>
            <w:vAlign w:val="center"/>
          </w:tcPr>
          <w:p>
            <w:pPr>
              <w:jc w:val="center"/>
              <w:rPr>
                <w:b/>
                <w:sz w:val="22"/>
                <w:szCs w:val="22"/>
              </w:rPr>
            </w:pPr>
            <w:r>
              <w:rPr>
                <w:rFonts w:hint="eastAsia"/>
                <w:b/>
                <w:sz w:val="22"/>
                <w:szCs w:val="22"/>
              </w:rPr>
              <w:t>品牌</w:t>
            </w:r>
          </w:p>
        </w:tc>
        <w:tc>
          <w:tcPr>
            <w:tcW w:w="2934" w:type="dxa"/>
            <w:vAlign w:val="center"/>
          </w:tcPr>
          <w:p>
            <w:pPr>
              <w:jc w:val="center"/>
              <w:rPr>
                <w:b/>
                <w:sz w:val="22"/>
                <w:szCs w:val="22"/>
              </w:rPr>
            </w:pPr>
            <w:r>
              <w:rPr>
                <w:rFonts w:hint="eastAsia"/>
                <w:b/>
                <w:sz w:val="22"/>
                <w:szCs w:val="22"/>
              </w:rPr>
              <w:t>产品名称</w:t>
            </w:r>
          </w:p>
        </w:tc>
        <w:tc>
          <w:tcPr>
            <w:tcW w:w="1815" w:type="dxa"/>
            <w:vAlign w:val="center"/>
          </w:tcPr>
          <w:p>
            <w:pPr>
              <w:jc w:val="center"/>
              <w:rPr>
                <w:b/>
                <w:sz w:val="22"/>
                <w:szCs w:val="22"/>
              </w:rPr>
            </w:pPr>
            <w:r>
              <w:rPr>
                <w:rFonts w:hint="eastAsia"/>
                <w:b/>
                <w:sz w:val="22"/>
                <w:szCs w:val="22"/>
              </w:rPr>
              <w:t>规格型号</w:t>
            </w:r>
          </w:p>
        </w:tc>
        <w:tc>
          <w:tcPr>
            <w:tcW w:w="705" w:type="dxa"/>
            <w:vAlign w:val="center"/>
          </w:tcPr>
          <w:p>
            <w:pPr>
              <w:jc w:val="center"/>
              <w:rPr>
                <w:b/>
                <w:sz w:val="22"/>
                <w:szCs w:val="22"/>
              </w:rPr>
            </w:pPr>
            <w:r>
              <w:rPr>
                <w:rFonts w:hint="eastAsia"/>
                <w:b/>
                <w:sz w:val="22"/>
                <w:szCs w:val="22"/>
              </w:rPr>
              <w:t>数量</w:t>
            </w:r>
          </w:p>
        </w:tc>
        <w:tc>
          <w:tcPr>
            <w:tcW w:w="1110" w:type="dxa"/>
            <w:vAlign w:val="center"/>
          </w:tcPr>
          <w:p>
            <w:pPr>
              <w:jc w:val="center"/>
              <w:rPr>
                <w:b/>
                <w:sz w:val="22"/>
                <w:szCs w:val="22"/>
              </w:rPr>
            </w:pPr>
            <w:r>
              <w:rPr>
                <w:rFonts w:hint="eastAsia"/>
                <w:b/>
                <w:sz w:val="22"/>
                <w:szCs w:val="22"/>
              </w:rPr>
              <w:t>金额（元）</w:t>
            </w:r>
          </w:p>
        </w:tc>
        <w:tc>
          <w:tcPr>
            <w:tcW w:w="930" w:type="dxa"/>
            <w:vAlign w:val="center"/>
          </w:tcPr>
          <w:p>
            <w:pPr>
              <w:jc w:val="center"/>
              <w:rPr>
                <w:b/>
                <w:sz w:val="22"/>
                <w:szCs w:val="22"/>
              </w:rPr>
            </w:pPr>
            <w:r>
              <w:rPr>
                <w:rFonts w:hint="eastAsia"/>
                <w:b/>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2</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3</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4</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5</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6</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7</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8</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9</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10</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pacing w:val="20"/>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11</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pacing w:val="20"/>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12</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pacing w:val="20"/>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13</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pacing w:val="20"/>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75" w:type="dxa"/>
          </w:tcPr>
          <w:p>
            <w:pPr>
              <w:jc w:val="center"/>
              <w:rPr>
                <w:sz w:val="22"/>
                <w:szCs w:val="22"/>
              </w:rPr>
            </w:pPr>
            <w:r>
              <w:rPr>
                <w:rFonts w:hint="eastAsia"/>
                <w:sz w:val="22"/>
                <w:szCs w:val="22"/>
              </w:rPr>
              <w:t>14</w:t>
            </w:r>
          </w:p>
        </w:tc>
        <w:tc>
          <w:tcPr>
            <w:tcW w:w="1231" w:type="dxa"/>
            <w:vAlign w:val="center"/>
          </w:tcPr>
          <w:p>
            <w:pPr>
              <w:tabs>
                <w:tab w:val="left" w:pos="1418"/>
              </w:tabs>
              <w:snapToGrid w:val="0"/>
              <w:spacing w:before="50" w:after="50" w:line="276" w:lineRule="auto"/>
              <w:jc w:val="center"/>
              <w:rPr>
                <w:spacing w:val="20"/>
                <w:sz w:val="22"/>
                <w:szCs w:val="22"/>
              </w:rPr>
            </w:pPr>
          </w:p>
        </w:tc>
        <w:tc>
          <w:tcPr>
            <w:tcW w:w="2934" w:type="dxa"/>
            <w:vAlign w:val="center"/>
          </w:tcPr>
          <w:p>
            <w:pPr>
              <w:tabs>
                <w:tab w:val="left" w:pos="1418"/>
              </w:tabs>
              <w:snapToGrid w:val="0"/>
              <w:spacing w:before="50" w:after="50" w:line="276" w:lineRule="auto"/>
              <w:jc w:val="center"/>
              <w:rPr>
                <w:spacing w:val="20"/>
                <w:sz w:val="22"/>
                <w:szCs w:val="22"/>
              </w:rPr>
            </w:pPr>
          </w:p>
        </w:tc>
        <w:tc>
          <w:tcPr>
            <w:tcW w:w="1815" w:type="dxa"/>
            <w:vAlign w:val="center"/>
          </w:tcPr>
          <w:p>
            <w:pPr>
              <w:rPr>
                <w:spacing w:val="20"/>
                <w:sz w:val="22"/>
                <w:szCs w:val="22"/>
              </w:rPr>
            </w:pPr>
          </w:p>
        </w:tc>
        <w:tc>
          <w:tcPr>
            <w:tcW w:w="705" w:type="dxa"/>
          </w:tcPr>
          <w:p>
            <w:pPr>
              <w:rPr>
                <w:sz w:val="22"/>
                <w:szCs w:val="22"/>
              </w:rPr>
            </w:pPr>
          </w:p>
        </w:tc>
        <w:tc>
          <w:tcPr>
            <w:tcW w:w="1110" w:type="dxa"/>
            <w:vAlign w:val="center"/>
          </w:tcPr>
          <w:p>
            <w:pPr>
              <w:tabs>
                <w:tab w:val="left" w:pos="1418"/>
              </w:tabs>
              <w:snapToGrid w:val="0"/>
              <w:spacing w:before="50" w:after="50" w:line="276" w:lineRule="auto"/>
              <w:jc w:val="center"/>
              <w:rPr>
                <w:sz w:val="22"/>
                <w:szCs w:val="22"/>
              </w:rPr>
            </w:pPr>
          </w:p>
        </w:tc>
        <w:tc>
          <w:tcPr>
            <w:tcW w:w="930" w:type="dxa"/>
          </w:tcPr>
          <w:p>
            <w:pPr>
              <w:rPr>
                <w:sz w:val="22"/>
                <w:szCs w:val="22"/>
              </w:rPr>
            </w:pPr>
          </w:p>
        </w:tc>
      </w:tr>
    </w:tbl>
    <w:p>
      <w:pPr>
        <w:pStyle w:val="4"/>
        <w:rPr>
          <w:sz w:val="20"/>
        </w:rPr>
      </w:pPr>
    </w:p>
    <w:p>
      <w:pPr>
        <w:widowControl/>
        <w:jc w:val="left"/>
        <w:rPr>
          <w:rFonts w:ascii="宋体" w:hAnsi="宋体" w:eastAsia="宋体" w:cs="宋体"/>
          <w:kern w:val="0"/>
          <w:sz w:val="20"/>
          <w:szCs w:val="17"/>
          <w:lang w:val="zh-CN" w:bidi="zh-CN"/>
        </w:rPr>
      </w:pPr>
      <w:r>
        <w:rPr>
          <w:sz w:val="20"/>
        </w:rPr>
        <w:br w:type="page"/>
      </w:r>
    </w:p>
    <w:p>
      <w:pPr>
        <w:spacing w:line="440" w:lineRule="exact"/>
        <w:jc w:val="center"/>
        <w:rPr>
          <w:rFonts w:ascii="Calibri" w:hAnsi="Calibri" w:eastAsia="宋体" w:cs="Times New Roman"/>
          <w:b/>
          <w:sz w:val="28"/>
          <w:szCs w:val="28"/>
        </w:rPr>
      </w:pPr>
      <w:r>
        <w:rPr>
          <w:rFonts w:ascii="Calibri" w:hAnsi="Calibri" w:eastAsia="宋体" w:cs="Times New Roman"/>
          <w:b/>
          <w:sz w:val="28"/>
          <w:szCs w:val="28"/>
        </w:rPr>
        <w:t>廉洁购销合同</w:t>
      </w:r>
    </w:p>
    <w:p>
      <w:pPr>
        <w:spacing w:line="440" w:lineRule="exact"/>
        <w:rPr>
          <w:rFonts w:ascii="Calibri" w:hAnsi="Calibri" w:eastAsia="宋体" w:cs="Times New Roman"/>
          <w:bCs/>
          <w:sz w:val="22"/>
          <w:szCs w:val="22"/>
        </w:rPr>
      </w:pPr>
      <w:r>
        <w:rPr>
          <w:rFonts w:ascii="Calibri" w:hAnsi="Calibri" w:eastAsia="宋体" w:cs="Times New Roman"/>
          <w:sz w:val="22"/>
          <w:szCs w:val="22"/>
        </w:rPr>
        <w:t>甲方</w:t>
      </w:r>
      <w:r>
        <w:rPr>
          <w:rFonts w:ascii="Calibri" w:hAnsi="Calibri" w:eastAsia="宋体" w:cs="Times New Roman"/>
          <w:bCs/>
          <w:sz w:val="22"/>
          <w:szCs w:val="22"/>
        </w:rPr>
        <w:t>：</w:t>
      </w:r>
      <w:r>
        <w:rPr>
          <w:rFonts w:hint="eastAsia" w:ascii="Calibri" w:hAnsi="Calibri" w:eastAsia="宋体" w:cs="Times New Roman"/>
          <w:bCs/>
          <w:sz w:val="22"/>
          <w:szCs w:val="22"/>
        </w:rPr>
        <w:t>温州市中医院</w:t>
      </w:r>
    </w:p>
    <w:p>
      <w:pPr>
        <w:spacing w:line="440" w:lineRule="exact"/>
        <w:rPr>
          <w:rFonts w:hint="eastAsia" w:ascii="Calibri" w:hAnsi="Calibri" w:eastAsia="宋体" w:cs="Times New Roman"/>
          <w:bCs/>
          <w:sz w:val="22"/>
          <w:szCs w:val="22"/>
        </w:rPr>
      </w:pPr>
      <w:r>
        <w:rPr>
          <w:rFonts w:ascii="Calibri" w:hAnsi="Calibri" w:eastAsia="宋体" w:cs="Times New Roman"/>
          <w:sz w:val="22"/>
          <w:szCs w:val="22"/>
        </w:rPr>
        <w:t>乙方</w:t>
      </w:r>
      <w:r>
        <w:rPr>
          <w:rFonts w:ascii="Calibri" w:hAnsi="Calibri" w:eastAsia="宋体" w:cs="Times New Roman"/>
          <w:bCs/>
          <w:sz w:val="22"/>
          <w:szCs w:val="22"/>
        </w:rPr>
        <w:t>：</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为进一步加强医疗卫生行风建设，规范医疗卫生机构</w:t>
      </w:r>
      <w:r>
        <w:rPr>
          <w:rFonts w:hint="eastAsia" w:ascii="Calibri" w:hAnsi="Calibri" w:eastAsia="宋体" w:cs="Times New Roman"/>
          <w:bCs/>
          <w:sz w:val="22"/>
          <w:szCs w:val="22"/>
        </w:rPr>
        <w:t>各类</w:t>
      </w:r>
      <w:r>
        <w:rPr>
          <w:rFonts w:ascii="Calibri" w:hAnsi="Calibri" w:eastAsia="宋体" w:cs="Times New Roman"/>
          <w:bCs/>
          <w:sz w:val="22"/>
          <w:szCs w:val="22"/>
        </w:rPr>
        <w:t>购销行为，有效防范商业贿赂行为，营造公平交易、诚实守信的</w:t>
      </w:r>
      <w:r>
        <w:rPr>
          <w:rFonts w:hint="eastAsia" w:ascii="Calibri" w:hAnsi="Calibri" w:eastAsia="宋体" w:cs="Times New Roman"/>
          <w:bCs/>
          <w:sz w:val="22"/>
          <w:szCs w:val="22"/>
        </w:rPr>
        <w:t>“清廉医院”</w:t>
      </w:r>
      <w:r>
        <w:rPr>
          <w:rFonts w:ascii="Calibri" w:hAnsi="Calibri" w:eastAsia="宋体" w:cs="Times New Roman"/>
          <w:bCs/>
          <w:sz w:val="22"/>
          <w:szCs w:val="22"/>
        </w:rPr>
        <w:t>购销环境，经甲、乙双方协商，同意签订本合同，并共同遵守：</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一、甲乙双方按照《</w:t>
      </w:r>
      <w:r>
        <w:rPr>
          <w:rFonts w:hint="eastAsia" w:ascii="Calibri" w:hAnsi="Calibri" w:eastAsia="宋体" w:cs="Times New Roman"/>
          <w:bCs/>
          <w:sz w:val="22"/>
          <w:szCs w:val="22"/>
        </w:rPr>
        <w:t>民法典</w:t>
      </w:r>
      <w:r>
        <w:rPr>
          <w:rFonts w:ascii="Calibri" w:hAnsi="Calibri" w:eastAsia="宋体" w:cs="Times New Roman"/>
          <w:bCs/>
          <w:sz w:val="22"/>
          <w:szCs w:val="22"/>
        </w:rPr>
        <w:t>》</w:t>
      </w:r>
      <w:r>
        <w:rPr>
          <w:rFonts w:hint="eastAsia" w:ascii="Calibri" w:hAnsi="Calibri" w:eastAsia="宋体" w:cs="Times New Roman"/>
          <w:bCs/>
          <w:sz w:val="22"/>
          <w:szCs w:val="22"/>
        </w:rPr>
        <w:t>等相关法规要求，约定</w:t>
      </w:r>
      <w:r>
        <w:rPr>
          <w:rFonts w:ascii="Calibri" w:hAnsi="Calibri" w:eastAsia="宋体" w:cs="Times New Roman"/>
          <w:bCs/>
          <w:sz w:val="22"/>
          <w:szCs w:val="22"/>
        </w:rPr>
        <w:t>购销</w:t>
      </w:r>
      <w:r>
        <w:rPr>
          <w:rFonts w:hint="eastAsia" w:ascii="Calibri" w:hAnsi="Calibri" w:eastAsia="宋体" w:cs="Times New Roman"/>
          <w:bCs/>
          <w:sz w:val="22"/>
          <w:szCs w:val="22"/>
        </w:rPr>
        <w:t>包括但不限于</w:t>
      </w:r>
      <w:r>
        <w:rPr>
          <w:rFonts w:ascii="Calibri" w:hAnsi="Calibri" w:eastAsia="宋体" w:cs="Times New Roman"/>
          <w:bCs/>
          <w:sz w:val="22"/>
          <w:szCs w:val="22"/>
        </w:rPr>
        <w:t>药品、设备、耗材</w:t>
      </w:r>
      <w:r>
        <w:rPr>
          <w:rFonts w:hint="eastAsia" w:ascii="Calibri" w:hAnsi="Calibri" w:eastAsia="宋体" w:cs="Times New Roman"/>
          <w:bCs/>
          <w:sz w:val="22"/>
          <w:szCs w:val="22"/>
        </w:rPr>
        <w:t>、维保</w:t>
      </w:r>
      <w:r>
        <w:rPr>
          <w:rFonts w:ascii="Calibri" w:hAnsi="Calibri" w:eastAsia="宋体" w:cs="Times New Roman"/>
          <w:bCs/>
          <w:sz w:val="22"/>
          <w:szCs w:val="22"/>
        </w:rPr>
        <w:t>等</w:t>
      </w:r>
      <w:r>
        <w:rPr>
          <w:rFonts w:hint="eastAsia" w:ascii="Calibri" w:hAnsi="Calibri" w:eastAsia="宋体" w:cs="Times New Roman"/>
          <w:bCs/>
          <w:sz w:val="22"/>
          <w:szCs w:val="22"/>
        </w:rPr>
        <w:t>货物或服务</w:t>
      </w:r>
      <w:r>
        <w:rPr>
          <w:rFonts w:ascii="Calibri" w:hAnsi="Calibri" w:eastAsia="宋体" w:cs="Times New Roman"/>
          <w:bCs/>
          <w:sz w:val="22"/>
          <w:szCs w:val="22"/>
        </w:rPr>
        <w:t>。</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二、甲方应当严格执行合同验收、入库制度，对采购产品及发票进行查验，不得违反有关规定合同外采购、违价采购或从非规定渠道采购。</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四、严禁甲方工作人员利用任何途径和方式，为乙方统计医师个人及临床科室有关医药产品用量信息，或为乙方统计提供便利。</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五、乙方不得以回扣、宴请等方式影响甲方工作人员采购</w:t>
      </w:r>
      <w:r>
        <w:rPr>
          <w:rFonts w:hint="eastAsia" w:ascii="Calibri" w:hAnsi="Calibri" w:eastAsia="宋体" w:cs="Times New Roman"/>
          <w:bCs/>
          <w:sz w:val="22"/>
          <w:szCs w:val="22"/>
        </w:rPr>
        <w:t>或使用</w:t>
      </w:r>
      <w:r>
        <w:rPr>
          <w:rFonts w:ascii="Calibri" w:hAnsi="Calibri" w:eastAsia="宋体" w:cs="Times New Roman"/>
          <w:bCs/>
          <w:sz w:val="22"/>
          <w:szCs w:val="22"/>
        </w:rPr>
        <w:t>产品的选择权，不得在学术活动中提供旅游、超标准支付食宿费用。</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六、乙方指定</w:t>
      </w:r>
      <w:r>
        <w:rPr>
          <w:rFonts w:ascii="Calibri" w:hAnsi="Calibri" w:eastAsia="宋体" w:cs="Times New Roman"/>
          <w:bCs/>
          <w:sz w:val="22"/>
          <w:szCs w:val="22"/>
          <w:u w:val="single"/>
        </w:rPr>
        <w:t xml:space="preserve">                        </w:t>
      </w:r>
      <w:r>
        <w:rPr>
          <w:rFonts w:ascii="Calibri" w:hAnsi="Calibri" w:eastAsia="宋体" w:cs="Times New Roman"/>
          <w:bCs/>
          <w:sz w:val="22"/>
          <w:szCs w:val="22"/>
        </w:rPr>
        <w:t>作为销售代表洽谈业务。销售代表必须在工作时间到甲方指定地点联系商谈，不得到住院部、门诊部、医技科室等推销产品，不得借故到甲方相关领导、部门负责人及相关工作人员家中访谈并提供任何好处费。</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Calibri" w:hAnsi="Calibri" w:eastAsia="宋体" w:cs="Times New Roman"/>
          <w:bCs/>
          <w:sz w:val="22"/>
          <w:szCs w:val="22"/>
          <w:shd w:val="clear" w:color="auto" w:fill="FFFFFF"/>
        </w:rPr>
        <w:t>（国卫法制发〔2013〕50号）</w:t>
      </w:r>
      <w:r>
        <w:rPr>
          <w:rFonts w:hint="eastAsia" w:ascii="Calibri" w:hAnsi="Calibri" w:eastAsia="宋体" w:cs="Times New Roman"/>
          <w:bCs/>
          <w:sz w:val="22"/>
          <w:szCs w:val="22"/>
          <w:shd w:val="clear" w:color="auto" w:fill="FFFFFF"/>
        </w:rPr>
        <w:t>及《关于印发医疗机构工作人员廉洁从业九项准则的通知》（国卫医发〔2021〕37号）</w:t>
      </w:r>
      <w:r>
        <w:rPr>
          <w:rFonts w:ascii="Calibri" w:hAnsi="Calibri" w:eastAsia="宋体" w:cs="Times New Roman"/>
          <w:bCs/>
          <w:sz w:val="22"/>
          <w:szCs w:val="22"/>
        </w:rPr>
        <w:t>相关规定处理。</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八、本合同作为购销合同的重要组成部分，与购销合同一并执行，具有同等的法律效力。</w:t>
      </w:r>
    </w:p>
    <w:p>
      <w:pPr>
        <w:spacing w:line="440" w:lineRule="exact"/>
        <w:ind w:firstLine="440" w:firstLineChars="200"/>
        <w:rPr>
          <w:rFonts w:ascii="Calibri" w:hAnsi="Calibri" w:eastAsia="宋体" w:cs="Times New Roman"/>
          <w:bCs/>
          <w:sz w:val="22"/>
          <w:szCs w:val="22"/>
        </w:rPr>
      </w:pPr>
      <w:r>
        <w:rPr>
          <w:rFonts w:ascii="Calibri" w:hAnsi="Calibri" w:eastAsia="宋体" w:cs="Times New Roman"/>
          <w:bCs/>
          <w:sz w:val="22"/>
          <w:szCs w:val="22"/>
        </w:rPr>
        <w:t>九、本合同一式三份，甲、乙双方各执一份，甲方纪检监察部门执一份，并从签订之日起生效。</w:t>
      </w:r>
    </w:p>
    <w:p>
      <w:pPr>
        <w:spacing w:line="440" w:lineRule="exact"/>
        <w:rPr>
          <w:rFonts w:ascii="Calibri" w:hAnsi="Calibri" w:eastAsia="宋体" w:cs="Times New Roman"/>
          <w:bCs/>
          <w:sz w:val="22"/>
          <w:szCs w:val="22"/>
        </w:rPr>
      </w:pPr>
    </w:p>
    <w:p>
      <w:pPr>
        <w:spacing w:line="440" w:lineRule="exact"/>
        <w:rPr>
          <w:rFonts w:ascii="Calibri" w:hAnsi="Calibri" w:eastAsia="宋体" w:cs="Times New Roman"/>
          <w:bCs/>
          <w:sz w:val="22"/>
          <w:szCs w:val="22"/>
        </w:rPr>
      </w:pPr>
      <w:r>
        <w:rPr>
          <w:rFonts w:ascii="Calibri" w:hAnsi="Calibri" w:eastAsia="宋体" w:cs="Times New Roman"/>
          <w:bCs/>
          <w:sz w:val="22"/>
          <w:szCs w:val="22"/>
        </w:rPr>
        <w:t xml:space="preserve">甲方（盖章）：                     </w:t>
      </w:r>
      <w:r>
        <w:rPr>
          <w:rFonts w:hint="eastAsia" w:ascii="Calibri" w:hAnsi="Calibri" w:eastAsia="宋体" w:cs="Times New Roman"/>
          <w:bCs/>
          <w:sz w:val="22"/>
          <w:szCs w:val="22"/>
        </w:rPr>
        <w:t xml:space="preserve">       </w:t>
      </w:r>
      <w:r>
        <w:rPr>
          <w:rFonts w:ascii="Calibri" w:hAnsi="Calibri" w:eastAsia="宋体" w:cs="Times New Roman"/>
          <w:bCs/>
          <w:sz w:val="22"/>
          <w:szCs w:val="22"/>
        </w:rPr>
        <w:t>乙方（盖章）：</w:t>
      </w:r>
    </w:p>
    <w:p>
      <w:pPr>
        <w:spacing w:line="440" w:lineRule="exact"/>
        <w:rPr>
          <w:rFonts w:ascii="Calibri" w:hAnsi="Calibri" w:eastAsia="宋体" w:cs="Times New Roman"/>
          <w:bCs/>
          <w:sz w:val="22"/>
          <w:szCs w:val="22"/>
        </w:rPr>
      </w:pPr>
      <w:r>
        <w:rPr>
          <w:rFonts w:ascii="Calibri" w:hAnsi="Calibri" w:eastAsia="宋体" w:cs="Times New Roman"/>
          <w:bCs/>
          <w:sz w:val="22"/>
          <w:szCs w:val="22"/>
        </w:rPr>
        <w:t xml:space="preserve">法定代表人（负责人）：             </w:t>
      </w:r>
      <w:r>
        <w:rPr>
          <w:rFonts w:hint="eastAsia" w:ascii="Calibri" w:hAnsi="Calibri" w:eastAsia="宋体" w:cs="Times New Roman"/>
          <w:bCs/>
          <w:sz w:val="22"/>
          <w:szCs w:val="22"/>
        </w:rPr>
        <w:t xml:space="preserve">       </w:t>
      </w:r>
      <w:r>
        <w:rPr>
          <w:rFonts w:ascii="Calibri" w:hAnsi="Calibri" w:eastAsia="宋体" w:cs="Times New Roman"/>
          <w:bCs/>
          <w:sz w:val="22"/>
          <w:szCs w:val="22"/>
        </w:rPr>
        <w:t>法定代表人（负责人）：</w:t>
      </w:r>
    </w:p>
    <w:p>
      <w:pPr>
        <w:spacing w:line="440" w:lineRule="exact"/>
        <w:rPr>
          <w:rFonts w:ascii="Calibri" w:hAnsi="Calibri" w:eastAsia="宋体" w:cs="Times New Roman"/>
          <w:bCs/>
          <w:sz w:val="22"/>
          <w:szCs w:val="22"/>
        </w:rPr>
      </w:pPr>
      <w:r>
        <w:rPr>
          <w:rFonts w:ascii="Calibri" w:hAnsi="Calibri" w:eastAsia="宋体" w:cs="Times New Roman"/>
          <w:bCs/>
          <w:sz w:val="22"/>
          <w:szCs w:val="22"/>
        </w:rPr>
        <w:t xml:space="preserve">经办人签名：                     </w:t>
      </w:r>
      <w:r>
        <w:rPr>
          <w:rFonts w:hint="eastAsia" w:ascii="Calibri" w:hAnsi="Calibri" w:eastAsia="宋体" w:cs="Times New Roman"/>
          <w:bCs/>
          <w:sz w:val="22"/>
          <w:szCs w:val="22"/>
        </w:rPr>
        <w:t xml:space="preserve">       </w:t>
      </w:r>
      <w:r>
        <w:rPr>
          <w:rFonts w:ascii="Calibri" w:hAnsi="Calibri" w:eastAsia="宋体" w:cs="Times New Roman"/>
          <w:bCs/>
          <w:sz w:val="22"/>
          <w:szCs w:val="22"/>
        </w:rPr>
        <w:t xml:space="preserve"> 经办人签名：</w:t>
      </w:r>
    </w:p>
    <w:p>
      <w:pPr>
        <w:spacing w:line="440" w:lineRule="exact"/>
        <w:ind w:firstLine="550" w:firstLineChars="250"/>
        <w:rPr>
          <w:rFonts w:ascii="Calibri" w:hAnsi="Calibri" w:eastAsia="宋体" w:cs="Times New Roman"/>
          <w:sz w:val="18"/>
          <w:szCs w:val="24"/>
        </w:rPr>
      </w:pPr>
      <w:r>
        <w:rPr>
          <w:rFonts w:ascii="Calibri" w:hAnsi="Calibri" w:eastAsia="宋体" w:cs="Times New Roman"/>
          <w:bCs/>
          <w:sz w:val="22"/>
          <w:szCs w:val="22"/>
        </w:rPr>
        <w:t xml:space="preserve">年   月   日                      </w:t>
      </w:r>
      <w:r>
        <w:rPr>
          <w:rFonts w:hint="eastAsia" w:ascii="Calibri" w:hAnsi="Calibri" w:eastAsia="宋体" w:cs="Times New Roman"/>
          <w:bCs/>
          <w:sz w:val="22"/>
          <w:szCs w:val="22"/>
        </w:rPr>
        <w:t xml:space="preserve">       </w:t>
      </w:r>
      <w:r>
        <w:rPr>
          <w:rFonts w:ascii="Calibri" w:hAnsi="Calibri" w:eastAsia="宋体" w:cs="Times New Roman"/>
          <w:bCs/>
          <w:sz w:val="22"/>
          <w:szCs w:val="22"/>
        </w:rPr>
        <w:t xml:space="preserve"> 年   月  日</w:t>
      </w:r>
    </w:p>
    <w:p>
      <w:pPr>
        <w:jc w:val="center"/>
        <w:rPr>
          <w:rFonts w:asciiTheme="minorEastAsia" w:hAnsiTheme="minorEastAsia"/>
          <w:sz w:val="20"/>
          <w:szCs w:val="17"/>
        </w:rPr>
      </w:pPr>
    </w:p>
    <w:p>
      <w:pPr>
        <w:numPr>
          <w:ilvl w:val="0"/>
          <w:numId w:val="0"/>
        </w:numPr>
        <w:jc w:val="left"/>
        <w:rPr>
          <w:rFonts w:hint="default"/>
          <w:b/>
          <w:bCs/>
          <w:sz w:val="24"/>
          <w:lang w:val="en-US" w:eastAsia="zh-CN"/>
        </w:rPr>
      </w:pPr>
    </w:p>
    <w:sectPr>
      <w:pgSz w:w="11906" w:h="16838"/>
      <w:pgMar w:top="850" w:right="1417" w:bottom="85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BAE1D"/>
    <w:multiLevelType w:val="singleLevel"/>
    <w:tmpl w:val="11BBAE1D"/>
    <w:lvl w:ilvl="0" w:tentative="0">
      <w:start w:val="1"/>
      <w:numFmt w:val="chineseCounting"/>
      <w:suff w:val="nothing"/>
      <w:lvlText w:val="%1、"/>
      <w:lvlJc w:val="left"/>
      <w:rPr>
        <w:rFonts w:hint="eastAsia"/>
      </w:rPr>
    </w:lvl>
  </w:abstractNum>
  <w:abstractNum w:abstractNumId="1">
    <w:nsid w:val="1CFCF95C"/>
    <w:multiLevelType w:val="singleLevel"/>
    <w:tmpl w:val="1CFCF95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5MTM1ODcxZjQ3NGE4ODE2Njg0ODFkZTMzOWI0ZjUifQ=="/>
  </w:docVars>
  <w:rsids>
    <w:rsidRoot w:val="00733DD2"/>
    <w:rsid w:val="00026A1F"/>
    <w:rsid w:val="00061188"/>
    <w:rsid w:val="000A2FEB"/>
    <w:rsid w:val="000A5F9B"/>
    <w:rsid w:val="000B2223"/>
    <w:rsid w:val="00154B8C"/>
    <w:rsid w:val="001E31F7"/>
    <w:rsid w:val="0025720F"/>
    <w:rsid w:val="0027418F"/>
    <w:rsid w:val="002902FC"/>
    <w:rsid w:val="002F0826"/>
    <w:rsid w:val="00326C0F"/>
    <w:rsid w:val="003F3199"/>
    <w:rsid w:val="004131B4"/>
    <w:rsid w:val="00420CA3"/>
    <w:rsid w:val="00497393"/>
    <w:rsid w:val="004C713C"/>
    <w:rsid w:val="004E5E1A"/>
    <w:rsid w:val="004E7AFD"/>
    <w:rsid w:val="005147EF"/>
    <w:rsid w:val="005D37B9"/>
    <w:rsid w:val="005E2841"/>
    <w:rsid w:val="00602621"/>
    <w:rsid w:val="00612734"/>
    <w:rsid w:val="00671D4A"/>
    <w:rsid w:val="006A088D"/>
    <w:rsid w:val="00733DD2"/>
    <w:rsid w:val="007F05EF"/>
    <w:rsid w:val="0082310E"/>
    <w:rsid w:val="00855630"/>
    <w:rsid w:val="00863B91"/>
    <w:rsid w:val="008C37D0"/>
    <w:rsid w:val="008E4249"/>
    <w:rsid w:val="0093051F"/>
    <w:rsid w:val="00952609"/>
    <w:rsid w:val="009C1FBF"/>
    <w:rsid w:val="009E136B"/>
    <w:rsid w:val="009E4BCC"/>
    <w:rsid w:val="00A76C33"/>
    <w:rsid w:val="00A808E4"/>
    <w:rsid w:val="00A80B4E"/>
    <w:rsid w:val="00A93480"/>
    <w:rsid w:val="00B4172A"/>
    <w:rsid w:val="00BC00EB"/>
    <w:rsid w:val="00BF3469"/>
    <w:rsid w:val="00C969CF"/>
    <w:rsid w:val="00D06A7D"/>
    <w:rsid w:val="00D4297B"/>
    <w:rsid w:val="00D873FD"/>
    <w:rsid w:val="00D9066A"/>
    <w:rsid w:val="00DD12A9"/>
    <w:rsid w:val="00DE7ADB"/>
    <w:rsid w:val="00E51899"/>
    <w:rsid w:val="00EF7182"/>
    <w:rsid w:val="00F01072"/>
    <w:rsid w:val="00F26748"/>
    <w:rsid w:val="01E417DF"/>
    <w:rsid w:val="01E94947"/>
    <w:rsid w:val="02B15ED7"/>
    <w:rsid w:val="032B7EBE"/>
    <w:rsid w:val="037761DC"/>
    <w:rsid w:val="037819C8"/>
    <w:rsid w:val="04165086"/>
    <w:rsid w:val="057A7D39"/>
    <w:rsid w:val="079468F0"/>
    <w:rsid w:val="088815A9"/>
    <w:rsid w:val="0A277157"/>
    <w:rsid w:val="0A323667"/>
    <w:rsid w:val="0A964758"/>
    <w:rsid w:val="0B691EBF"/>
    <w:rsid w:val="0BDB7828"/>
    <w:rsid w:val="0D3C3F90"/>
    <w:rsid w:val="0D6B27A0"/>
    <w:rsid w:val="0D737863"/>
    <w:rsid w:val="0F9D510C"/>
    <w:rsid w:val="0FA00F0B"/>
    <w:rsid w:val="10827943"/>
    <w:rsid w:val="11D15B1C"/>
    <w:rsid w:val="11D56F8A"/>
    <w:rsid w:val="11FE3CEE"/>
    <w:rsid w:val="12531874"/>
    <w:rsid w:val="129A029D"/>
    <w:rsid w:val="12C9410A"/>
    <w:rsid w:val="13BE33F1"/>
    <w:rsid w:val="14C02644"/>
    <w:rsid w:val="157B401A"/>
    <w:rsid w:val="165B3C1A"/>
    <w:rsid w:val="17453125"/>
    <w:rsid w:val="184F31D7"/>
    <w:rsid w:val="19915A12"/>
    <w:rsid w:val="1A2E6DE6"/>
    <w:rsid w:val="1A5C320F"/>
    <w:rsid w:val="1D4821A9"/>
    <w:rsid w:val="202B56B1"/>
    <w:rsid w:val="22723315"/>
    <w:rsid w:val="22CF7097"/>
    <w:rsid w:val="232E51F6"/>
    <w:rsid w:val="23705E06"/>
    <w:rsid w:val="23884864"/>
    <w:rsid w:val="24C52651"/>
    <w:rsid w:val="27E45486"/>
    <w:rsid w:val="28DD687E"/>
    <w:rsid w:val="2B057E38"/>
    <w:rsid w:val="2BA52826"/>
    <w:rsid w:val="2D7F5632"/>
    <w:rsid w:val="2E46068D"/>
    <w:rsid w:val="2EB05F76"/>
    <w:rsid w:val="2F3C6CF1"/>
    <w:rsid w:val="2FBD42B3"/>
    <w:rsid w:val="30D412A1"/>
    <w:rsid w:val="30E84F1F"/>
    <w:rsid w:val="316641F0"/>
    <w:rsid w:val="31BF6098"/>
    <w:rsid w:val="31F8416E"/>
    <w:rsid w:val="32CE7A3F"/>
    <w:rsid w:val="33951D5C"/>
    <w:rsid w:val="34117E05"/>
    <w:rsid w:val="351B0D6F"/>
    <w:rsid w:val="35633FD8"/>
    <w:rsid w:val="37C66C9B"/>
    <w:rsid w:val="39BD6D12"/>
    <w:rsid w:val="3BB420F5"/>
    <w:rsid w:val="3D6C58AA"/>
    <w:rsid w:val="3DB75172"/>
    <w:rsid w:val="3F1B3C4A"/>
    <w:rsid w:val="402E62DF"/>
    <w:rsid w:val="402F4957"/>
    <w:rsid w:val="405108FA"/>
    <w:rsid w:val="4136403A"/>
    <w:rsid w:val="41EF774F"/>
    <w:rsid w:val="42660058"/>
    <w:rsid w:val="43824C1A"/>
    <w:rsid w:val="43A157C9"/>
    <w:rsid w:val="449C5243"/>
    <w:rsid w:val="449E2D2B"/>
    <w:rsid w:val="458A740C"/>
    <w:rsid w:val="46094A05"/>
    <w:rsid w:val="460A3EB2"/>
    <w:rsid w:val="477517FF"/>
    <w:rsid w:val="479F5F87"/>
    <w:rsid w:val="497E50E4"/>
    <w:rsid w:val="49CC2349"/>
    <w:rsid w:val="4A254910"/>
    <w:rsid w:val="4AA864D5"/>
    <w:rsid w:val="4B956476"/>
    <w:rsid w:val="4CBE1552"/>
    <w:rsid w:val="4D3D3121"/>
    <w:rsid w:val="4DCB17F7"/>
    <w:rsid w:val="4E1E3C51"/>
    <w:rsid w:val="4ED83989"/>
    <w:rsid w:val="529E0326"/>
    <w:rsid w:val="53423D16"/>
    <w:rsid w:val="534B0A6F"/>
    <w:rsid w:val="539D45B7"/>
    <w:rsid w:val="53CA557A"/>
    <w:rsid w:val="545A32FC"/>
    <w:rsid w:val="547D6E0D"/>
    <w:rsid w:val="55382DBA"/>
    <w:rsid w:val="55596194"/>
    <w:rsid w:val="56A54B82"/>
    <w:rsid w:val="584110E8"/>
    <w:rsid w:val="587C329C"/>
    <w:rsid w:val="58AD45C1"/>
    <w:rsid w:val="595B205E"/>
    <w:rsid w:val="598670BC"/>
    <w:rsid w:val="5A4777C5"/>
    <w:rsid w:val="5A6E001E"/>
    <w:rsid w:val="5AE71C9E"/>
    <w:rsid w:val="5CD36D91"/>
    <w:rsid w:val="5DEC7787"/>
    <w:rsid w:val="5DFE7766"/>
    <w:rsid w:val="60F93F09"/>
    <w:rsid w:val="613D45FB"/>
    <w:rsid w:val="614E4416"/>
    <w:rsid w:val="644258DE"/>
    <w:rsid w:val="65D31C24"/>
    <w:rsid w:val="6634293C"/>
    <w:rsid w:val="669F4579"/>
    <w:rsid w:val="680678AC"/>
    <w:rsid w:val="683E0693"/>
    <w:rsid w:val="685E7C65"/>
    <w:rsid w:val="68AB5C34"/>
    <w:rsid w:val="694279A9"/>
    <w:rsid w:val="696B3DB6"/>
    <w:rsid w:val="698F00A6"/>
    <w:rsid w:val="6A670A41"/>
    <w:rsid w:val="6A800692"/>
    <w:rsid w:val="6BF3478F"/>
    <w:rsid w:val="6D370E4B"/>
    <w:rsid w:val="6DE10695"/>
    <w:rsid w:val="6E0B49D4"/>
    <w:rsid w:val="6E6658CD"/>
    <w:rsid w:val="6E7E61B3"/>
    <w:rsid w:val="6F1A55B9"/>
    <w:rsid w:val="6F9841D5"/>
    <w:rsid w:val="6FC7528D"/>
    <w:rsid w:val="70254AB1"/>
    <w:rsid w:val="711B411C"/>
    <w:rsid w:val="7392213F"/>
    <w:rsid w:val="73991A3A"/>
    <w:rsid w:val="739F5CC0"/>
    <w:rsid w:val="73F75A9D"/>
    <w:rsid w:val="748F3673"/>
    <w:rsid w:val="755C54CB"/>
    <w:rsid w:val="75F40528"/>
    <w:rsid w:val="76880357"/>
    <w:rsid w:val="772F4719"/>
    <w:rsid w:val="773504DF"/>
    <w:rsid w:val="78667688"/>
    <w:rsid w:val="79F1638C"/>
    <w:rsid w:val="7A192AA7"/>
    <w:rsid w:val="7AE52B70"/>
    <w:rsid w:val="7B395E66"/>
    <w:rsid w:val="7C0B3B0A"/>
    <w:rsid w:val="7C4831AB"/>
    <w:rsid w:val="7CA6287C"/>
    <w:rsid w:val="7E4702F4"/>
    <w:rsid w:val="7E677C6B"/>
    <w:rsid w:val="7FD7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1"/>
    <w:pPr>
      <w:autoSpaceDE w:val="0"/>
      <w:autoSpaceDN w:val="0"/>
      <w:spacing w:before="106"/>
      <w:ind w:left="105"/>
      <w:jc w:val="left"/>
      <w:outlineLvl w:val="1"/>
    </w:pPr>
    <w:rPr>
      <w:rFonts w:ascii="宋体" w:hAnsi="宋体" w:eastAsia="宋体" w:cs="宋体"/>
      <w:b/>
      <w:bCs/>
      <w:kern w:val="0"/>
      <w:sz w:val="17"/>
      <w:szCs w:val="17"/>
      <w:lang w:val="zh-CN" w:bidi="zh-CN"/>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autoRedefine/>
    <w:qFormat/>
    <w:uiPriority w:val="1"/>
    <w:pPr>
      <w:autoSpaceDE w:val="0"/>
      <w:autoSpaceDN w:val="0"/>
      <w:jc w:val="left"/>
    </w:pPr>
    <w:rPr>
      <w:rFonts w:ascii="宋体" w:hAnsi="宋体" w:eastAsia="宋体" w:cs="宋体"/>
      <w:kern w:val="0"/>
      <w:sz w:val="17"/>
      <w:szCs w:val="17"/>
      <w:lang w:val="zh-CN" w:bidi="zh-CN"/>
    </w:rPr>
  </w:style>
  <w:style w:type="paragraph" w:styleId="5">
    <w:name w:val="Body Text First Indent"/>
    <w:basedOn w:val="1"/>
    <w:autoRedefine/>
    <w:qFormat/>
    <w:uiPriority w:val="0"/>
    <w:pPr>
      <w:ind w:firstLine="420"/>
    </w:pPr>
    <w:rPr>
      <w:rFonts w:ascii="Calibri" w:hAnsi="Calibri" w:eastAsia="宋体" w:cs="Times New Roman"/>
    </w:rPr>
  </w:style>
  <w:style w:type="paragraph" w:styleId="6">
    <w:name w:val="Plain Text"/>
    <w:basedOn w:val="1"/>
    <w:autoRedefine/>
    <w:qFormat/>
    <w:uiPriority w:val="0"/>
    <w:rPr>
      <w:rFonts w:ascii="宋体" w:hAnsi="Courier New" w:cs="Courier New"/>
      <w:szCs w:val="21"/>
    </w:rPr>
  </w:style>
  <w:style w:type="paragraph" w:styleId="7">
    <w:name w:val="footer"/>
    <w:basedOn w:val="1"/>
    <w:link w:val="17"/>
    <w:autoRedefine/>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autoRedefine/>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autoRedefine/>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22"/>
    <w:rPr>
      <w:b/>
    </w:rPr>
  </w:style>
  <w:style w:type="character" w:styleId="15">
    <w:name w:val="Emphasis"/>
    <w:autoRedefine/>
    <w:qFormat/>
    <w:uiPriority w:val="20"/>
    <w:rPr>
      <w:i/>
      <w:iCs/>
    </w:rPr>
  </w:style>
  <w:style w:type="character" w:customStyle="1" w:styleId="16">
    <w:name w:val="页眉 Char"/>
    <w:basedOn w:val="13"/>
    <w:link w:val="8"/>
    <w:autoRedefine/>
    <w:qFormat/>
    <w:uiPriority w:val="99"/>
    <w:rPr>
      <w:sz w:val="18"/>
      <w:szCs w:val="18"/>
    </w:rPr>
  </w:style>
  <w:style w:type="character" w:customStyle="1" w:styleId="17">
    <w:name w:val="页脚 Char"/>
    <w:basedOn w:val="13"/>
    <w:link w:val="7"/>
    <w:autoRedefine/>
    <w:qFormat/>
    <w:uiPriority w:val="99"/>
    <w:rPr>
      <w:sz w:val="18"/>
      <w:szCs w:val="18"/>
    </w:rPr>
  </w:style>
  <w:style w:type="paragraph" w:customStyle="1" w:styleId="18">
    <w:name w:val="Table Paragraph"/>
    <w:basedOn w:val="1"/>
    <w:autoRedefine/>
    <w:qFormat/>
    <w:uiPriority w:val="1"/>
    <w:pPr>
      <w:autoSpaceDE w:val="0"/>
      <w:autoSpaceDN w:val="0"/>
      <w:jc w:val="left"/>
    </w:pPr>
    <w:rPr>
      <w:rFonts w:ascii="宋体" w:hAnsi="宋体" w:eastAsia="宋体" w:cs="宋体"/>
      <w:kern w:val="0"/>
      <w:sz w:val="22"/>
      <w:lang w:val="zh-CN" w:bidi="zh-CN"/>
    </w:rPr>
  </w:style>
  <w:style w:type="paragraph" w:styleId="19">
    <w:name w:val="List Paragraph"/>
    <w:basedOn w:val="1"/>
    <w:autoRedefine/>
    <w:qFormat/>
    <w:uiPriority w:val="1"/>
    <w:pPr>
      <w:autoSpaceDE w:val="0"/>
      <w:autoSpaceDN w:val="0"/>
      <w:spacing w:before="21"/>
      <w:ind w:left="521" w:hanging="170"/>
      <w:jc w:val="left"/>
    </w:pPr>
    <w:rPr>
      <w:rFonts w:ascii="宋体" w:hAnsi="宋体" w:eastAsia="宋体" w:cs="宋体"/>
      <w:kern w:val="0"/>
      <w:sz w:val="22"/>
      <w:lang w:val="zh-CN" w:bidi="zh-CN"/>
    </w:rPr>
  </w:style>
  <w:style w:type="character" w:customStyle="1" w:styleId="20">
    <w:name w:val="NormalCharacter"/>
    <w:autoRedefine/>
    <w:semiHidden/>
    <w:qFormat/>
    <w:uiPriority w:val="0"/>
  </w:style>
  <w:style w:type="character" w:customStyle="1" w:styleId="21">
    <w:name w:val="font31"/>
    <w:basedOn w:val="13"/>
    <w:autoRedefine/>
    <w:qFormat/>
    <w:uiPriority w:val="0"/>
    <w:rPr>
      <w:rFonts w:hint="eastAsia" w:ascii="宋体" w:hAnsi="宋体" w:eastAsia="宋体" w:cs="宋体"/>
      <w:color w:val="000000"/>
      <w:sz w:val="24"/>
      <w:szCs w:val="24"/>
      <w:u w:val="none"/>
    </w:rPr>
  </w:style>
  <w:style w:type="character" w:customStyle="1" w:styleId="22">
    <w:name w:val="font11"/>
    <w:basedOn w:val="13"/>
    <w:autoRedefine/>
    <w:qFormat/>
    <w:uiPriority w:val="0"/>
    <w:rPr>
      <w:rFonts w:hint="eastAsia" w:ascii="宋体" w:hAnsi="宋体" w:eastAsia="宋体" w:cs="宋体"/>
      <w:color w:val="000000"/>
      <w:sz w:val="24"/>
      <w:szCs w:val="24"/>
      <w:u w:val="none"/>
    </w:rPr>
  </w:style>
  <w:style w:type="character" w:customStyle="1" w:styleId="23">
    <w:name w:val="font41"/>
    <w:basedOn w:val="13"/>
    <w:autoRedefine/>
    <w:qFormat/>
    <w:uiPriority w:val="0"/>
    <w:rPr>
      <w:rFonts w:hint="eastAsia" w:ascii="宋体" w:hAnsi="宋体" w:eastAsia="宋体" w:cs="宋体"/>
      <w:b/>
      <w:bCs/>
      <w:color w:val="000000"/>
      <w:sz w:val="24"/>
      <w:szCs w:val="24"/>
      <w:u w:val="none"/>
    </w:rPr>
  </w:style>
  <w:style w:type="character" w:customStyle="1" w:styleId="24">
    <w:name w:val="Anrede1IhrZeichen"/>
    <w:autoRedefine/>
    <w:qFormat/>
    <w:uiPriority w:val="0"/>
    <w:rPr>
      <w:rFonts w:hint="default" w:ascii="Arial" w:hAnsi="Arial"/>
      <w:sz w:val="20"/>
    </w:rPr>
  </w:style>
  <w:style w:type="paragraph" w:customStyle="1" w:styleId="25">
    <w:name w:val="AbsatzTableFormat"/>
    <w:basedOn w:val="1"/>
    <w:autoRedefine/>
    <w:qFormat/>
    <w:uiPriority w:val="0"/>
    <w:pPr>
      <w:widowControl/>
      <w:jc w:val="left"/>
    </w:pPr>
    <w:rPr>
      <w:rFonts w:ascii="Arial Narrow" w:hAnsi="Arial Narrow"/>
      <w:bCs/>
      <w:kern w:val="0"/>
      <w:sz w:val="22"/>
      <w:szCs w:val="21"/>
      <w:lang w:val="de-DE"/>
    </w:rPr>
  </w:style>
  <w:style w:type="paragraph" w:customStyle="1" w:styleId="26">
    <w:name w:val="Plain Text1"/>
    <w:basedOn w:val="27"/>
    <w:autoRedefine/>
    <w:qFormat/>
    <w:uiPriority w:val="0"/>
    <w:pPr>
      <w:widowControl/>
      <w:jc w:val="left"/>
    </w:pPr>
    <w:rPr>
      <w:rFonts w:ascii="宋体" w:hAnsi="Courier New"/>
    </w:rPr>
  </w:style>
  <w:style w:type="paragraph" w:customStyle="1" w:styleId="27">
    <w:name w:val="Normal1"/>
    <w:autoRedefine/>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WZSZYY.CN</Company>
  <Pages>10</Pages>
  <Words>6626</Words>
  <Characters>6843</Characters>
  <Lines>6</Lines>
  <Paragraphs>1</Paragraphs>
  <TotalTime>1</TotalTime>
  <ScaleCrop>false</ScaleCrop>
  <LinksUpToDate>false</LinksUpToDate>
  <CharactersWithSpaces>7226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2020-04-25T02:43:00Z</dcterms:created>
  <dc:creator>test</dc:creator>
  <cp:lastModifiedBy>李恩贤</cp:lastModifiedBy>
  <dcterms:modified xsi:type="dcterms:W3CDTF">2024-04-06T06:01:12Z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eyJoZGlkIjoiMjRiMzIwNTY3MTczYzNiN2UxOGJmYzAxNjg5MjZiNzQifQ==</vt:lpwstr>
  </property>
  <property fmtid="{D5CDD505-2E9C-101B-9397-08002B2CF9AE}" pid="3" name="KSOProductBuildVer">
    <vt:lpwstr>2052-12.1.0.16120</vt:lpwstr>
  </property>
  <property fmtid="{D5CDD505-2E9C-101B-9397-08002B2CF9AE}" pid="4" name="ICV">
    <vt:lpwstr>99012001CC8449E1B44B4987A03F7E88</vt:lpwstr>
  </property>
</Properties>
</file>