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clear" w:pos="840"/>
        </w:tabs>
        <w:adjustRightInd/>
        <w:snapToGrid/>
        <w:spacing w:before="120" w:after="120" w:line="240" w:lineRule="auto"/>
        <w:jc w:val="center"/>
        <w:rPr>
          <w:rFonts w:hint="eastAsia"/>
          <w:b/>
          <w:bCs/>
          <w:sz w:val="28"/>
          <w:szCs w:val="28"/>
        </w:rPr>
      </w:pPr>
      <w:bookmarkStart w:id="0" w:name="_Toc451522337"/>
      <w:r>
        <w:rPr>
          <w:rFonts w:hint="eastAsia" w:ascii="宋体" w:hAnsi="宋体" w:eastAsia="宋体" w:cs="宋体"/>
          <w:color w:val="000000"/>
          <w:sz w:val="44"/>
          <w:szCs w:val="44"/>
        </w:rPr>
        <w:t>温州市中医院</w:t>
      </w:r>
      <w:r>
        <w:rPr>
          <w:rFonts w:hint="eastAsia" w:hAnsi="宋体" w:cs="宋体"/>
          <w:color w:val="000000"/>
          <w:sz w:val="44"/>
          <w:szCs w:val="44"/>
          <w:lang w:val="en-US" w:eastAsia="zh-CN"/>
        </w:rPr>
        <w:t>电动伸缩门</w:t>
      </w:r>
      <w:r>
        <w:rPr>
          <w:rFonts w:hint="eastAsia" w:ascii="宋体" w:hAnsi="宋体" w:eastAsia="宋体" w:cs="宋体"/>
          <w:color w:val="000000"/>
          <w:sz w:val="44"/>
          <w:szCs w:val="44"/>
        </w:rPr>
        <w:t>采购</w:t>
      </w:r>
      <w:bookmarkEnd w:id="0"/>
      <w:r>
        <w:rPr>
          <w:rFonts w:hint="eastAsia" w:ascii="宋体" w:hAnsi="宋体" w:eastAsia="宋体" w:cs="宋体"/>
          <w:color w:val="000000"/>
          <w:sz w:val="44"/>
          <w:szCs w:val="44"/>
          <w:lang w:val="en-US" w:eastAsia="zh-CN"/>
        </w:rPr>
        <w:t>文件</w:t>
      </w:r>
    </w:p>
    <w:p>
      <w:p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一、项目概况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Hans"/>
        </w:rPr>
        <w:t>温州市中医院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电动伸缩门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采购方式：公开遴选（非政府采购）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预算金额：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000元</w:t>
      </w:r>
    </w:p>
    <w:p>
      <w:pPr>
        <w:spacing w:line="40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  <w:lang w:val="en-US" w:eastAsia="zh-CN"/>
        </w:rPr>
        <w:t>二</w:t>
      </w:r>
      <w:r>
        <w:rPr>
          <w:rFonts w:hint="eastAsia" w:ascii="宋体" w:hAnsi="宋体" w:cs="宋体"/>
          <w:b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b/>
          <w:sz w:val="28"/>
          <w:szCs w:val="28"/>
        </w:rPr>
        <w:t>项目内容及要求</w:t>
      </w:r>
    </w:p>
    <w:tbl>
      <w:tblPr>
        <w:tblStyle w:val="17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6504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tblHeader/>
          <w:jc w:val="center"/>
        </w:trPr>
        <w:tc>
          <w:tcPr>
            <w:tcW w:w="131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650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技术要求</w:t>
            </w:r>
          </w:p>
        </w:tc>
        <w:tc>
          <w:tcPr>
            <w:tcW w:w="1215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ind w:left="843" w:hanging="843" w:hangingChars="40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投标响应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color w:val="auto"/>
                <w:szCs w:val="21"/>
                <w:lang w:val="en-US" w:eastAsia="zh-CN"/>
              </w:rPr>
              <w:t>一</w:t>
            </w:r>
          </w:p>
        </w:tc>
        <w:tc>
          <w:tcPr>
            <w:tcW w:w="650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总体要求：</w:t>
            </w:r>
          </w:p>
        </w:tc>
        <w:tc>
          <w:tcPr>
            <w:tcW w:w="121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u w:val="none"/>
              </w:rPr>
              <w:t>1.1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采购电动伸缩门一套，主要包括电动伸缩门主体、驱动系统（电机、控制箱）等，安装位置位于温州市中医院景山院区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3" w:hanging="843" w:hangingChars="400"/>
              <w:jc w:val="center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二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功能要求及技术参数：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Cs w:val="21"/>
                <w:highlight w:val="none"/>
              </w:rPr>
              <w:t>2.1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电动伸缩门主体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材质：铝合金，抗腐蚀、耐氧化、无磁性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6504" w:type="dxa"/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颜色：根据采购人实际需求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2.1.3</w:t>
            </w:r>
          </w:p>
        </w:tc>
        <w:tc>
          <w:tcPr>
            <w:tcW w:w="6504" w:type="dxa"/>
            <w:shd w:val="clear" w:color="auto" w:fill="auto"/>
            <w:vAlign w:val="center"/>
          </w:tcPr>
          <w:p>
            <w:pPr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门头设计：带发光显示屏，内容清晰，字幕可自定义更改内容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高度：1.6米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长度：10.5米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门宽≥0.6米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主料：异型管，厚度≥1.2mm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★2.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交叉料：异型管，厚度≥1.0mm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伸缩性能好，伸缩速度快、平稳、不偏道、不打滑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.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可遥控开关伸缩门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firstLine="843" w:firstLineChars="400"/>
              <w:rPr>
                <w:rFonts w:ascii="宋体" w:hAnsi="宋体" w:eastAsia="宋体" w:cs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u w:val="none"/>
                <w:lang w:val="en-US" w:eastAsia="zh-CN"/>
              </w:rPr>
              <w:t>电机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2.2.1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结构紧凑，性能稳定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2.2.2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外观新颖，散热性强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2.2.3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启动力矩大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2.2.4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输入电源：AC220V/50HZ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2.2.5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工作温度：-35~+55℃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2.2.6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输入功率≥420W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2.2.7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输出转速≥46转/分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2.2.8</w:t>
            </w:r>
          </w:p>
        </w:tc>
        <w:tc>
          <w:tcPr>
            <w:tcW w:w="6504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输出扭矩≥23N.m</w:t>
            </w:r>
          </w:p>
        </w:tc>
        <w:tc>
          <w:tcPr>
            <w:tcW w:w="1215" w:type="dxa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exact"/>
              <w:ind w:left="840" w:hanging="840" w:hangingChars="400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三</w:t>
            </w:r>
          </w:p>
        </w:tc>
        <w:tc>
          <w:tcPr>
            <w:tcW w:w="6504" w:type="dxa"/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到货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验收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3.1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到货安装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地点：医院指定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地点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3.2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安装完成时间：合同签订后1个月内交货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并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完成安装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验收交付甲方使用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3.3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安装标准：符合我国国家有关技术规范和技术标准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验收标准：符合我国国家有关技术规范和技术标准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3.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6504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到货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安装、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验收合格前所产生的一切费用（包括卸货、搬运、必要时的安全性能检测费等）由供方负责提供。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四</w:t>
            </w:r>
          </w:p>
        </w:tc>
        <w:tc>
          <w:tcPr>
            <w:tcW w:w="6504" w:type="dxa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售后服务</w:t>
            </w:r>
          </w:p>
        </w:tc>
        <w:tc>
          <w:tcPr>
            <w:tcW w:w="1215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4.1</w:t>
            </w:r>
          </w:p>
        </w:tc>
        <w:tc>
          <w:tcPr>
            <w:tcW w:w="65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免费保修：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验收合格后保修≥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年，期间免一切维修费用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五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Cs w:val="21"/>
                <w:lang w:bidi="ar"/>
              </w:rPr>
              <w:t>其他要求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厂家承诺过保后先维修再付款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提供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产品使用说明书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一套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付款方式:验收合格后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 w:bidi="ar"/>
              </w:rPr>
              <w:t>3个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内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一次性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付款，投标商开具单张发票限额必须大于投标单台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设备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价格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11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5.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6504" w:type="dxa"/>
            <w:tcBorders>
              <w:bottom w:val="single" w:color="auto" w:sz="4" w:space="0"/>
            </w:tcBorders>
          </w:tcPr>
          <w:p>
            <w:pPr>
              <w:widowControl/>
              <w:textAlignment w:val="top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投标商提供的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必须在距投标当日10个月内生产</w:t>
            </w:r>
          </w:p>
        </w:tc>
        <w:tc>
          <w:tcPr>
            <w:tcW w:w="1215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ind w:firstLine="440" w:firstLineChars="200"/>
        <w:rPr>
          <w:rFonts w:hint="eastAsia" w:ascii="新宋体" w:hAnsi="新宋体" w:eastAsia="新宋体" w:cs="新宋体"/>
          <w:b/>
          <w:bCs/>
          <w:sz w:val="22"/>
          <w:szCs w:val="22"/>
          <w:u w:val="single"/>
        </w:rPr>
      </w:pPr>
      <w:r>
        <w:rPr>
          <w:rFonts w:hint="eastAsia" w:ascii="新宋体" w:hAnsi="新宋体" w:eastAsia="新宋体" w:cs="新宋体"/>
          <w:sz w:val="22"/>
          <w:szCs w:val="22"/>
          <w:u w:val="single"/>
        </w:rPr>
        <w:t>▲</w:t>
      </w:r>
      <w:r>
        <w:rPr>
          <w:rFonts w:hint="eastAsia" w:ascii="新宋体" w:hAnsi="新宋体" w:eastAsia="新宋体" w:cs="新宋体"/>
          <w:b/>
          <w:bCs/>
          <w:sz w:val="22"/>
          <w:szCs w:val="22"/>
          <w:u w:val="single"/>
        </w:rPr>
        <w:t>注：本次招标属于交钥匙项目，投标人可组织现场勘查</w:t>
      </w:r>
      <w:r>
        <w:rPr>
          <w:rFonts w:hint="eastAsia" w:ascii="新宋体" w:hAnsi="新宋体" w:eastAsia="新宋体" w:cs="新宋体"/>
          <w:b/>
          <w:bCs/>
          <w:sz w:val="22"/>
          <w:szCs w:val="22"/>
          <w:u w:val="single"/>
          <w:lang w:eastAsia="zh-CN"/>
        </w:rPr>
        <w:t>。</w:t>
      </w:r>
      <w:r>
        <w:rPr>
          <w:rFonts w:hint="eastAsia" w:ascii="新宋体" w:hAnsi="新宋体" w:eastAsia="新宋体" w:cs="新宋体"/>
          <w:b/>
          <w:bCs/>
          <w:sz w:val="22"/>
          <w:szCs w:val="22"/>
          <w:u w:val="single"/>
          <w:lang w:val="en-US" w:eastAsia="zh-CN"/>
        </w:rPr>
        <w:t>产品到货安装过程中对原土建的破坏、修复等工作及产生的相关费用全部由中标人承担，实行固定费用总包干</w:t>
      </w:r>
      <w:r>
        <w:rPr>
          <w:rFonts w:hint="eastAsia" w:ascii="新宋体" w:hAnsi="新宋体" w:eastAsia="新宋体" w:cs="新宋体"/>
          <w:b/>
          <w:bCs/>
          <w:sz w:val="22"/>
          <w:szCs w:val="22"/>
          <w:u w:val="single"/>
        </w:rPr>
        <w:t>。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</w:rPr>
      </w:pPr>
    </w:p>
    <w:p>
      <w:pPr>
        <w:spacing w:line="360" w:lineRule="auto"/>
        <w:rPr>
          <w:rFonts w:hint="default" w:ascii="宋体" w:hAnsi="宋体" w:eastAsia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付款方式</w:t>
      </w:r>
    </w:p>
    <w:p>
      <w:pPr>
        <w:pStyle w:val="4"/>
        <w:spacing w:line="360" w:lineRule="auto"/>
        <w:ind w:left="0" w:leftChars="0" w:firstLine="480" w:firstLineChars="200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  <w:t>项目完成并经最终验收合格后，乙方向甲方开具发票，甲方在收到发票后三个月内向乙方支付全部合同价款。（在预算金额范围内，根据最终实际交付电动伸缩门长度*中标单价进行结算）。</w:t>
      </w:r>
    </w:p>
    <w:p>
      <w:pPr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pStyle w:val="9"/>
        <w:rPr>
          <w:rFonts w:hint="eastAsia" w:ascii="宋体" w:hAnsi="宋体" w:cs="黑体"/>
          <w:b w:val="0"/>
          <w:bCs w:val="0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四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、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评分细则</w:t>
      </w:r>
    </w:p>
    <w:p>
      <w:pPr>
        <w:spacing w:line="360" w:lineRule="auto"/>
        <w:ind w:firstLine="457" w:firstLineChars="196"/>
        <w:rPr>
          <w:rStyle w:val="20"/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1、商务技术分（0-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70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tbl>
      <w:tblPr>
        <w:tblStyle w:val="17"/>
        <w:tblW w:w="94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8"/>
        <w:gridCol w:w="2729"/>
        <w:gridCol w:w="907"/>
        <w:gridCol w:w="50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评定项目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分值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对应于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文件项目内容及要求的偏离度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与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文件项目内容及要求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对比，一项指标负偏离扣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分，标注★的指标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偏离每项扣4分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扣完为止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配套的合理性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评委对投标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配套的合理性、功能实现程度进行评价：投标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配套合理、功能实现程度高的，得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6-8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分；配套较合理、功能实现程度较高的，得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3-5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分；配套合理性一般、不能完全达到临床要求功能的，得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产品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的档次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产品型号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在产品系列中属高档产品的，得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8-11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分；属中等档次产品的，得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分；属低档产品的，得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运行成本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包括保修价格、售后服务方案、年运行费用和消耗品或易耗品价格等综合运行成本进行评价。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保修服务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投标产品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保修期超过招标文件要求的，每增加1年加1分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增加部分不足1年的不计分。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投标产品总体质量性能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投标产品的使用情况、稳定性、故障率等总体质量性能综合评价。</w:t>
            </w:r>
          </w:p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A档：6-8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B档：3-5分；C档：0-2分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制造商或代理商的售后服务和维修能力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069" w:type="dxa"/>
            <w:noWrap w:val="0"/>
            <w:vAlign w:val="center"/>
          </w:tcPr>
          <w:p>
            <w:pPr>
              <w:ind w:left="105" w:leftChars="50" w:right="10" w:rightChars="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制造商或代理商的售后服务和维修能力，服务响应速度、服务人员水平、备品备件配置等综合评价。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numPr>
          <w:ilvl w:val="0"/>
          <w:numId w:val="0"/>
        </w:numPr>
        <w:spacing w:before="120" w:beforeLines="50" w:after="120" w:afterLines="50"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</w:pPr>
    </w:p>
    <w:p>
      <w:pPr>
        <w:pStyle w:val="9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ind w:left="0" w:leftChars="0" w:firstLine="0" w:firstLineChars="0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pStyle w:val="9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6" w:firstLineChars="200"/>
        <w:jc w:val="both"/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价格分（0-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/>
          <w:bCs/>
          <w:spacing w:val="-4"/>
          <w:sz w:val="24"/>
          <w:szCs w:val="24"/>
        </w:rPr>
        <w:t>分）</w:t>
      </w:r>
    </w:p>
    <w:p>
      <w:pPr>
        <w:numPr>
          <w:ilvl w:val="0"/>
          <w:numId w:val="0"/>
        </w:numPr>
        <w:spacing w:before="120" w:beforeLines="50" w:after="120" w:afterLines="50" w:line="360" w:lineRule="auto"/>
        <w:ind w:firstLine="464" w:firstLineChars="200"/>
        <w:jc w:val="both"/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价格分采用低价优先法计算，即满足招标文件要求且投标报价最低的投标报价为评标基准价，其得分为满分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分。其他投标人的价格分按照下列公式计算：</w:t>
      </w:r>
    </w:p>
    <w:p>
      <w:pPr>
        <w:spacing w:before="120" w:beforeLines="50" w:after="120" w:afterLines="50"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价格分=（评标基准价/</w:t>
      </w:r>
      <w:r>
        <w:rPr>
          <w:rFonts w:hint="eastAsia" w:asciiTheme="minorEastAsia" w:hAnsiTheme="minorEastAsia" w:eastAsiaTheme="minorEastAsia" w:cstheme="minorEastAsia"/>
          <w:bCs/>
          <w:spacing w:val="-4"/>
          <w:sz w:val="24"/>
          <w:szCs w:val="24"/>
        </w:rPr>
        <w:t>投标报价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）×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%×100</w:t>
      </w:r>
    </w:p>
    <w:p>
      <w:pPr>
        <w:pStyle w:val="2"/>
        <w:jc w:val="center"/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pStyle w:val="2"/>
        <w:jc w:val="center"/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</w:pPr>
      <w:r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（1）报价一览表</w:t>
      </w:r>
    </w:p>
    <w:p>
      <w:pPr>
        <w:autoSpaceDE w:val="0"/>
        <w:autoSpaceDN w:val="0"/>
        <w:spacing w:line="360" w:lineRule="auto"/>
        <w:ind w:right="893" w:firstLine="220" w:firstLineChars="100"/>
        <w:textAlignment w:val="bottom"/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>项目名称：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  <w:lang w:val="en-US" w:eastAsia="zh-CN"/>
        </w:rPr>
        <w:t>温州市中医院电动伸缩门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highlight w:val="none"/>
        </w:rPr>
        <w:t xml:space="preserve">                                </w:t>
      </w:r>
    </w:p>
    <w:tbl>
      <w:tblPr>
        <w:tblStyle w:val="17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57"/>
        <w:gridCol w:w="1140"/>
        <w:gridCol w:w="1208"/>
        <w:gridCol w:w="2977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2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序号</w:t>
            </w:r>
          </w:p>
        </w:tc>
        <w:tc>
          <w:tcPr>
            <w:tcW w:w="185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</w:rPr>
              <w:t>项目名称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品牌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型号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</w:rPr>
              <w:t>报价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人民币元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4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highlight w:val="none"/>
                <w:lang w:val="en-US" w:eastAsia="zh-CN"/>
              </w:rPr>
              <w:t>免费质保期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  <w:lang w:val="en-US" w:eastAsia="zh-CN"/>
              </w:rPr>
              <w:t>1</w:t>
            </w:r>
          </w:p>
        </w:tc>
        <w:tc>
          <w:tcPr>
            <w:tcW w:w="1857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电动伸缩门</w:t>
            </w:r>
          </w:p>
        </w:tc>
        <w:tc>
          <w:tcPr>
            <w:tcW w:w="114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大写：</w:t>
            </w:r>
          </w:p>
        </w:tc>
        <w:tc>
          <w:tcPr>
            <w:tcW w:w="1422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857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140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  <w:t>小写：</w:t>
            </w:r>
          </w:p>
        </w:tc>
        <w:tc>
          <w:tcPr>
            <w:tcW w:w="1422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highlight w:val="none"/>
              </w:rPr>
            </w:pPr>
          </w:p>
        </w:tc>
      </w:tr>
    </w:tbl>
    <w:p>
      <w:pPr>
        <w:spacing w:line="450" w:lineRule="exact"/>
        <w:rPr>
          <w:rFonts w:hint="eastAsia" w:ascii="宋体" w:hAnsi="宋体" w:eastAsia="宋体" w:cs="宋体"/>
          <w:b/>
          <w:color w:val="auto"/>
          <w:sz w:val="2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说明：</w:t>
      </w: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1、此栏投标总报价应与“（2）分项报价表”中的总计价相一致。</w:t>
      </w:r>
    </w:p>
    <w:p>
      <w:pPr>
        <w:spacing w:line="450" w:lineRule="exact"/>
        <w:ind w:firstLine="663" w:firstLineChars="300"/>
        <w:rPr>
          <w:rFonts w:hint="eastAsia" w:ascii="宋体" w:hAnsi="宋体" w:eastAsia="宋体" w:cs="宋体"/>
          <w:b/>
          <w:color w:val="auto"/>
          <w:sz w:val="22"/>
          <w:highlight w:val="none"/>
          <w:lang w:eastAsia="zh-CN"/>
        </w:rPr>
      </w:pP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2、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不提供此表格将被视为没有实质性响应</w:t>
      </w:r>
      <w:r>
        <w:rPr>
          <w:rFonts w:hint="eastAsia" w:ascii="宋体" w:hAnsi="宋体" w:cs="宋体"/>
          <w:b/>
          <w:color w:val="auto"/>
          <w:sz w:val="22"/>
          <w:highlight w:val="none"/>
          <w:lang w:val="en-US" w:eastAsia="zh-CN"/>
        </w:rPr>
        <w:t>遴选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</w:rPr>
        <w:t>文件</w:t>
      </w:r>
      <w:r>
        <w:rPr>
          <w:rFonts w:hint="eastAsia" w:ascii="宋体" w:hAnsi="宋体" w:eastAsia="宋体" w:cs="宋体"/>
          <w:b/>
          <w:color w:val="auto"/>
          <w:sz w:val="22"/>
          <w:highlight w:val="none"/>
          <w:lang w:eastAsia="zh-CN"/>
        </w:rPr>
        <w:t>。</w:t>
      </w:r>
    </w:p>
    <w:p>
      <w:pPr>
        <w:pStyle w:val="6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投标人全称（盖章）：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投标人代表（签字）：</w:t>
      </w:r>
    </w:p>
    <w:p>
      <w:pPr>
        <w:spacing w:line="380" w:lineRule="exact"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    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日    期：</w:t>
      </w:r>
    </w:p>
    <w:p>
      <w:pPr>
        <w:spacing w:line="380" w:lineRule="exact"/>
        <w:ind w:firstLine="220" w:firstLineChars="10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</w:p>
    <w:p>
      <w:pPr>
        <w:pStyle w:val="9"/>
        <w:ind w:left="860" w:hanging="440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rPr>
          <w:rFonts w:hint="eastAsia"/>
        </w:rPr>
      </w:pP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jc w:val="center"/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（2）分项报价表</w:t>
      </w:r>
    </w:p>
    <w:p>
      <w:pPr>
        <w:pStyle w:val="9"/>
        <w:spacing w:line="240" w:lineRule="auto"/>
        <w:ind w:left="0" w:leftChars="0"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项目名称：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eastAsia="zh-CN"/>
        </w:rPr>
        <w:t>温州市中医院电动伸缩门</w:t>
      </w:r>
    </w:p>
    <w:tbl>
      <w:tblPr>
        <w:tblStyle w:val="17"/>
        <w:tblW w:w="9789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60"/>
        <w:gridCol w:w="1560"/>
        <w:gridCol w:w="1425"/>
        <w:gridCol w:w="684"/>
        <w:gridCol w:w="771"/>
        <w:gridCol w:w="1185"/>
        <w:gridCol w:w="975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136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产品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品牌型号规格、产地</w:t>
            </w: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制造厂商名称</w:t>
            </w:r>
          </w:p>
        </w:tc>
        <w:tc>
          <w:tcPr>
            <w:tcW w:w="684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单位</w:t>
            </w: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出厂单价</w:t>
            </w:r>
          </w:p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（含税）</w:t>
            </w: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总价</w:t>
            </w:r>
          </w:p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（含税）</w:t>
            </w: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免费</w:t>
            </w:r>
          </w:p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Times New Roman" w:hAnsi="Times New Roman"/>
                <w:color w:val="auto"/>
                <w:sz w:val="22"/>
                <w:szCs w:val="22"/>
                <w:highlight w:val="none"/>
                <w:lang w:val="en-US" w:eastAsia="zh-CN"/>
              </w:rPr>
              <w:t>质保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电动伸缩门主体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米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驱动系统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套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1425" w:type="dxa"/>
            <w:vAlign w:val="center"/>
          </w:tcPr>
          <w:p>
            <w:pPr>
              <w:jc w:val="center"/>
            </w:pPr>
          </w:p>
        </w:tc>
        <w:tc>
          <w:tcPr>
            <w:tcW w:w="684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5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highlight w:val="none"/>
                <w:lang w:bidi="ar"/>
              </w:rPr>
              <w:t>6</w:t>
            </w: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Cs w:val="21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50" w:type="dxa"/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22"/>
                <w:szCs w:val="22"/>
                <w:highlight w:val="none"/>
                <w:lang w:bidi="ar"/>
              </w:rPr>
            </w:pPr>
          </w:p>
        </w:tc>
        <w:tc>
          <w:tcPr>
            <w:tcW w:w="1360" w:type="dxa"/>
            <w:vAlign w:val="center"/>
          </w:tcPr>
          <w:p>
            <w:pPr>
              <w:widowControl/>
              <w:spacing w:line="460" w:lineRule="exact"/>
              <w:textAlignment w:val="center"/>
              <w:rPr>
                <w:rFonts w:hint="eastAsia" w:ascii="Times New Roman" w:hAnsi="Times New Roman" w:eastAsia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......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以上所列为参考，投标人可根据实际投标情况自行进行产品补充和调整</w:t>
            </w:r>
            <w:r>
              <w:rPr>
                <w:rFonts w:hint="eastAsia"/>
                <w:b/>
                <w:bCs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2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68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77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70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运杂及保险费（含卸货）</w:t>
            </w:r>
          </w:p>
        </w:tc>
        <w:tc>
          <w:tcPr>
            <w:tcW w:w="6119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70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安装调试费（包括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项目</w:t>
            </w: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的测试、调试、验收等费用）</w:t>
            </w:r>
          </w:p>
        </w:tc>
        <w:tc>
          <w:tcPr>
            <w:tcW w:w="6119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70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培训费、技术服务费、售后服务费等</w:t>
            </w:r>
          </w:p>
        </w:tc>
        <w:tc>
          <w:tcPr>
            <w:tcW w:w="6119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70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税金</w:t>
            </w:r>
          </w:p>
        </w:tc>
        <w:tc>
          <w:tcPr>
            <w:tcW w:w="6119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670" w:type="dxa"/>
            <w:gridSpan w:val="3"/>
            <w:vAlign w:val="center"/>
          </w:tcPr>
          <w:p>
            <w:pPr>
              <w:spacing w:line="460" w:lineRule="exact"/>
              <w:ind w:right="-11"/>
              <w:jc w:val="center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  <w:t>总计价</w:t>
            </w:r>
          </w:p>
        </w:tc>
        <w:tc>
          <w:tcPr>
            <w:tcW w:w="6119" w:type="dxa"/>
            <w:gridSpan w:val="6"/>
            <w:vAlign w:val="top"/>
          </w:tcPr>
          <w:p>
            <w:pPr>
              <w:spacing w:line="460" w:lineRule="exact"/>
              <w:rPr>
                <w:rFonts w:ascii="Times New Roman" w:hAnsi="Times New Roman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spacing w:line="380" w:lineRule="exact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2"/>
          <w:szCs w:val="22"/>
          <w:highlight w:val="none"/>
        </w:rPr>
        <w:t xml:space="preserve">说明：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1、此表总计价应与“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报价一览表”中报价相一致。</w:t>
      </w:r>
    </w:p>
    <w:p>
      <w:pPr>
        <w:spacing w:line="380" w:lineRule="exact"/>
        <w:ind w:firstLine="755" w:firstLineChars="342"/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2、不提供详细分项报价将视为没有实质性响应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  <w:lang w:val="en-US" w:eastAsia="zh-CN"/>
        </w:rPr>
        <w:t>招标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文件。</w:t>
      </w:r>
    </w:p>
    <w:p>
      <w:pPr>
        <w:spacing w:line="380" w:lineRule="exact"/>
        <w:ind w:firstLine="720"/>
        <w:rPr>
          <w:rFonts w:hint="eastAsia"/>
        </w:rPr>
      </w:pP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highlight w:val="none"/>
        </w:rPr>
        <w:t>3、如果免费请在该项内容栏内注明“免”，如果含在产品价格中则填“含”，如无此项内容则填“无”。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投标人全称（盖章）：</w:t>
      </w:r>
    </w:p>
    <w:p>
      <w:pPr>
        <w:spacing w:line="40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投标人代表（签字）：</w:t>
      </w:r>
    </w:p>
    <w:p>
      <w:pPr>
        <w:spacing w:line="380" w:lineRule="exact"/>
        <w:ind w:firstLine="220" w:firstLineChars="100"/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 xml:space="preserve">                      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日    期：</w:t>
      </w:r>
    </w:p>
    <w:p>
      <w:pPr>
        <w:jc w:val="both"/>
        <w:rPr>
          <w:rFonts w:hint="eastAsia" w:eastAsia="宋体"/>
          <w:b/>
          <w:bCs w:val="0"/>
          <w:sz w:val="28"/>
          <w:szCs w:val="28"/>
          <w:lang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五、详细供货清单说明一览表</w:t>
      </w:r>
    </w:p>
    <w:p>
      <w:pPr>
        <w:rPr>
          <w:rFonts w:hint="eastAsia" w:ascii="新宋体" w:hAnsi="新宋体" w:eastAsia="新宋体" w:cs="新宋体"/>
          <w:b/>
          <w:bCs/>
          <w:color w:val="auto"/>
          <w:sz w:val="22"/>
          <w:szCs w:val="22"/>
          <w:highlight w:val="none"/>
        </w:rPr>
      </w:pPr>
      <w:r>
        <w:rPr>
          <w:rFonts w:hint="eastAsia" w:ascii="新宋体" w:hAnsi="新宋体" w:eastAsia="新宋体" w:cs="新宋体"/>
          <w:b w:val="0"/>
          <w:bCs/>
          <w:color w:val="auto"/>
          <w:sz w:val="24"/>
          <w:szCs w:val="24"/>
          <w:highlight w:val="none"/>
        </w:rPr>
        <w:t xml:space="preserve">项目名称：温州市中医院电动伸缩门 </w:t>
      </w:r>
      <w:r>
        <w:rPr>
          <w:rFonts w:hint="eastAsia" w:ascii="新宋体" w:hAnsi="新宋体" w:eastAsia="新宋体" w:cs="新宋体"/>
          <w:b w:val="0"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新宋体" w:hAnsi="新宋体" w:eastAsia="新宋体" w:cs="新宋体"/>
          <w:b/>
          <w:color w:val="auto"/>
          <w:sz w:val="22"/>
          <w:szCs w:val="22"/>
          <w:highlight w:val="none"/>
        </w:rPr>
        <w:t xml:space="preserve">                                                     </w:t>
      </w:r>
    </w:p>
    <w:tbl>
      <w:tblPr>
        <w:tblStyle w:val="17"/>
        <w:tblpPr w:leftFromText="180" w:rightFromText="180" w:vertAnchor="text" w:horzAnchor="margin" w:tblpY="161"/>
        <w:tblW w:w="10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574"/>
        <w:gridCol w:w="1381"/>
        <w:gridCol w:w="1845"/>
        <w:gridCol w:w="1605"/>
        <w:gridCol w:w="1275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157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产品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名称</w:t>
            </w:r>
          </w:p>
        </w:tc>
        <w:tc>
          <w:tcPr>
            <w:tcW w:w="138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品牌</w:t>
            </w:r>
          </w:p>
        </w:tc>
        <w:tc>
          <w:tcPr>
            <w:tcW w:w="184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规格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型号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原产地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数量</w:t>
            </w:r>
          </w:p>
        </w:tc>
        <w:tc>
          <w:tcPr>
            <w:tcW w:w="149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  <w:lang w:val="en-US" w:eastAsia="zh-CN"/>
              </w:rPr>
              <w:t>免费</w:t>
            </w: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  <w:t>质保期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83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381" w:type="dxa"/>
            <w:vAlign w:val="center"/>
          </w:tcPr>
          <w:p>
            <w:pPr>
              <w:spacing w:line="360" w:lineRule="auto"/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新宋体" w:hAnsi="新宋体" w:eastAsia="新宋体" w:cs="新宋体"/>
                <w:b/>
                <w:bCs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1491" w:type="dxa"/>
            <w:vAlign w:val="top"/>
          </w:tcPr>
          <w:p>
            <w:pPr>
              <w:rPr>
                <w:rFonts w:hint="eastAsia" w:ascii="新宋体" w:hAnsi="新宋体" w:eastAsia="新宋体" w:cs="新宋体"/>
                <w:color w:val="auto"/>
                <w:sz w:val="22"/>
                <w:szCs w:val="22"/>
                <w:highlight w:val="none"/>
              </w:rPr>
            </w:pPr>
          </w:p>
        </w:tc>
      </w:tr>
    </w:tbl>
    <w:p>
      <w:pPr>
        <w:pStyle w:val="10"/>
        <w:spacing w:line="400" w:lineRule="atLeast"/>
        <w:rPr>
          <w:rFonts w:hint="eastAsia" w:ascii="新宋体" w:hAnsi="新宋体" w:eastAsia="新宋体" w:cs="新宋体"/>
          <w:color w:val="auto"/>
          <w:sz w:val="22"/>
          <w:szCs w:val="22"/>
          <w:highlight w:val="none"/>
        </w:rPr>
      </w:pPr>
    </w:p>
    <w:p>
      <w:pPr>
        <w:spacing w:line="360" w:lineRule="auto"/>
        <w:ind w:firstLine="5040" w:firstLineChars="2400"/>
        <w:rPr>
          <w:rFonts w:hint="eastAsia"/>
        </w:rPr>
      </w:pPr>
      <w:r>
        <w:rPr>
          <w:rFonts w:hint="eastAsia"/>
        </w:rPr>
        <w:t>投标人全称（盖章）：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投标人代表（签字）：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   日   期：</w:t>
      </w:r>
    </w:p>
    <w:p>
      <w:pPr>
        <w:keepNext/>
        <w:spacing w:line="360" w:lineRule="auto"/>
        <w:rPr>
          <w:rFonts w:hint="eastAsia"/>
          <w:color w:val="auto"/>
          <w:highlight w:val="none"/>
        </w:rPr>
      </w:pPr>
    </w:p>
    <w:p>
      <w:pPr>
        <w:pStyle w:val="9"/>
        <w:ind w:left="0" w:leftChars="0" w:firstLine="0" w:firstLineChars="0"/>
        <w:rPr>
          <w:rFonts w:hint="eastAsia"/>
        </w:rPr>
      </w:pPr>
    </w:p>
    <w:p>
      <w:pPr>
        <w:spacing w:line="380" w:lineRule="exact"/>
        <w:rPr>
          <w:rFonts w:hint="eastAsia"/>
        </w:rPr>
      </w:pPr>
    </w:p>
    <w:sectPr>
      <w:footerReference r:id="rId3" w:type="default"/>
      <w:pgSz w:w="11906" w:h="16838"/>
      <w:pgMar w:top="850" w:right="1236" w:bottom="85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1.25pt"/>
          <v:imagedata o:title=""/>
          <o:lock v:ext="edit" aspectratio="f"/>
          <v:textbox inset="0mm,0mm,0mm,0mm" style="mso-fit-shape-to-text:t;">
            <w:txbxContent>
              <w:p>
                <w:pPr>
                  <w:pStyle w:val="12"/>
                  <w:jc w:val="center"/>
                </w:pPr>
                <w:r>
                  <w:fldChar w:fldCharType="begin"/>
                </w:r>
                <w:r>
                  <w:instrText xml:space="preserve">PAGE   \* MERGEFORMAT</w:instrText>
                </w:r>
                <w:r>
                  <w:fldChar w:fldCharType="separate"/>
                </w:r>
                <w:r>
                  <w:rPr>
                    <w:lang w:val="zh-CN"/>
                  </w:rPr>
                  <w:t>40</w:t>
                </w:r>
                <w:r>
                  <w:rPr>
                    <w:lang w:val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97C9E"/>
    <w:multiLevelType w:val="multilevel"/>
    <w:tmpl w:val="5D497C9E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default" w:ascii="Times New Roman" w:hAnsi="Times New Roman" w:eastAsia="黑体"/>
        <w:b/>
        <w:i w:val="0"/>
        <w:sz w:val="32"/>
        <w:szCs w:val="32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ZjMDk4ZjUyNmI5ZWM0NTQwMmI0OWNkNmNiZDhjNjUifQ=="/>
  </w:docVars>
  <w:rsids>
    <w:rsidRoot w:val="442D7AA8"/>
    <w:rsid w:val="000838A3"/>
    <w:rsid w:val="0029760C"/>
    <w:rsid w:val="003D41C7"/>
    <w:rsid w:val="003E091A"/>
    <w:rsid w:val="00537F7B"/>
    <w:rsid w:val="005D6C7D"/>
    <w:rsid w:val="0077449E"/>
    <w:rsid w:val="009C732C"/>
    <w:rsid w:val="00A81427"/>
    <w:rsid w:val="00BD504C"/>
    <w:rsid w:val="00DB7EDC"/>
    <w:rsid w:val="00FA6B75"/>
    <w:rsid w:val="03BC4EA5"/>
    <w:rsid w:val="03C84B20"/>
    <w:rsid w:val="04B15D87"/>
    <w:rsid w:val="04BF0E2D"/>
    <w:rsid w:val="058519D7"/>
    <w:rsid w:val="061D51A5"/>
    <w:rsid w:val="061E2864"/>
    <w:rsid w:val="076646E5"/>
    <w:rsid w:val="07986998"/>
    <w:rsid w:val="084B5379"/>
    <w:rsid w:val="08F913E5"/>
    <w:rsid w:val="091E5277"/>
    <w:rsid w:val="09920CE1"/>
    <w:rsid w:val="09CB578A"/>
    <w:rsid w:val="0D310E59"/>
    <w:rsid w:val="0F427144"/>
    <w:rsid w:val="0F9C6A6C"/>
    <w:rsid w:val="1124087B"/>
    <w:rsid w:val="119837F6"/>
    <w:rsid w:val="11D03062"/>
    <w:rsid w:val="127E35D2"/>
    <w:rsid w:val="15F0193F"/>
    <w:rsid w:val="16586A57"/>
    <w:rsid w:val="16EF2001"/>
    <w:rsid w:val="17B96491"/>
    <w:rsid w:val="19006747"/>
    <w:rsid w:val="1B951E05"/>
    <w:rsid w:val="1C0A168B"/>
    <w:rsid w:val="1DEA1774"/>
    <w:rsid w:val="1E727C26"/>
    <w:rsid w:val="203F5CE6"/>
    <w:rsid w:val="20A43E5C"/>
    <w:rsid w:val="20C836D6"/>
    <w:rsid w:val="252A6495"/>
    <w:rsid w:val="25DC4098"/>
    <w:rsid w:val="26603861"/>
    <w:rsid w:val="26614AE7"/>
    <w:rsid w:val="26A36964"/>
    <w:rsid w:val="294B6DC9"/>
    <w:rsid w:val="2C0B329E"/>
    <w:rsid w:val="2C6B53BF"/>
    <w:rsid w:val="2DCF6290"/>
    <w:rsid w:val="2EE23DA1"/>
    <w:rsid w:val="32E87DD1"/>
    <w:rsid w:val="333746BC"/>
    <w:rsid w:val="33F15215"/>
    <w:rsid w:val="35584BB1"/>
    <w:rsid w:val="35DC779C"/>
    <w:rsid w:val="36F20F59"/>
    <w:rsid w:val="36FF0897"/>
    <w:rsid w:val="38620F4A"/>
    <w:rsid w:val="395D6E46"/>
    <w:rsid w:val="3A0D6176"/>
    <w:rsid w:val="3A5C534F"/>
    <w:rsid w:val="3AA307AA"/>
    <w:rsid w:val="3C737A94"/>
    <w:rsid w:val="3D4A148F"/>
    <w:rsid w:val="3D766728"/>
    <w:rsid w:val="3F351791"/>
    <w:rsid w:val="401D58AF"/>
    <w:rsid w:val="41D82FF7"/>
    <w:rsid w:val="42417305"/>
    <w:rsid w:val="43AB1C34"/>
    <w:rsid w:val="43F47C2B"/>
    <w:rsid w:val="442D7AA8"/>
    <w:rsid w:val="45B222C8"/>
    <w:rsid w:val="464C44CA"/>
    <w:rsid w:val="46AB0BAA"/>
    <w:rsid w:val="49E05655"/>
    <w:rsid w:val="4A9B7985"/>
    <w:rsid w:val="4AFE12BB"/>
    <w:rsid w:val="4B2C08F7"/>
    <w:rsid w:val="4B86017E"/>
    <w:rsid w:val="4BB26B7D"/>
    <w:rsid w:val="4BB51A4D"/>
    <w:rsid w:val="4C8B2404"/>
    <w:rsid w:val="4EAB72E4"/>
    <w:rsid w:val="4EDB63EB"/>
    <w:rsid w:val="4F835253"/>
    <w:rsid w:val="50430A48"/>
    <w:rsid w:val="50CF01D2"/>
    <w:rsid w:val="50D4246D"/>
    <w:rsid w:val="51E24360"/>
    <w:rsid w:val="52957526"/>
    <w:rsid w:val="539C47DE"/>
    <w:rsid w:val="54A656ED"/>
    <w:rsid w:val="564451BE"/>
    <w:rsid w:val="56576C9F"/>
    <w:rsid w:val="57A36574"/>
    <w:rsid w:val="58D72375"/>
    <w:rsid w:val="592D3875"/>
    <w:rsid w:val="596D4A2C"/>
    <w:rsid w:val="59863BF8"/>
    <w:rsid w:val="5A1D1FAE"/>
    <w:rsid w:val="5AA12BDF"/>
    <w:rsid w:val="5BD776A5"/>
    <w:rsid w:val="5BF233C2"/>
    <w:rsid w:val="5D924A61"/>
    <w:rsid w:val="5DAF6DF6"/>
    <w:rsid w:val="5E117925"/>
    <w:rsid w:val="5E6F3AB2"/>
    <w:rsid w:val="5EB32163"/>
    <w:rsid w:val="5EEC01A1"/>
    <w:rsid w:val="5F312DC3"/>
    <w:rsid w:val="61E865CA"/>
    <w:rsid w:val="62C456BC"/>
    <w:rsid w:val="63750765"/>
    <w:rsid w:val="64F466B7"/>
    <w:rsid w:val="654C0859"/>
    <w:rsid w:val="65B0017A"/>
    <w:rsid w:val="677734BF"/>
    <w:rsid w:val="698C35ED"/>
    <w:rsid w:val="6AD77E43"/>
    <w:rsid w:val="6D072008"/>
    <w:rsid w:val="6E0C0341"/>
    <w:rsid w:val="6FA3415F"/>
    <w:rsid w:val="708D037F"/>
    <w:rsid w:val="712E3A4E"/>
    <w:rsid w:val="71BA3A22"/>
    <w:rsid w:val="71CD3E62"/>
    <w:rsid w:val="724D0AFE"/>
    <w:rsid w:val="72B648F6"/>
    <w:rsid w:val="72E83474"/>
    <w:rsid w:val="72F62F44"/>
    <w:rsid w:val="75A35A24"/>
    <w:rsid w:val="77A47413"/>
    <w:rsid w:val="78362761"/>
    <w:rsid w:val="78BC52C2"/>
    <w:rsid w:val="79D00993"/>
    <w:rsid w:val="79F966D5"/>
    <w:rsid w:val="7A8D0632"/>
    <w:rsid w:val="7ADE6A6C"/>
    <w:rsid w:val="7D311748"/>
    <w:rsid w:val="7D3D2E1C"/>
    <w:rsid w:val="7D531607"/>
    <w:rsid w:val="7DBF4FA6"/>
    <w:rsid w:val="7E036272"/>
    <w:rsid w:val="7E7A2C7B"/>
    <w:rsid w:val="7EEE556E"/>
    <w:rsid w:val="7EFA0DDF"/>
    <w:rsid w:val="7F0817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tabs>
        <w:tab w:val="left" w:pos="840"/>
      </w:tabs>
      <w:adjustRightInd w:val="0"/>
      <w:snapToGrid w:val="0"/>
      <w:spacing w:line="360" w:lineRule="auto"/>
      <w:outlineLvl w:val="0"/>
    </w:pPr>
    <w:rPr>
      <w:rFonts w:ascii="宋体"/>
      <w:b/>
      <w:kern w:val="44"/>
      <w:sz w:val="24"/>
    </w:rPr>
  </w:style>
  <w:style w:type="paragraph" w:styleId="2">
    <w:name w:val="heading 4"/>
    <w:basedOn w:val="1"/>
    <w:next w:val="1"/>
    <w:autoRedefine/>
    <w:qFormat/>
    <w:uiPriority w:val="0"/>
    <w:pPr>
      <w:keepNext/>
      <w:keepLines/>
      <w:numPr>
        <w:ilvl w:val="3"/>
        <w:numId w:val="1"/>
      </w:numPr>
      <w:spacing w:line="540" w:lineRule="atLeast"/>
      <w:outlineLvl w:val="3"/>
    </w:pPr>
    <w:rPr>
      <w:sz w:val="28"/>
      <w:szCs w:val="28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next w:val="1"/>
    <w:autoRedefine/>
    <w:qFormat/>
    <w:uiPriority w:val="0"/>
    <w:pPr>
      <w:ind w:firstLine="420"/>
    </w:pPr>
    <w:rPr>
      <w:szCs w:val="20"/>
    </w:rPr>
  </w:style>
  <w:style w:type="paragraph" w:styleId="5">
    <w:name w:val="Body Text"/>
    <w:basedOn w:val="1"/>
    <w:next w:val="6"/>
    <w:autoRedefine/>
    <w:qFormat/>
    <w:uiPriority w:val="0"/>
    <w:pPr>
      <w:spacing w:after="120" w:afterLines="0"/>
    </w:pPr>
  </w:style>
  <w:style w:type="paragraph" w:styleId="6">
    <w:name w:val="Body Text First Indent"/>
    <w:basedOn w:val="5"/>
    <w:next w:val="7"/>
    <w:autoRedefine/>
    <w:qFormat/>
    <w:uiPriority w:val="0"/>
    <w:pPr>
      <w:ind w:firstLine="420" w:firstLineChars="100"/>
    </w:pPr>
    <w:rPr>
      <w:b/>
      <w:bCs/>
      <w:szCs w:val="24"/>
    </w:rPr>
  </w:style>
  <w:style w:type="paragraph" w:styleId="7">
    <w:name w:val="toc 6"/>
    <w:basedOn w:val="1"/>
    <w:next w:val="1"/>
    <w:autoRedefine/>
    <w:qFormat/>
    <w:uiPriority w:val="0"/>
    <w:pPr>
      <w:ind w:left="2100" w:leftChars="1000"/>
    </w:pPr>
  </w:style>
  <w:style w:type="paragraph" w:styleId="8">
    <w:name w:val="Body Text Indent"/>
    <w:basedOn w:val="1"/>
    <w:next w:val="9"/>
    <w:autoRedefine/>
    <w:qFormat/>
    <w:uiPriority w:val="0"/>
    <w:pPr>
      <w:spacing w:line="200" w:lineRule="exact"/>
      <w:ind w:firstLine="301"/>
    </w:pPr>
    <w:rPr>
      <w:rFonts w:ascii="宋体" w:hAnsi="Courier New"/>
      <w:spacing w:val="-4"/>
      <w:sz w:val="18"/>
      <w:szCs w:val="20"/>
      <w14:ligatures w14:val="none"/>
    </w:rPr>
  </w:style>
  <w:style w:type="paragraph" w:styleId="9">
    <w:name w:val="Body Text First Indent 2"/>
    <w:basedOn w:val="8"/>
    <w:autoRedefine/>
    <w:qFormat/>
    <w:uiPriority w:val="0"/>
    <w:pPr>
      <w:spacing w:after="120"/>
      <w:ind w:left="420" w:leftChars="200" w:firstLine="420"/>
    </w:pPr>
    <w:rPr>
      <w:rFonts w:cs="宋体"/>
      <w:sz w:val="21"/>
      <w:szCs w:val="21"/>
    </w:rPr>
  </w:style>
  <w:style w:type="paragraph" w:styleId="10">
    <w:name w:val="Plain Text"/>
    <w:basedOn w:val="1"/>
    <w:next w:val="11"/>
    <w:autoRedefine/>
    <w:qFormat/>
    <w:uiPriority w:val="0"/>
    <w:pPr>
      <w:spacing w:beforeLines="50" w:afterLines="50" w:line="400" w:lineRule="exact"/>
    </w:pPr>
    <w:rPr>
      <w:rFonts w:ascii="宋体" w:hAnsi="Courier New"/>
      <w:sz w:val="24"/>
    </w:rPr>
  </w:style>
  <w:style w:type="paragraph" w:styleId="11">
    <w:name w:val="toc 2"/>
    <w:basedOn w:val="1"/>
    <w:next w:val="1"/>
    <w:autoRedefine/>
    <w:qFormat/>
    <w:uiPriority w:val="0"/>
    <w:pPr>
      <w:ind w:left="420" w:leftChars="200"/>
    </w:pPr>
  </w:style>
  <w:style w:type="paragraph" w:styleId="12">
    <w:name w:val="footer"/>
    <w:basedOn w:val="1"/>
    <w:link w:val="2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autoRedefine/>
    <w:qFormat/>
    <w:uiPriority w:val="39"/>
    <w:pPr>
      <w:spacing w:before="120" w:after="120" w:line="360" w:lineRule="auto"/>
      <w:jc w:val="left"/>
    </w:pPr>
    <w:rPr>
      <w:b/>
      <w:bCs/>
      <w:caps/>
      <w:sz w:val="24"/>
      <w:szCs w:val="20"/>
    </w:rPr>
  </w:style>
  <w:style w:type="paragraph" w:styleId="1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6">
    <w:name w:val="Title"/>
    <w:basedOn w:val="1"/>
    <w:next w:val="1"/>
    <w:autoRedefine/>
    <w:qFormat/>
    <w:uiPriority w:val="0"/>
    <w:pPr>
      <w:jc w:val="center"/>
    </w:pPr>
    <w:rPr>
      <w:rFonts w:ascii="Arial" w:hAnsi="Arial" w:eastAsia="宋体"/>
      <w:b/>
      <w:kern w:val="0"/>
      <w:sz w:val="36"/>
      <w:szCs w:val="20"/>
      <w:lang w:eastAsia="en-US"/>
      <w14:ligatures w14:val="none"/>
    </w:rPr>
  </w:style>
  <w:style w:type="table" w:styleId="18">
    <w:name w:val="Table Grid"/>
    <w:autoRedefine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autoRedefine/>
    <w:qFormat/>
    <w:uiPriority w:val="22"/>
    <w:rPr>
      <w:b/>
    </w:rPr>
  </w:style>
  <w:style w:type="character" w:styleId="21">
    <w:name w:val="page number"/>
    <w:autoRedefine/>
    <w:qFormat/>
    <w:uiPriority w:val="0"/>
  </w:style>
  <w:style w:type="paragraph" w:customStyle="1" w:styleId="22">
    <w:name w:val="BodyText1I"/>
    <w:basedOn w:val="23"/>
    <w:autoRedefine/>
    <w:qFormat/>
    <w:uiPriority w:val="0"/>
    <w:pPr>
      <w:ind w:firstLine="420" w:firstLineChars="100"/>
    </w:pPr>
  </w:style>
  <w:style w:type="paragraph" w:customStyle="1" w:styleId="23">
    <w:name w:val="BodyText"/>
    <w:basedOn w:val="1"/>
    <w:autoRedefine/>
    <w:qFormat/>
    <w:uiPriority w:val="0"/>
    <w:pPr>
      <w:spacing w:after="120"/>
    </w:pPr>
  </w:style>
  <w:style w:type="paragraph" w:customStyle="1" w:styleId="24">
    <w:name w:val="表格文字"/>
    <w:basedOn w:val="1"/>
    <w:next w:val="5"/>
    <w:autoRedefine/>
    <w:qFormat/>
    <w:uiPriority w:val="0"/>
    <w:pPr>
      <w:autoSpaceDE w:val="0"/>
      <w:autoSpaceDN w:val="0"/>
      <w:adjustRightInd w:val="0"/>
      <w:spacing w:line="420" w:lineRule="atLeast"/>
      <w:jc w:val="left"/>
      <w:textAlignment w:val="baseline"/>
    </w:pPr>
    <w:rPr>
      <w:rFonts w:hAnsi="宋体" w:cs="宋体"/>
      <w:kern w:val="0"/>
      <w:sz w:val="22"/>
      <w:lang w:val="zh-CN" w:bidi="zh-CN"/>
    </w:rPr>
  </w:style>
  <w:style w:type="character" w:customStyle="1" w:styleId="25">
    <w:name w:val="页眉 Char"/>
    <w:basedOn w:val="19"/>
    <w:link w:val="13"/>
    <w:autoRedefine/>
    <w:qFormat/>
    <w:uiPriority w:val="0"/>
    <w:rPr>
      <w:kern w:val="2"/>
      <w:sz w:val="18"/>
      <w:szCs w:val="18"/>
    </w:rPr>
  </w:style>
  <w:style w:type="character" w:customStyle="1" w:styleId="26">
    <w:name w:val="页脚 Char"/>
    <w:basedOn w:val="19"/>
    <w:link w:val="12"/>
    <w:autoRedefine/>
    <w:qFormat/>
    <w:uiPriority w:val="0"/>
    <w:rPr>
      <w:kern w:val="2"/>
      <w:sz w:val="18"/>
      <w:szCs w:val="18"/>
    </w:rPr>
  </w:style>
  <w:style w:type="paragraph" w:styleId="27">
    <w:name w:val="List Paragraph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8">
    <w:name w:val="列出段落1"/>
    <w:basedOn w:val="1"/>
    <w:autoRedefine/>
    <w:qFormat/>
    <w:uiPriority w:val="0"/>
    <w:pPr>
      <w:widowControl/>
      <w:spacing w:after="160" w:line="360" w:lineRule="auto"/>
      <w:ind w:left="720"/>
      <w:contextualSpacing/>
      <w:jc w:val="left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2033</Words>
  <Characters>2299</Characters>
  <Lines>17</Lines>
  <Paragraphs>4</Paragraphs>
  <TotalTime>42</TotalTime>
  <ScaleCrop>false</ScaleCrop>
  <LinksUpToDate>false</LinksUpToDate>
  <CharactersWithSpaces>2342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2019-08-15T01:42:00Z</dcterms:created>
  <dc:creator>小米</dc:creator>
  <cp:lastModifiedBy>李侃</cp:lastModifiedBy>
  <dcterms:modified xsi:type="dcterms:W3CDTF">2024-04-01T01:33:34Z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BDC350B777C44DFDACB8FBB696258D1E</vt:lpwstr>
  </property>
</Properties>
</file>