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温州市中医院关于干燥柜、封口机</w:t>
      </w:r>
      <w:r>
        <w:rPr>
          <w:rStyle w:val="14"/>
          <w:rFonts w:hint="eastAsia" w:asciiTheme="minorEastAsia" w:hAnsiTheme="minorEastAsia" w:eastAsiaTheme="minorEastAsia" w:cstheme="minorEastAsia"/>
          <w:b/>
          <w:bCs/>
          <w:sz w:val="36"/>
          <w:szCs w:val="36"/>
          <w:lang w:val="en-US" w:eastAsia="zh-CN"/>
        </w:rPr>
        <w:t>项目的招标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5"/>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Pr>
          <w:p>
            <w:pPr>
              <w:jc w:val="both"/>
              <w:rPr>
                <w:rFonts w:hint="default"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rPr>
              <w:t>项目编号：</w:t>
            </w:r>
            <w:r>
              <w:rPr>
                <w:rFonts w:hint="eastAsia" w:asciiTheme="minorEastAsia" w:hAnsiTheme="minorEastAsia" w:cstheme="minorEastAsia"/>
                <w:color w:val="auto"/>
                <w:sz w:val="21"/>
                <w:szCs w:val="21"/>
                <w:vertAlign w:val="baseline"/>
                <w:lang w:val="en-US" w:eastAsia="zh-CN"/>
              </w:rPr>
              <w:t>2024-sb-cg-002</w:t>
            </w:r>
          </w:p>
        </w:tc>
        <w:tc>
          <w:tcPr>
            <w:tcW w:w="5183" w:type="dxa"/>
          </w:tcPr>
          <w:p>
            <w:pPr>
              <w:jc w:val="left"/>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lang w:val="en-US" w:eastAsia="zh-CN"/>
              </w:rPr>
              <w:t>干燥柜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数量：一台</w:t>
            </w:r>
          </w:p>
        </w:tc>
        <w:tc>
          <w:tcPr>
            <w:tcW w:w="5183"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总</w:t>
            </w:r>
            <w:r>
              <w:rPr>
                <w:rFonts w:hint="eastAsia" w:ascii="宋体" w:hAnsi="宋体" w:eastAsia="宋体" w:cs="宋体"/>
                <w:b w:val="0"/>
                <w:bCs w:val="0"/>
                <w:color w:val="auto"/>
                <w:sz w:val="21"/>
                <w:szCs w:val="21"/>
              </w:rPr>
              <w:t>金额（元）:</w:t>
            </w:r>
            <w:r>
              <w:rPr>
                <w:rFonts w:hint="eastAsia" w:ascii="宋体" w:hAnsi="宋体" w:eastAsia="宋体" w:cs="宋体"/>
                <w:b w:val="0"/>
                <w:bCs w:val="0"/>
                <w:color w:val="auto"/>
                <w:sz w:val="21"/>
                <w:szCs w:val="21"/>
                <w:lang w:val="en-US" w:eastAsia="zh-CN"/>
              </w:rPr>
              <w:t>7.7万元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5" w:type="dxa"/>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rPr>
              <w:t>项目编号：</w:t>
            </w:r>
            <w:r>
              <w:rPr>
                <w:rFonts w:hint="eastAsia" w:asciiTheme="minorEastAsia" w:hAnsiTheme="minorEastAsia" w:cstheme="minorEastAsia"/>
                <w:color w:val="auto"/>
                <w:sz w:val="21"/>
                <w:szCs w:val="21"/>
                <w:vertAlign w:val="baseline"/>
                <w:lang w:val="en-US" w:eastAsia="zh-CN"/>
              </w:rPr>
              <w:t>2024-sb-cg-003</w:t>
            </w:r>
          </w:p>
        </w:tc>
        <w:tc>
          <w:tcPr>
            <w:tcW w:w="5183" w:type="dxa"/>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lang w:val="en-US" w:eastAsia="zh-CN"/>
              </w:rPr>
              <w:t>封口机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5" w:type="dxa"/>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数量：一台</w:t>
            </w:r>
          </w:p>
        </w:tc>
        <w:tc>
          <w:tcPr>
            <w:tcW w:w="5183"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总</w:t>
            </w:r>
            <w:r>
              <w:rPr>
                <w:rFonts w:hint="eastAsia" w:ascii="宋体" w:hAnsi="宋体" w:eastAsia="宋体" w:cs="宋体"/>
                <w:b w:val="0"/>
                <w:bCs w:val="0"/>
                <w:color w:val="auto"/>
                <w:sz w:val="21"/>
                <w:szCs w:val="21"/>
              </w:rPr>
              <w:t>金额（元）:</w:t>
            </w:r>
            <w:r>
              <w:rPr>
                <w:rFonts w:hint="eastAsia" w:ascii="宋体" w:hAnsi="宋体" w:eastAsia="宋体" w:cs="宋体"/>
                <w:b w:val="0"/>
                <w:bCs w:val="0"/>
                <w:color w:val="auto"/>
                <w:sz w:val="21"/>
                <w:szCs w:val="21"/>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国产</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本项目我院采取院内组织公开招标的方式，以综合评分最高者中标的原则确定中标供应商。</w:t>
      </w:r>
    </w:p>
    <w:p>
      <w:pPr>
        <w:pStyle w:val="9"/>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color w:val="auto"/>
          <w:kern w:val="2"/>
          <w:sz w:val="32"/>
          <w:szCs w:val="32"/>
          <w:lang w:val="en-US" w:eastAsia="zh-CN" w:bidi="ar-SA"/>
        </w:rPr>
      </w:pPr>
      <w:r>
        <w:rPr>
          <w:rStyle w:val="14"/>
          <w:rFonts w:hint="eastAsia" w:asciiTheme="minorEastAsia" w:hAnsiTheme="minorEastAsia" w:eastAsiaTheme="minorEastAsia" w:cstheme="minorEastAsia"/>
          <w:b/>
          <w:bCs/>
          <w:color w:val="auto"/>
          <w:kern w:val="2"/>
          <w:sz w:val="32"/>
          <w:szCs w:val="32"/>
          <w:lang w:val="en-US" w:eastAsia="zh-CN" w:bidi="ar-SA"/>
        </w:rPr>
        <w:t>获取招标文件</w:t>
      </w:r>
    </w:p>
    <w:p>
      <w:pPr>
        <w:pStyle w:val="9"/>
        <w:keepNext w:val="0"/>
        <w:keepLines w:val="0"/>
        <w:widowControl/>
        <w:suppressLineNumbers w:val="0"/>
        <w:spacing w:line="300" w:lineRule="atLeast"/>
        <w:rPr>
          <w:rFonts w:hint="eastAsia" w:asciiTheme="minorEastAsia" w:hAnsiTheme="minorEastAsia" w:eastAsiaTheme="minorEastAsia" w:cstheme="minorEastAsia"/>
          <w:color w:val="auto"/>
          <w:kern w:val="2"/>
          <w:sz w:val="21"/>
          <w:szCs w:val="21"/>
          <w:highlight w:val="yellow"/>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地点（网址）</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eastAsia="zh-CN"/>
        </w:rPr>
        <w:t>h</w:t>
      </w:r>
      <w:r>
        <w:rPr>
          <w:rFonts w:hint="eastAsia" w:asciiTheme="minorEastAsia" w:hAnsiTheme="minorEastAsia" w:eastAsiaTheme="minorEastAsia" w:cstheme="minorEastAsia"/>
          <w:color w:val="auto"/>
          <w:kern w:val="2"/>
          <w:sz w:val="21"/>
          <w:szCs w:val="21"/>
          <w:lang w:eastAsia="zh-CN"/>
        </w:rPr>
        <w:t>ttp://www.wzszyy.com/</w:t>
      </w:r>
    </w:p>
    <w:p>
      <w:pPr>
        <w:pStyle w:val="9"/>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color w:val="auto"/>
          <w:kern w:val="2"/>
          <w:sz w:val="32"/>
          <w:szCs w:val="32"/>
          <w:lang w:val="en-US" w:eastAsia="zh-CN" w:bidi="ar-SA"/>
        </w:rPr>
      </w:pPr>
      <w:r>
        <w:rPr>
          <w:rStyle w:val="14"/>
          <w:rFonts w:hint="eastAsia" w:asciiTheme="minorEastAsia" w:hAnsiTheme="minorEastAsia" w:eastAsiaTheme="minorEastAsia" w:cstheme="minorEastAsia"/>
          <w:b/>
          <w:bCs/>
          <w:color w:val="auto"/>
          <w:kern w:val="2"/>
          <w:sz w:val="32"/>
          <w:szCs w:val="32"/>
          <w:lang w:val="en-US" w:eastAsia="zh-CN" w:bidi="ar-SA"/>
        </w:rPr>
        <w:t>提交投标文件截止时间、开标时间和地点</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kern w:val="2"/>
          <w:sz w:val="21"/>
          <w:szCs w:val="21"/>
          <w:lang w:val="en-US" w:eastAsia="zh-CN" w:bidi="ar-SA"/>
        </w:rPr>
        <w:t>提交投标文件截止时间：202</w:t>
      </w:r>
      <w:r>
        <w:rPr>
          <w:rFonts w:hint="eastAsia" w:asciiTheme="minorEastAsia" w:hAnsiTheme="minorEastAsia" w:cstheme="minorEastAsia"/>
          <w:color w:val="auto"/>
          <w:kern w:val="2"/>
          <w:sz w:val="21"/>
          <w:szCs w:val="21"/>
          <w:lang w:val="en-US" w:eastAsia="zh-CN" w:bidi="ar-SA"/>
        </w:rPr>
        <w:t>4</w:t>
      </w:r>
      <w:r>
        <w:rPr>
          <w:rFonts w:hint="eastAsia" w:asciiTheme="minorEastAsia" w:hAnsiTheme="minorEastAsia" w:eastAsiaTheme="minorEastAsia" w:cstheme="minorEastAsia"/>
          <w:color w:val="auto"/>
          <w:kern w:val="2"/>
          <w:sz w:val="21"/>
          <w:szCs w:val="21"/>
          <w:lang w:val="en-US" w:eastAsia="zh-CN" w:bidi="ar-SA"/>
        </w:rPr>
        <w:t>年</w:t>
      </w:r>
      <w:r>
        <w:rPr>
          <w:rFonts w:hint="eastAsia" w:asciiTheme="minorEastAsia" w:hAnsiTheme="minorEastAsia" w:cstheme="minorEastAsia"/>
          <w:color w:val="auto"/>
          <w:kern w:val="2"/>
          <w:sz w:val="21"/>
          <w:szCs w:val="21"/>
          <w:lang w:val="en-US" w:eastAsia="zh-CN" w:bidi="ar-SA"/>
        </w:rPr>
        <w:t>3</w:t>
      </w:r>
      <w:r>
        <w:rPr>
          <w:rFonts w:hint="eastAsia" w:asciiTheme="minorEastAsia" w:hAnsiTheme="minorEastAsia" w:eastAsiaTheme="minorEastAsia" w:cstheme="minorEastAsia"/>
          <w:color w:val="auto"/>
          <w:kern w:val="2"/>
          <w:sz w:val="21"/>
          <w:szCs w:val="21"/>
          <w:lang w:val="en-US" w:eastAsia="zh-CN" w:bidi="ar-SA"/>
        </w:rPr>
        <w:t>月</w:t>
      </w:r>
      <w:r>
        <w:rPr>
          <w:rFonts w:hint="eastAsia" w:asciiTheme="minorEastAsia" w:hAnsiTheme="minorEastAsia" w:cstheme="minorEastAsia"/>
          <w:color w:val="auto"/>
          <w:kern w:val="2"/>
          <w:sz w:val="21"/>
          <w:szCs w:val="21"/>
          <w:lang w:val="en-US" w:eastAsia="zh-CN" w:bidi="ar-SA"/>
        </w:rPr>
        <w:t>12</w:t>
      </w:r>
      <w:r>
        <w:rPr>
          <w:rFonts w:hint="eastAsia" w:asciiTheme="minorEastAsia" w:hAnsiTheme="minorEastAsia" w:eastAsiaTheme="minorEastAsia" w:cstheme="minorEastAsia"/>
          <w:color w:val="auto"/>
          <w:kern w:val="2"/>
          <w:sz w:val="21"/>
          <w:szCs w:val="21"/>
          <w:lang w:val="en-US" w:eastAsia="zh-CN" w:bidi="ar-SA"/>
        </w:rPr>
        <w:t>日</w:t>
      </w:r>
      <w:r>
        <w:rPr>
          <w:rFonts w:hint="eastAsia" w:asciiTheme="minorEastAsia" w:hAnsiTheme="minorEastAsia" w:cstheme="minorEastAsia"/>
          <w:color w:val="auto"/>
          <w:kern w:val="2"/>
          <w:sz w:val="21"/>
          <w:szCs w:val="21"/>
          <w:lang w:val="en-US" w:eastAsia="zh-CN" w:bidi="ar-SA"/>
        </w:rPr>
        <w:t>上</w:t>
      </w:r>
      <w:r>
        <w:rPr>
          <w:rFonts w:hint="eastAsia" w:asciiTheme="minorEastAsia" w:hAnsiTheme="minorEastAsia" w:eastAsiaTheme="minorEastAsia" w:cstheme="minorEastAsia"/>
          <w:color w:val="auto"/>
          <w:kern w:val="2"/>
          <w:sz w:val="21"/>
          <w:szCs w:val="21"/>
          <w:lang w:val="en-US" w:eastAsia="zh-CN" w:bidi="ar-SA"/>
        </w:rPr>
        <w:t>午</w:t>
      </w:r>
      <w:r>
        <w:rPr>
          <w:rFonts w:hint="eastAsia" w:asciiTheme="minorEastAsia" w:hAnsiTheme="minorEastAsia" w:cstheme="minorEastAsia"/>
          <w:color w:val="auto"/>
          <w:kern w:val="2"/>
          <w:sz w:val="21"/>
          <w:szCs w:val="21"/>
          <w:lang w:val="en-US" w:eastAsia="zh-CN" w:bidi="ar-SA"/>
        </w:rPr>
        <w:t>9</w:t>
      </w:r>
      <w:r>
        <w:rPr>
          <w:rFonts w:hint="eastAsia" w:asciiTheme="minorEastAsia" w:hAnsiTheme="minorEastAsia" w:eastAsiaTheme="minorEastAsia" w:cstheme="minorEastAsia"/>
          <w:color w:val="auto"/>
          <w:kern w:val="2"/>
          <w:sz w:val="21"/>
          <w:szCs w:val="21"/>
          <w:lang w:val="en-US" w:eastAsia="zh-CN" w:bidi="ar-SA"/>
        </w:rPr>
        <w:t>：00（北京时间）</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kern w:val="2"/>
          <w:sz w:val="21"/>
          <w:szCs w:val="21"/>
          <w:lang w:val="en-US" w:eastAsia="zh-CN" w:bidi="ar-SA"/>
        </w:rPr>
        <w:t>开标时间：202</w:t>
      </w:r>
      <w:r>
        <w:rPr>
          <w:rFonts w:hint="eastAsia" w:asciiTheme="minorEastAsia" w:hAnsiTheme="minorEastAsia" w:cstheme="minorEastAsia"/>
          <w:color w:val="auto"/>
          <w:kern w:val="2"/>
          <w:sz w:val="21"/>
          <w:szCs w:val="21"/>
          <w:lang w:val="en-US" w:eastAsia="zh-CN" w:bidi="ar-SA"/>
        </w:rPr>
        <w:t>4</w:t>
      </w:r>
      <w:r>
        <w:rPr>
          <w:rFonts w:hint="eastAsia" w:asciiTheme="minorEastAsia" w:hAnsiTheme="minorEastAsia" w:eastAsiaTheme="minorEastAsia" w:cstheme="minorEastAsia"/>
          <w:color w:val="auto"/>
          <w:kern w:val="2"/>
          <w:sz w:val="21"/>
          <w:szCs w:val="21"/>
          <w:lang w:val="en-US" w:eastAsia="zh-CN" w:bidi="ar-SA"/>
        </w:rPr>
        <w:t>年</w:t>
      </w:r>
      <w:r>
        <w:rPr>
          <w:rFonts w:hint="eastAsia" w:asciiTheme="minorEastAsia" w:hAnsiTheme="minorEastAsia" w:cstheme="minorEastAsia"/>
          <w:color w:val="auto"/>
          <w:kern w:val="2"/>
          <w:sz w:val="21"/>
          <w:szCs w:val="21"/>
          <w:lang w:val="en-US" w:eastAsia="zh-CN" w:bidi="ar-SA"/>
        </w:rPr>
        <w:t>3</w:t>
      </w:r>
      <w:r>
        <w:rPr>
          <w:rFonts w:hint="eastAsia" w:asciiTheme="minorEastAsia" w:hAnsiTheme="minorEastAsia" w:eastAsiaTheme="minorEastAsia" w:cstheme="minorEastAsia"/>
          <w:color w:val="auto"/>
          <w:kern w:val="2"/>
          <w:sz w:val="21"/>
          <w:szCs w:val="21"/>
          <w:lang w:val="en-US" w:eastAsia="zh-CN" w:bidi="ar-SA"/>
        </w:rPr>
        <w:t>月</w:t>
      </w:r>
      <w:r>
        <w:rPr>
          <w:rFonts w:hint="eastAsia" w:asciiTheme="minorEastAsia" w:hAnsiTheme="minorEastAsia" w:cstheme="minorEastAsia"/>
          <w:color w:val="auto"/>
          <w:kern w:val="2"/>
          <w:sz w:val="21"/>
          <w:szCs w:val="21"/>
          <w:lang w:val="en-US" w:eastAsia="zh-CN" w:bidi="ar-SA"/>
        </w:rPr>
        <w:t>12</w:t>
      </w:r>
      <w:r>
        <w:rPr>
          <w:rFonts w:hint="eastAsia" w:asciiTheme="minorEastAsia" w:hAnsiTheme="minorEastAsia" w:eastAsiaTheme="minorEastAsia" w:cstheme="minorEastAsia"/>
          <w:color w:val="auto"/>
          <w:kern w:val="2"/>
          <w:sz w:val="21"/>
          <w:szCs w:val="21"/>
          <w:lang w:val="en-US" w:eastAsia="zh-CN" w:bidi="ar-SA"/>
        </w:rPr>
        <w:t>日</w:t>
      </w:r>
      <w:r>
        <w:rPr>
          <w:rFonts w:hint="eastAsia" w:asciiTheme="minorEastAsia" w:hAnsiTheme="minorEastAsia" w:cstheme="minorEastAsia"/>
          <w:color w:val="auto"/>
          <w:kern w:val="2"/>
          <w:sz w:val="21"/>
          <w:szCs w:val="21"/>
          <w:lang w:val="en-US" w:eastAsia="zh-CN" w:bidi="ar-SA"/>
        </w:rPr>
        <w:t>上午10</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cstheme="minorEastAsia"/>
          <w:color w:val="auto"/>
          <w:kern w:val="2"/>
          <w:sz w:val="21"/>
          <w:szCs w:val="21"/>
          <w:lang w:val="en-US" w:eastAsia="zh-CN" w:bidi="ar-SA"/>
        </w:rPr>
        <w:t>00</w:t>
      </w:r>
      <w:r>
        <w:rPr>
          <w:rFonts w:hint="eastAsia" w:asciiTheme="minorEastAsia" w:hAnsiTheme="minorEastAsia" w:eastAsiaTheme="minorEastAsia" w:cstheme="minorEastAsia"/>
          <w:color w:val="auto"/>
          <w:kern w:val="2"/>
          <w:sz w:val="21"/>
          <w:szCs w:val="21"/>
          <w:lang w:val="en-US" w:eastAsia="zh-CN" w:bidi="ar-SA"/>
        </w:rPr>
        <w:t>（北京时间）</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3、</w:t>
      </w:r>
      <w:r>
        <w:rPr>
          <w:rFonts w:hint="eastAsia" w:asciiTheme="minorEastAsia" w:hAnsiTheme="minorEastAsia" w:eastAsiaTheme="minorEastAsia" w:cstheme="minorEastAsia"/>
          <w:color w:val="auto"/>
          <w:kern w:val="2"/>
          <w:sz w:val="21"/>
          <w:szCs w:val="21"/>
          <w:lang w:val="en-US" w:eastAsia="zh-CN" w:bidi="ar-SA"/>
        </w:rPr>
        <w:t xml:space="preserve">开标地点：温州市中医院行政楼3楼309会议室 </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4、</w:t>
      </w:r>
      <w:r>
        <w:rPr>
          <w:rFonts w:hint="eastAsia" w:asciiTheme="minorEastAsia" w:hAnsiTheme="minorEastAsia" w:eastAsiaTheme="minorEastAsia" w:cstheme="minorEastAsia"/>
          <w:color w:val="auto"/>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5、</w:t>
      </w:r>
      <w:r>
        <w:rPr>
          <w:rFonts w:hint="eastAsia" w:asciiTheme="minorEastAsia" w:hAnsiTheme="minorEastAsia" w:eastAsiaTheme="minorEastAsia" w:cstheme="minorEastAsia"/>
          <w:color w:val="auto"/>
          <w:kern w:val="2"/>
          <w:sz w:val="21"/>
          <w:szCs w:val="21"/>
          <w:lang w:val="en-US" w:eastAsia="zh-CN" w:bidi="ar-SA"/>
        </w:rPr>
        <w:t>投标方式：接受邮寄和现场投递的纸质投标文件</w:t>
      </w:r>
      <w:r>
        <w:rPr>
          <w:rFonts w:hint="eastAsia" w:asciiTheme="minorEastAsia" w:hAnsiTheme="minorEastAsia" w:cstheme="minorEastAsia"/>
          <w:color w:val="auto"/>
          <w:kern w:val="2"/>
          <w:sz w:val="21"/>
          <w:szCs w:val="21"/>
          <w:lang w:val="en-US" w:eastAsia="zh-CN" w:bidi="ar-SA"/>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6、</w:t>
      </w:r>
      <w:r>
        <w:rPr>
          <w:rFonts w:hint="eastAsia" w:asciiTheme="minorEastAsia" w:hAnsiTheme="minorEastAsia" w:eastAsiaTheme="minorEastAsia" w:cstheme="minorEastAsia"/>
          <w:color w:val="auto"/>
          <w:kern w:val="2"/>
          <w:sz w:val="21"/>
          <w:szCs w:val="21"/>
          <w:lang w:val="en-US" w:eastAsia="zh-CN" w:bidi="ar-SA"/>
        </w:rPr>
        <w:t>其他:招标文件一式三份，一正两副加盖公章</w:t>
      </w:r>
    </w:p>
    <w:p>
      <w:pPr>
        <w:pStyle w:val="9"/>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color w:val="auto"/>
          <w:kern w:val="2"/>
          <w:sz w:val="32"/>
          <w:szCs w:val="32"/>
          <w:lang w:val="en-US" w:eastAsia="zh-CN" w:bidi="ar-SA"/>
        </w:rPr>
      </w:pPr>
      <w:r>
        <w:rPr>
          <w:rStyle w:val="14"/>
          <w:rFonts w:hint="eastAsia" w:asciiTheme="minorEastAsia" w:hAnsiTheme="minorEastAsia" w:eastAsiaTheme="minorEastAsia" w:cstheme="minorEastAsia"/>
          <w:b/>
          <w:bCs/>
          <w:color w:val="auto"/>
          <w:kern w:val="2"/>
          <w:sz w:val="32"/>
          <w:szCs w:val="32"/>
          <w:lang w:val="en-US" w:eastAsia="zh-CN" w:bidi="ar-SA"/>
        </w:rPr>
        <w:t>公告期限 </w:t>
      </w:r>
    </w:p>
    <w:p>
      <w:pPr>
        <w:pStyle w:val="9"/>
        <w:keepNext w:val="0"/>
        <w:keepLines w:val="0"/>
        <w:widowControl/>
        <w:suppressLineNumbers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color w:val="auto"/>
          <w:sz w:val="28"/>
          <w:szCs w:val="28"/>
        </w:rPr>
      </w:pPr>
      <w:r>
        <w:rPr>
          <w:rStyle w:val="14"/>
          <w:rFonts w:hint="eastAsia" w:asciiTheme="minorEastAsia" w:hAnsiTheme="minorEastAsia" w:eastAsiaTheme="minorEastAsia" w:cstheme="minorEastAsia"/>
          <w:b/>
          <w:bCs/>
          <w:color w:val="auto"/>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投标文件由资格证明文件、商务技术文件和报价文件三部份组成</w:t>
      </w:r>
      <w:r>
        <w:rPr>
          <w:rFonts w:hint="eastAsia" w:asciiTheme="minorEastAsia" w:hAnsiTheme="minorEastAsia" w:eastAsiaTheme="minorEastAsia" w:cstheme="minorEastAsia"/>
          <w:b w:val="0"/>
          <w:bCs/>
          <w:color w:val="auto"/>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kern w:val="0"/>
          <w:sz w:val="21"/>
          <w:szCs w:val="21"/>
        </w:rPr>
        <w:t>（5）投标声明函</w:t>
      </w:r>
      <w:r>
        <w:rPr>
          <w:rFonts w:hint="eastAsia" w:asciiTheme="minorEastAsia" w:hAnsiTheme="minorEastAsia" w:eastAsiaTheme="minorEastAsia" w:cstheme="minorEastAsia"/>
          <w:color w:val="auto"/>
          <w:sz w:val="21"/>
          <w:szCs w:val="21"/>
        </w:rPr>
        <w:t>；</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color w:val="auto"/>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（4）中小企业的相关证明材料（如有</w:t>
      </w:r>
      <w:r>
        <w:rPr>
          <w:rFonts w:hint="eastAsia" w:asciiTheme="minorEastAsia" w:hAnsiTheme="minorEastAsia" w:eastAsiaTheme="minorEastAsia" w:cstheme="minorEastAsia"/>
          <w:color w:val="auto"/>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（6）由省级以上监狱管理局、戒毒管理局（含新疆生产建设兵团）出具的属于监狱企业的证明文件（如有）。</w:t>
      </w:r>
    </w:p>
    <w:p>
      <w:pPr>
        <w:pStyle w:val="9"/>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6348"/>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190" w:type="dxa"/>
            <w:tcBorders>
              <w:top w:val="single" w:color="auto" w:sz="12" w:space="0"/>
              <w:left w:val="single" w:color="auto" w:sz="12" w:space="0"/>
              <w:bottom w:val="single" w:color="auto" w:sz="12" w:space="0"/>
            </w:tcBorders>
            <w:noWrap w:val="0"/>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348" w:type="dxa"/>
            <w:tcBorders>
              <w:top w:val="single" w:color="auto" w:sz="12" w:space="0"/>
              <w:bottom w:val="single" w:color="auto" w:sz="12" w:space="0"/>
            </w:tcBorders>
            <w:noWrap w:val="0"/>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c>
          <w:tcPr>
            <w:tcW w:w="1492" w:type="dxa"/>
            <w:tcBorders>
              <w:top w:val="single" w:color="auto" w:sz="12" w:space="0"/>
              <w:bottom w:val="single" w:color="auto" w:sz="12" w:space="0"/>
              <w:right w:val="single" w:color="auto" w:sz="12" w:space="0"/>
            </w:tcBorders>
            <w:noWrap w:val="0"/>
            <w:vAlign w:val="center"/>
          </w:tcPr>
          <w:p>
            <w:pPr>
              <w:widowControl/>
              <w:ind w:left="964" w:hanging="843" w:hangingChars="400"/>
              <w:jc w:val="center"/>
              <w:rPr>
                <w:rFonts w:hint="eastAsia" w:ascii="宋体" w:hAnsi="宋体" w:eastAsia="宋体" w:cs="宋体"/>
                <w:b/>
                <w:bCs/>
                <w:sz w:val="21"/>
                <w:szCs w:val="21"/>
              </w:rPr>
            </w:pPr>
            <w:r>
              <w:rPr>
                <w:rFonts w:hint="eastAsia" w:ascii="宋体" w:hAnsi="宋体" w:eastAsia="宋体" w:cs="宋体"/>
                <w:b/>
                <w:bCs/>
                <w:sz w:val="21"/>
                <w:szCs w:val="21"/>
                <w:lang w:eastAsia="zh-CN"/>
              </w:rPr>
              <w:t>投标</w:t>
            </w:r>
            <w:r>
              <w:rPr>
                <w:rFonts w:hint="eastAsia" w:ascii="宋体" w:hAnsi="宋体" w:eastAsia="宋体" w:cs="宋体"/>
                <w:b/>
                <w:bCs/>
                <w:sz w:val="21"/>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top w:val="single" w:color="auto" w:sz="12" w:space="0"/>
              <w:left w:val="single" w:color="auto" w:sz="12" w:space="0"/>
            </w:tcBorders>
            <w:noWrap w:val="0"/>
            <w:vAlign w:val="center"/>
          </w:tcPr>
          <w:p>
            <w:pPr>
              <w:pStyle w:val="19"/>
              <w:jc w:val="both"/>
              <w:rPr>
                <w:rFonts w:hint="eastAsia" w:ascii="宋体" w:hAnsi="宋体" w:eastAsia="宋体" w:cs="宋体"/>
                <w:b/>
                <w:sz w:val="21"/>
                <w:szCs w:val="21"/>
                <w:lang w:val="en-US" w:eastAsia="zh-CN"/>
              </w:rPr>
            </w:pPr>
            <w:r>
              <w:rPr>
                <w:rFonts w:hint="eastAsia"/>
                <w:b/>
                <w:bCs w:val="0"/>
                <w:szCs w:val="21"/>
                <w:lang w:val="en-US" w:eastAsia="zh-CN"/>
              </w:rPr>
              <w:t>一</w:t>
            </w:r>
          </w:p>
        </w:tc>
        <w:tc>
          <w:tcPr>
            <w:tcW w:w="6348" w:type="dxa"/>
            <w:tcBorders>
              <w:top w:val="single" w:color="auto" w:sz="12" w:space="0"/>
            </w:tcBorders>
            <w:noWrap w:val="0"/>
            <w:vAlign w:val="center"/>
          </w:tcPr>
          <w:p>
            <w:pPr>
              <w:autoSpaceDE w:val="0"/>
              <w:autoSpaceDN w:val="0"/>
              <w:adjustRightInd w:val="0"/>
              <w:jc w:val="center"/>
              <w:rPr>
                <w:rFonts w:hint="eastAsia" w:ascii="宋体" w:hAnsi="宋体" w:eastAsia="宋体" w:cs="宋体"/>
                <w:color w:val="000000"/>
                <w:sz w:val="21"/>
                <w:szCs w:val="21"/>
                <w:lang w:val="en-US"/>
              </w:rPr>
            </w:pPr>
            <w:r>
              <w:rPr>
                <w:rFonts w:hint="eastAsia" w:ascii="宋体" w:hAnsi="宋体"/>
                <w:b/>
                <w:bCs w:val="0"/>
                <w:szCs w:val="21"/>
              </w:rPr>
              <w:t>医用真空干燥柜技术参数要求</w:t>
            </w:r>
          </w:p>
        </w:tc>
        <w:tc>
          <w:tcPr>
            <w:tcW w:w="1492" w:type="dxa"/>
            <w:tcBorders>
              <w:top w:val="single" w:color="auto" w:sz="12" w:space="0"/>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ascii="Arial" w:hAnsi="Arial" w:eastAsia="宋3f体3f" w:cs="Arial"/>
                <w:b/>
                <w:bCs/>
                <w:color w:val="000000"/>
                <w:kern w:val="0"/>
                <w:sz w:val="22"/>
                <w:szCs w:val="22"/>
              </w:rPr>
            </w:pPr>
            <w:r>
              <w:rPr>
                <w:rFonts w:ascii="Arial" w:hAnsi="Arial" w:eastAsia="宋3f体3f" w:cs="Arial"/>
                <w:b/>
                <w:bCs/>
                <w:color w:val="000000"/>
                <w:kern w:val="0"/>
                <w:sz w:val="22"/>
                <w:szCs w:val="22"/>
              </w:rPr>
              <w:t>1</w:t>
            </w:r>
          </w:p>
          <w:p>
            <w:pPr>
              <w:pStyle w:val="19"/>
              <w:ind w:left="521" w:leftChars="0" w:firstLine="0" w:firstLineChars="0"/>
              <w:jc w:val="left"/>
              <w:rPr>
                <w:rFonts w:hint="eastAsia" w:ascii="宋体" w:hAnsi="宋体" w:eastAsia="宋体" w:cs="宋体"/>
                <w:sz w:val="21"/>
                <w:szCs w:val="21"/>
              </w:rPr>
            </w:pPr>
          </w:p>
        </w:tc>
        <w:tc>
          <w:tcPr>
            <w:tcW w:w="6348" w:type="dxa"/>
            <w:noWrap w:val="0"/>
            <w:vAlign w:val="center"/>
          </w:tcPr>
          <w:p>
            <w:pPr>
              <w:autoSpaceDE w:val="0"/>
              <w:autoSpaceDN w:val="0"/>
              <w:adjustRightInd w:val="0"/>
              <w:jc w:val="left"/>
              <w:rPr>
                <w:rFonts w:hint="eastAsia" w:ascii="宋体" w:hAnsi="宋体" w:eastAsia="宋体" w:cs="宋体"/>
                <w:color w:val="000000"/>
                <w:sz w:val="21"/>
                <w:szCs w:val="21"/>
              </w:rPr>
            </w:pPr>
            <w:r>
              <w:rPr>
                <w:rFonts w:hint="eastAsia" w:ascii="宋体" w:hAnsi="宋体"/>
                <w:bCs/>
                <w:szCs w:val="21"/>
              </w:rPr>
              <w:t>技术要求</w:t>
            </w:r>
          </w:p>
        </w:tc>
        <w:tc>
          <w:tcPr>
            <w:tcW w:w="1492" w:type="dxa"/>
            <w:tcBorders>
              <w:right w:val="single" w:color="auto" w:sz="12" w:space="0"/>
            </w:tcBorders>
            <w:noWrap w:val="0"/>
            <w:vAlign w:val="center"/>
          </w:tcPr>
          <w:p>
            <w:pPr>
              <w:widowControl/>
              <w:spacing w:line="360" w:lineRule="exact"/>
              <w:ind w:left="843" w:leftChars="0" w:hanging="843" w:hangingChars="400"/>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lang w:eastAsia="zh-CN"/>
              </w:rPr>
            </w:pPr>
            <w:r>
              <w:rPr>
                <w:rFonts w:ascii="Arial" w:hAnsi="Arial" w:eastAsia="宋3f体3f" w:cs="Arial"/>
                <w:b/>
                <w:bCs/>
                <w:color w:val="000000"/>
                <w:kern w:val="0"/>
                <w:sz w:val="22"/>
                <w:szCs w:val="22"/>
              </w:rPr>
              <w:t>1.1</w:t>
            </w:r>
          </w:p>
        </w:tc>
        <w:tc>
          <w:tcPr>
            <w:tcW w:w="6348" w:type="dxa"/>
            <w:noWrap w:val="0"/>
            <w:vAlign w:val="center"/>
          </w:tcPr>
          <w:p>
            <w:pPr>
              <w:autoSpaceDE w:val="0"/>
              <w:autoSpaceDN w:val="0"/>
              <w:adjustRightInd w:val="0"/>
              <w:jc w:val="left"/>
              <w:rPr>
                <w:rFonts w:hint="eastAsia" w:ascii="宋体" w:hAnsi="宋体" w:eastAsia="宋体" w:cs="宋体"/>
                <w:sz w:val="21"/>
                <w:szCs w:val="21"/>
              </w:rPr>
            </w:pPr>
            <w:r>
              <w:rPr>
                <w:rFonts w:hint="eastAsia" w:ascii="宋体" w:hAnsi="宋体"/>
                <w:bCs/>
                <w:szCs w:val="21"/>
              </w:rPr>
              <w:t>主体</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b/>
                <w:sz w:val="21"/>
                <w:szCs w:val="21"/>
              </w:rPr>
            </w:pPr>
            <w:r>
              <w:rPr>
                <w:rFonts w:ascii="Arial" w:hAnsi="Arial" w:eastAsia="宋3f体3f" w:cs="Arial"/>
                <w:color w:val="000000"/>
                <w:kern w:val="0"/>
                <w:sz w:val="22"/>
                <w:szCs w:val="22"/>
              </w:rPr>
              <w:t>1.1.1</w:t>
            </w:r>
          </w:p>
        </w:tc>
        <w:tc>
          <w:tcPr>
            <w:tcW w:w="6348" w:type="dxa"/>
            <w:noWrap w:val="0"/>
            <w:vAlign w:val="center"/>
          </w:tcPr>
          <w:p>
            <w:pPr>
              <w:autoSpaceDE w:val="0"/>
              <w:autoSpaceDN w:val="0"/>
              <w:adjustRightInd w:val="0"/>
              <w:jc w:val="left"/>
              <w:rPr>
                <w:rFonts w:hint="eastAsia" w:ascii="宋体" w:hAnsi="宋体" w:eastAsia="宋体" w:cs="宋体"/>
                <w:b/>
                <w:color w:val="auto"/>
                <w:sz w:val="21"/>
                <w:szCs w:val="21"/>
              </w:rPr>
            </w:pPr>
            <w:r>
              <w:rPr>
                <w:rFonts w:hint="eastAsia" w:ascii="宋体" w:hAnsi="宋体"/>
                <w:bCs/>
                <w:szCs w:val="21"/>
              </w:rPr>
              <w:t>外观要求：整体全不锈钢拉丝外罩外观，整洁易于清理。</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b/>
                <w:sz w:val="21"/>
                <w:szCs w:val="21"/>
              </w:rPr>
            </w:pPr>
            <w:r>
              <w:rPr>
                <w:rFonts w:hint="eastAsia" w:ascii="宋体" w:hAnsi="宋体"/>
                <w:bCs/>
                <w:szCs w:val="21"/>
              </w:rPr>
              <w:t>★</w:t>
            </w:r>
            <w:r>
              <w:rPr>
                <w:rFonts w:ascii="Arial" w:hAnsi="Arial" w:eastAsia="宋3f体3f" w:cs="Arial"/>
                <w:color w:val="000000"/>
                <w:kern w:val="0"/>
                <w:sz w:val="22"/>
                <w:szCs w:val="22"/>
              </w:rPr>
              <w:t>1.1.2</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材质要求：舱体采用优质铝合金防锈板拼接成型，阳极氧化处理，表面光洁，提高热辐射效率，有利</w:t>
            </w:r>
            <w:r>
              <w:rPr>
                <w:rFonts w:ascii="宋体" w:hAnsi="宋体"/>
                <w:bCs/>
                <w:szCs w:val="21"/>
              </w:rPr>
              <w:t>于腔内温度控制，有效提高干燥性能。</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lang w:val="en-US" w:eastAsia="zh-CN"/>
              </w:rPr>
            </w:pPr>
            <w:r>
              <w:rPr>
                <w:rFonts w:hint="eastAsia" w:ascii="宋体" w:hAnsi="宋体"/>
                <w:bCs/>
                <w:szCs w:val="21"/>
              </w:rPr>
              <w:t>★</w:t>
            </w:r>
            <w:r>
              <w:rPr>
                <w:rFonts w:ascii="Arial" w:hAnsi="Arial" w:eastAsia="宋3f体3f" w:cs="Arial"/>
                <w:color w:val="000000"/>
                <w:kern w:val="0"/>
                <w:sz w:val="22"/>
                <w:szCs w:val="22"/>
              </w:rPr>
              <w:t>1.1.3</w:t>
            </w:r>
          </w:p>
        </w:tc>
        <w:tc>
          <w:tcPr>
            <w:tcW w:w="6348" w:type="dxa"/>
            <w:noWrap w:val="0"/>
            <w:vAlign w:val="center"/>
          </w:tcPr>
          <w:p>
            <w:pPr>
              <w:autoSpaceDE w:val="0"/>
              <w:autoSpaceDN w:val="0"/>
              <w:adjustRightInd w:val="0"/>
              <w:jc w:val="left"/>
              <w:rPr>
                <w:rFonts w:hint="eastAsia" w:ascii="宋体" w:hAnsi="宋体" w:eastAsia="宋体" w:cs="宋体"/>
                <w:color w:val="auto"/>
                <w:sz w:val="21"/>
                <w:szCs w:val="21"/>
              </w:rPr>
            </w:pPr>
            <w:r>
              <w:rPr>
                <w:rFonts w:hint="eastAsia" w:ascii="宋体" w:hAnsi="宋体"/>
                <w:bCs/>
                <w:szCs w:val="21"/>
              </w:rPr>
              <w:t>舱体结构：方形舱体设计，空间利用率更高，单舱一次可装载</w:t>
            </w:r>
            <w:r>
              <w:rPr>
                <w:rFonts w:ascii="宋体" w:hAnsi="宋体"/>
                <w:bCs/>
                <w:szCs w:val="21"/>
              </w:rPr>
              <w:t>2</w:t>
            </w:r>
            <w:r>
              <w:rPr>
                <w:rFonts w:hint="eastAsia" w:ascii="宋体" w:hAnsi="宋体"/>
                <w:bCs/>
                <w:szCs w:val="21"/>
              </w:rPr>
              <w:t>个标配器械托盘的器械。舱体深度</w:t>
            </w:r>
            <w:r>
              <w:rPr>
                <w:rFonts w:ascii="宋体" w:hAnsi="宋体"/>
                <w:bCs/>
                <w:szCs w:val="21"/>
              </w:rPr>
              <w:t>≥700mm</w:t>
            </w:r>
            <w:r>
              <w:rPr>
                <w:rFonts w:hint="eastAsia" w:ascii="宋体" w:hAnsi="宋体"/>
                <w:bCs/>
                <w:szCs w:val="21"/>
              </w:rPr>
              <w:t>，更适合较长硬镜类负载的干燥。</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lang w:val="en-US" w:eastAsia="zh-CN"/>
              </w:rPr>
            </w:pPr>
            <w:r>
              <w:rPr>
                <w:rFonts w:ascii="Arial" w:hAnsi="Arial" w:eastAsia="宋3f体3f" w:cs="Arial"/>
                <w:color w:val="000000"/>
                <w:kern w:val="0"/>
                <w:sz w:val="22"/>
                <w:szCs w:val="22"/>
              </w:rPr>
              <w:t>1.1.4</w:t>
            </w:r>
          </w:p>
        </w:tc>
        <w:tc>
          <w:tcPr>
            <w:tcW w:w="6348" w:type="dxa"/>
            <w:noWrap w:val="0"/>
            <w:vAlign w:val="center"/>
          </w:tcPr>
          <w:p>
            <w:pPr>
              <w:autoSpaceDE w:val="0"/>
              <w:autoSpaceDN w:val="0"/>
              <w:adjustRightInd w:val="0"/>
              <w:jc w:val="left"/>
              <w:rPr>
                <w:rFonts w:hint="eastAsia" w:ascii="宋体" w:hAnsi="宋体" w:eastAsia="宋体" w:cs="宋体"/>
                <w:color w:val="auto"/>
                <w:sz w:val="21"/>
                <w:szCs w:val="21"/>
              </w:rPr>
            </w:pPr>
            <w:r>
              <w:rPr>
                <w:rFonts w:hint="eastAsia" w:ascii="宋体" w:hAnsi="宋体"/>
                <w:bCs/>
                <w:szCs w:val="21"/>
              </w:rPr>
              <w:t>加热方式：舱体外壁包覆</w:t>
            </w:r>
            <w:r>
              <w:rPr>
                <w:rFonts w:ascii="宋体" w:hAnsi="宋体"/>
                <w:bCs/>
                <w:szCs w:val="21"/>
              </w:rPr>
              <w:t>PTC</w:t>
            </w:r>
            <w:r>
              <w:rPr>
                <w:rFonts w:hint="eastAsia" w:ascii="宋体" w:hAnsi="宋体"/>
                <w:bCs/>
                <w:szCs w:val="21"/>
              </w:rPr>
              <w:t>加热膜加热，安全高效，升温均匀；</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lang w:val="en-US" w:eastAsia="zh-CN"/>
              </w:rPr>
            </w:pPr>
            <w:r>
              <w:rPr>
                <w:rFonts w:ascii="Arial" w:hAnsi="Arial" w:eastAsia="宋3f体3f" w:cs="Arial"/>
                <w:color w:val="000000"/>
                <w:kern w:val="0"/>
                <w:sz w:val="22"/>
                <w:szCs w:val="22"/>
              </w:rPr>
              <w:t>1.1.5</w:t>
            </w:r>
          </w:p>
        </w:tc>
        <w:tc>
          <w:tcPr>
            <w:tcW w:w="6348" w:type="dxa"/>
            <w:noWrap w:val="0"/>
            <w:vAlign w:val="center"/>
          </w:tcPr>
          <w:p>
            <w:pPr>
              <w:autoSpaceDE w:val="0"/>
              <w:autoSpaceDN w:val="0"/>
              <w:adjustRightInd w:val="0"/>
              <w:jc w:val="left"/>
              <w:rPr>
                <w:rFonts w:hint="eastAsia" w:ascii="宋体" w:hAnsi="宋体" w:eastAsia="宋体" w:cs="宋体"/>
                <w:color w:val="auto"/>
                <w:sz w:val="21"/>
                <w:szCs w:val="21"/>
              </w:rPr>
            </w:pPr>
            <w:r>
              <w:rPr>
                <w:rFonts w:hint="eastAsia" w:ascii="宋体" w:hAnsi="宋体"/>
                <w:bCs/>
                <w:szCs w:val="21"/>
              </w:rPr>
              <w:t>保温材料：采用粘胶纤维保温层，厚度≥</w:t>
            </w:r>
            <w:r>
              <w:rPr>
                <w:rFonts w:ascii="宋体" w:hAnsi="宋体"/>
                <w:bCs/>
                <w:szCs w:val="21"/>
              </w:rPr>
              <w:t>10mm</w:t>
            </w:r>
            <w:r>
              <w:rPr>
                <w:rFonts w:hint="eastAsia" w:ascii="宋体" w:hAnsi="宋体"/>
                <w:bCs/>
                <w:szCs w:val="21"/>
              </w:rPr>
              <w:t>，外覆绝缘布、防火性能好、有效阻止热量散失。</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lang w:eastAsia="zh-CN"/>
              </w:rPr>
            </w:pPr>
            <w:r>
              <w:rPr>
                <w:rFonts w:ascii="Arial" w:hAnsi="Arial" w:eastAsia="宋3f体3f" w:cs="Arial"/>
                <w:b/>
                <w:bCs/>
                <w:color w:val="000000"/>
                <w:kern w:val="0"/>
                <w:sz w:val="22"/>
                <w:szCs w:val="22"/>
              </w:rPr>
              <w:t>1.2</w:t>
            </w:r>
          </w:p>
        </w:tc>
        <w:tc>
          <w:tcPr>
            <w:tcW w:w="6348" w:type="dxa"/>
            <w:noWrap w:val="0"/>
            <w:vAlign w:val="center"/>
          </w:tcPr>
          <w:p>
            <w:pPr>
              <w:autoSpaceDE w:val="0"/>
              <w:autoSpaceDN w:val="0"/>
              <w:adjustRightInd w:val="0"/>
              <w:jc w:val="left"/>
              <w:rPr>
                <w:rFonts w:hint="eastAsia" w:ascii="宋体" w:hAnsi="宋体" w:eastAsia="宋体" w:cs="宋体"/>
                <w:color w:val="auto"/>
                <w:sz w:val="21"/>
                <w:szCs w:val="21"/>
              </w:rPr>
            </w:pPr>
            <w:r>
              <w:rPr>
                <w:rFonts w:hint="eastAsia" w:ascii="宋体" w:hAnsi="宋体"/>
                <w:bCs/>
                <w:szCs w:val="21"/>
              </w:rPr>
              <w:t>密封门</w:t>
            </w:r>
          </w:p>
        </w:tc>
        <w:tc>
          <w:tcPr>
            <w:tcW w:w="1492" w:type="dxa"/>
            <w:tcBorders>
              <w:right w:val="single" w:color="auto" w:sz="12" w:space="0"/>
            </w:tcBorders>
            <w:noWrap w:val="0"/>
            <w:vAlign w:val="center"/>
          </w:tcPr>
          <w:p>
            <w:pPr>
              <w:widowControl/>
              <w:spacing w:line="360" w:lineRule="exact"/>
              <w:ind w:left="843" w:leftChars="0" w:hanging="843" w:hangingChars="40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rPr>
            </w:pPr>
            <w:r>
              <w:rPr>
                <w:rFonts w:hint="eastAsia" w:ascii="宋体" w:hAnsi="宋体"/>
                <w:bCs/>
                <w:szCs w:val="21"/>
              </w:rPr>
              <w:t>★</w:t>
            </w:r>
            <w:r>
              <w:rPr>
                <w:rFonts w:ascii="Arial" w:hAnsi="Arial" w:eastAsia="宋3f体3f" w:cs="Arial"/>
                <w:color w:val="000000"/>
                <w:kern w:val="0"/>
                <w:sz w:val="22"/>
                <w:szCs w:val="22"/>
              </w:rPr>
              <w:t>1.2.1</w:t>
            </w:r>
          </w:p>
        </w:tc>
        <w:tc>
          <w:tcPr>
            <w:tcW w:w="6348" w:type="dxa"/>
            <w:noWrap w:val="0"/>
            <w:vAlign w:val="center"/>
          </w:tcPr>
          <w:p>
            <w:pPr>
              <w:autoSpaceDE w:val="0"/>
              <w:autoSpaceDN w:val="0"/>
              <w:adjustRightInd w:val="0"/>
              <w:jc w:val="left"/>
              <w:rPr>
                <w:rFonts w:hint="eastAsia" w:ascii="宋体" w:hAnsi="宋体" w:eastAsia="宋体" w:cs="宋体"/>
                <w:color w:val="auto"/>
                <w:kern w:val="2"/>
                <w:sz w:val="21"/>
                <w:szCs w:val="21"/>
                <w:lang w:val="en-US" w:eastAsia="zh-CN" w:bidi="ar-SA"/>
              </w:rPr>
            </w:pPr>
            <w:r>
              <w:rPr>
                <w:rFonts w:hint="eastAsia" w:ascii="宋体" w:hAnsi="宋体"/>
                <w:bCs/>
                <w:szCs w:val="21"/>
              </w:rPr>
              <w:t>密封门材质要求：门框采用不锈钢板焊接成型，强度高，不变形；门罩采用不锈钢拉丝板刨槽钣金折弯成</w:t>
            </w:r>
            <w:r>
              <w:rPr>
                <w:rFonts w:ascii="宋体" w:hAnsi="宋体"/>
                <w:bCs/>
                <w:szCs w:val="21"/>
              </w:rPr>
              <w:t>型。前后双门结构，可做通道式隔断安装。</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rPr>
            </w:pPr>
            <w:r>
              <w:rPr>
                <w:rFonts w:ascii="Arial" w:hAnsi="Arial" w:eastAsia="宋3f体3f" w:cs="Arial"/>
                <w:color w:val="000000"/>
                <w:kern w:val="0"/>
                <w:sz w:val="22"/>
                <w:szCs w:val="22"/>
              </w:rPr>
              <w:t>1.2.2</w:t>
            </w:r>
          </w:p>
        </w:tc>
        <w:tc>
          <w:tcPr>
            <w:tcW w:w="6348" w:type="dxa"/>
            <w:noWrap w:val="0"/>
            <w:vAlign w:val="center"/>
          </w:tcPr>
          <w:p>
            <w:pPr>
              <w:autoSpaceDE w:val="0"/>
              <w:autoSpaceDN w:val="0"/>
              <w:adjustRightInd w:val="0"/>
              <w:jc w:val="left"/>
              <w:rPr>
                <w:rFonts w:hint="eastAsia" w:ascii="宋体" w:hAnsi="宋体" w:eastAsia="宋体" w:cs="宋体"/>
                <w:color w:val="auto"/>
                <w:kern w:val="2"/>
                <w:sz w:val="21"/>
                <w:szCs w:val="21"/>
                <w:lang w:val="en-US" w:eastAsia="zh-CN" w:bidi="ar-SA"/>
              </w:rPr>
            </w:pPr>
            <w:r>
              <w:rPr>
                <w:rFonts w:hint="eastAsia" w:ascii="宋体" w:hAnsi="宋体"/>
                <w:bCs/>
                <w:szCs w:val="21"/>
              </w:rPr>
              <w:t>门胶条要求：抽空阀和回空阀均为进口电磁阀，质量稳定、寿命长。</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sz w:val="21"/>
                <w:szCs w:val="21"/>
              </w:rPr>
            </w:pPr>
            <w:r>
              <w:rPr>
                <w:rFonts w:ascii="Arial" w:hAnsi="Arial" w:eastAsia="宋3f体3f" w:cs="Arial"/>
                <w:color w:val="000000"/>
                <w:kern w:val="0"/>
                <w:sz w:val="22"/>
                <w:szCs w:val="22"/>
              </w:rPr>
              <w:t>1.2.3</w:t>
            </w:r>
          </w:p>
        </w:tc>
        <w:tc>
          <w:tcPr>
            <w:tcW w:w="6348" w:type="dxa"/>
            <w:noWrap w:val="0"/>
            <w:vAlign w:val="center"/>
          </w:tcPr>
          <w:p>
            <w:pPr>
              <w:autoSpaceDE w:val="0"/>
              <w:autoSpaceDN w:val="0"/>
              <w:adjustRightInd w:val="0"/>
              <w:jc w:val="left"/>
              <w:rPr>
                <w:rFonts w:hint="eastAsia" w:ascii="宋体" w:hAnsi="宋体" w:eastAsia="宋体" w:cs="宋体"/>
                <w:color w:val="auto"/>
                <w:kern w:val="2"/>
                <w:sz w:val="21"/>
                <w:szCs w:val="21"/>
                <w:lang w:val="en-US" w:eastAsia="zh-CN" w:bidi="ar-SA"/>
              </w:rPr>
            </w:pPr>
            <w:r>
              <w:rPr>
                <w:rFonts w:hint="eastAsia" w:ascii="宋体" w:hAnsi="宋体"/>
                <w:bCs/>
                <w:szCs w:val="21"/>
              </w:rPr>
              <w:t>门密封要求：采用钢化玻璃密封，带有高透玻璃视窗，保证密封同时，可在运行中观察内部负载情况。</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1.2.4</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门锁装置：电动锁，自动检测门关位，安全方便，避免手动操作引起的误操作。</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b/>
                <w:bCs/>
                <w:color w:val="000000"/>
                <w:kern w:val="0"/>
                <w:sz w:val="22"/>
                <w:szCs w:val="22"/>
              </w:rPr>
              <w:t>1.3</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管路系统</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1.3.1</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泵：高效真空泵，运行平稳，低噪音，低震动，抽空速度快，维修保养方便。</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1.3.2</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控制阀：抽空阀采用电动执行器控制，更安全、可靠；回空阀为进口电磁阀，质量稳定、寿命长。</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1.3.3</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过热保护：设备具有加热系统故障检测、保护、报警功能，采用知名品牌过热保护器。保护阶段，程</w:t>
            </w:r>
            <w:r>
              <w:rPr>
                <w:rFonts w:ascii="宋体" w:hAnsi="宋体"/>
                <w:bCs/>
                <w:szCs w:val="21"/>
              </w:rPr>
              <w:t>序停止运行，排出故障后，方可正常使用。</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1.3.4</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过滤器要求：进气采用高效空气过滤器过滤，过滤精度</w:t>
            </w:r>
            <w:r>
              <w:rPr>
                <w:rFonts w:ascii="宋体" w:hAnsi="宋体"/>
                <w:bCs/>
                <w:szCs w:val="21"/>
              </w:rPr>
              <w:t>0.3</w:t>
            </w:r>
            <w:r>
              <w:rPr>
                <w:rFonts w:hint="eastAsia" w:ascii="宋体" w:hAnsi="宋体"/>
                <w:bCs/>
                <w:szCs w:val="21"/>
              </w:rPr>
              <w:t>μ</w:t>
            </w:r>
            <w:r>
              <w:rPr>
                <w:rFonts w:ascii="宋体" w:hAnsi="宋体"/>
                <w:bCs/>
                <w:szCs w:val="21"/>
              </w:rPr>
              <w:t>m</w:t>
            </w:r>
            <w:r>
              <w:rPr>
                <w:rFonts w:hint="eastAsia" w:ascii="宋体" w:hAnsi="宋体"/>
                <w:bCs/>
                <w:szCs w:val="21"/>
              </w:rPr>
              <w:t>，有效阻隔空气中的粉尘颗粒等进入舱体</w:t>
            </w:r>
            <w:r>
              <w:rPr>
                <w:rFonts w:ascii="宋体" w:hAnsi="宋体"/>
                <w:bCs/>
                <w:szCs w:val="21"/>
              </w:rPr>
              <w:t>内。</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b/>
                <w:bCs/>
                <w:color w:val="000000"/>
                <w:kern w:val="0"/>
                <w:sz w:val="22"/>
                <w:szCs w:val="22"/>
              </w:rPr>
              <w:t>1.4</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控制系统</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bCs/>
                <w:szCs w:val="21"/>
              </w:rPr>
              <w:t>★</w:t>
            </w:r>
            <w:r>
              <w:rPr>
                <w:rFonts w:ascii="Arial" w:hAnsi="Arial" w:eastAsia="宋3f体3f" w:cs="Arial"/>
                <w:color w:val="000000"/>
                <w:kern w:val="0"/>
                <w:sz w:val="22"/>
                <w:szCs w:val="22"/>
              </w:rPr>
              <w:t>1.4.1</w:t>
            </w:r>
          </w:p>
        </w:tc>
        <w:tc>
          <w:tcPr>
            <w:tcW w:w="6348" w:type="dxa"/>
            <w:noWrap w:val="0"/>
            <w:vAlign w:val="center"/>
          </w:tcPr>
          <w:p>
            <w:pPr>
              <w:autoSpaceDE w:val="0"/>
              <w:autoSpaceDN w:val="0"/>
              <w:adjustRightInd w:val="0"/>
              <w:jc w:val="left"/>
              <w:rPr>
                <w:rFonts w:ascii="宋体" w:hAnsi="宋体"/>
                <w:bCs/>
                <w:szCs w:val="21"/>
              </w:rPr>
            </w:pPr>
            <w:r>
              <w:rPr>
                <w:rFonts w:hint="eastAsia" w:ascii="宋体" w:hAnsi="宋体"/>
                <w:bCs/>
                <w:szCs w:val="21"/>
              </w:rPr>
              <w:t>控制器要求：采用</w:t>
            </w:r>
            <w:r>
              <w:rPr>
                <w:rFonts w:ascii="宋体" w:hAnsi="宋体"/>
                <w:bCs/>
                <w:szCs w:val="21"/>
              </w:rPr>
              <w:t>PLC</w:t>
            </w:r>
            <w:r>
              <w:rPr>
                <w:rFonts w:hint="eastAsia" w:ascii="宋体" w:hAnsi="宋体"/>
                <w:bCs/>
                <w:szCs w:val="21"/>
              </w:rPr>
              <w:t>控制器，具有一个以太网接口和一个</w:t>
            </w:r>
            <w:r>
              <w:rPr>
                <w:rFonts w:ascii="宋体" w:hAnsi="宋体"/>
                <w:bCs/>
                <w:szCs w:val="21"/>
              </w:rPr>
              <w:t>RS485/RS422</w:t>
            </w:r>
            <w:r>
              <w:rPr>
                <w:rFonts w:hint="eastAsia" w:ascii="宋体" w:hAnsi="宋体"/>
                <w:bCs/>
                <w:szCs w:val="21"/>
              </w:rPr>
              <w:t>接口</w:t>
            </w:r>
          </w:p>
          <w:p>
            <w:pPr>
              <w:autoSpaceDE w:val="0"/>
              <w:autoSpaceDN w:val="0"/>
              <w:adjustRightInd w:val="0"/>
              <w:jc w:val="left"/>
              <w:rPr>
                <w:rFonts w:ascii="宋体" w:hAnsi="宋体"/>
                <w:bCs/>
                <w:szCs w:val="21"/>
              </w:rPr>
            </w:pPr>
            <w:r>
              <w:rPr>
                <w:rFonts w:hint="eastAsia" w:ascii="宋体" w:hAnsi="宋体"/>
                <w:bCs/>
                <w:szCs w:val="21"/>
              </w:rPr>
              <w:t>采用</w:t>
            </w:r>
            <w:r>
              <w:rPr>
                <w:rFonts w:ascii="宋体" w:hAnsi="宋体"/>
                <w:bCs/>
                <w:szCs w:val="21"/>
              </w:rPr>
              <w:t>7</w:t>
            </w:r>
            <w:r>
              <w:rPr>
                <w:rFonts w:hint="eastAsia" w:ascii="宋体" w:hAnsi="宋体"/>
                <w:bCs/>
                <w:szCs w:val="21"/>
              </w:rPr>
              <w:t>寸高清彩色触摸屏作为人机操作界面，可显示温度、压力、运行时间、报警信息等参</w:t>
            </w:r>
            <w:r>
              <w:rPr>
                <w:rFonts w:ascii="宋体" w:hAnsi="宋体"/>
                <w:bCs/>
                <w:szCs w:val="21"/>
              </w:rPr>
              <w:t>数，触摸式操作，操作方便、简单；</w:t>
            </w:r>
          </w:p>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触摸屏自带</w:t>
            </w:r>
            <w:r>
              <w:rPr>
                <w:rFonts w:ascii="宋体" w:hAnsi="宋体"/>
                <w:bCs/>
                <w:szCs w:val="21"/>
              </w:rPr>
              <w:t>USB</w:t>
            </w:r>
            <w:r>
              <w:rPr>
                <w:rFonts w:hint="eastAsia" w:ascii="宋体" w:hAnsi="宋体"/>
                <w:bCs/>
                <w:szCs w:val="21"/>
              </w:rPr>
              <w:t>接口，可接入最大</w:t>
            </w:r>
            <w:r>
              <w:rPr>
                <w:rFonts w:ascii="宋体" w:hAnsi="宋体"/>
                <w:bCs/>
                <w:szCs w:val="21"/>
              </w:rPr>
              <w:t>4G</w:t>
            </w:r>
            <w:r>
              <w:rPr>
                <w:rFonts w:hint="eastAsia" w:ascii="宋体" w:hAnsi="宋体"/>
                <w:bCs/>
                <w:szCs w:val="21"/>
              </w:rPr>
              <w:t>储存</w:t>
            </w:r>
            <w:r>
              <w:rPr>
                <w:rFonts w:ascii="宋体" w:hAnsi="宋体"/>
                <w:bCs/>
                <w:szCs w:val="21"/>
              </w:rPr>
              <w:t>U</w:t>
            </w:r>
            <w:r>
              <w:rPr>
                <w:rFonts w:hint="eastAsia" w:ascii="宋体" w:hAnsi="宋体"/>
                <w:bCs/>
                <w:szCs w:val="21"/>
              </w:rPr>
              <w:t>盘，可记录运行数据和报警信息。</w:t>
            </w:r>
            <w:r>
              <w:rPr>
                <w:rFonts w:ascii="宋体" w:hAnsi="宋体"/>
                <w:bCs/>
                <w:szCs w:val="21"/>
              </w:rPr>
              <w:t xml:space="preserve"> </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1.4.2</w:t>
            </w:r>
          </w:p>
        </w:tc>
        <w:tc>
          <w:tcPr>
            <w:tcW w:w="6348" w:type="dxa"/>
            <w:noWrap w:val="0"/>
            <w:vAlign w:val="center"/>
          </w:tcPr>
          <w:p>
            <w:pPr>
              <w:autoSpaceDE w:val="0"/>
              <w:autoSpaceDN w:val="0"/>
              <w:adjustRightInd w:val="0"/>
              <w:jc w:val="left"/>
              <w:rPr>
                <w:rFonts w:ascii="宋体" w:hAnsi="宋体"/>
                <w:bCs/>
                <w:szCs w:val="21"/>
              </w:rPr>
            </w:pPr>
            <w:r>
              <w:rPr>
                <w:rFonts w:hint="eastAsia" w:ascii="宋体" w:hAnsi="宋体"/>
                <w:bCs/>
                <w:szCs w:val="21"/>
              </w:rPr>
              <w:t>程序系统：内置</w:t>
            </w:r>
            <w:r>
              <w:rPr>
                <w:rFonts w:ascii="宋体" w:hAnsi="宋体"/>
                <w:bCs/>
                <w:szCs w:val="21"/>
              </w:rPr>
              <w:t>12</w:t>
            </w:r>
            <w:r>
              <w:rPr>
                <w:rFonts w:hint="eastAsia" w:ascii="宋体" w:hAnsi="宋体"/>
                <w:bCs/>
                <w:szCs w:val="21"/>
              </w:rPr>
              <w:t>套程序，其中</w:t>
            </w:r>
            <w:r>
              <w:rPr>
                <w:rFonts w:ascii="宋体" w:hAnsi="宋体"/>
                <w:bCs/>
                <w:szCs w:val="21"/>
              </w:rPr>
              <w:t>8</w:t>
            </w:r>
            <w:r>
              <w:rPr>
                <w:rFonts w:hint="eastAsia" w:ascii="宋体" w:hAnsi="宋体"/>
                <w:bCs/>
                <w:szCs w:val="21"/>
              </w:rPr>
              <w:t>套默认程序和</w:t>
            </w:r>
            <w:r>
              <w:rPr>
                <w:rFonts w:ascii="宋体" w:hAnsi="宋体"/>
                <w:bCs/>
                <w:szCs w:val="21"/>
              </w:rPr>
              <w:t>4</w:t>
            </w:r>
            <w:r>
              <w:rPr>
                <w:rFonts w:hint="eastAsia" w:ascii="宋体" w:hAnsi="宋体"/>
                <w:bCs/>
                <w:szCs w:val="21"/>
              </w:rPr>
              <w:t>套自定义程序，用户可根据需求自行调节参数；</w:t>
            </w:r>
          </w:p>
          <w:p>
            <w:pPr>
              <w:autoSpaceDE w:val="0"/>
              <w:autoSpaceDN w:val="0"/>
              <w:adjustRightInd w:val="0"/>
              <w:jc w:val="left"/>
              <w:rPr>
                <w:rFonts w:ascii="宋体" w:hAnsi="宋体"/>
                <w:bCs/>
                <w:szCs w:val="21"/>
              </w:rPr>
            </w:pPr>
            <w:r>
              <w:rPr>
                <w:rFonts w:hint="eastAsia" w:ascii="宋体" w:hAnsi="宋体"/>
                <w:bCs/>
                <w:szCs w:val="21"/>
              </w:rPr>
              <w:t>温度可调范围：室温～</w:t>
            </w:r>
            <w:r>
              <w:rPr>
                <w:rFonts w:ascii="宋体" w:hAnsi="宋体"/>
                <w:bCs/>
                <w:szCs w:val="21"/>
              </w:rPr>
              <w:t>65</w:t>
            </w:r>
            <w:r>
              <w:rPr>
                <w:rFonts w:hint="eastAsia" w:ascii="宋体" w:hAnsi="宋体"/>
                <w:bCs/>
                <w:szCs w:val="21"/>
              </w:rPr>
              <w:t>℃；</w:t>
            </w:r>
          </w:p>
          <w:p>
            <w:pPr>
              <w:autoSpaceDE w:val="0"/>
              <w:autoSpaceDN w:val="0"/>
              <w:adjustRightInd w:val="0"/>
              <w:jc w:val="left"/>
              <w:rPr>
                <w:rFonts w:ascii="宋体" w:hAnsi="宋体"/>
                <w:bCs/>
                <w:szCs w:val="21"/>
              </w:rPr>
            </w:pPr>
            <w:r>
              <w:rPr>
                <w:rFonts w:hint="eastAsia" w:ascii="宋体" w:hAnsi="宋体"/>
                <w:bCs/>
                <w:szCs w:val="21"/>
              </w:rPr>
              <w:t>控制压力：</w:t>
            </w:r>
            <w:r>
              <w:rPr>
                <w:rFonts w:ascii="宋体" w:hAnsi="宋体"/>
                <w:bCs/>
                <w:szCs w:val="21"/>
              </w:rPr>
              <w:t>0~101kPa</w:t>
            </w:r>
            <w:r>
              <w:rPr>
                <w:rFonts w:hint="eastAsia" w:ascii="宋体" w:hAnsi="宋体"/>
                <w:bCs/>
                <w:szCs w:val="21"/>
              </w:rPr>
              <w:t>；</w:t>
            </w:r>
          </w:p>
          <w:p>
            <w:pPr>
              <w:autoSpaceDE w:val="0"/>
              <w:autoSpaceDN w:val="0"/>
              <w:adjustRightInd w:val="0"/>
              <w:jc w:val="left"/>
              <w:rPr>
                <w:rFonts w:ascii="宋体" w:hAnsi="宋体"/>
                <w:bCs/>
                <w:szCs w:val="21"/>
              </w:rPr>
            </w:pPr>
            <w:r>
              <w:rPr>
                <w:rFonts w:hint="eastAsia" w:ascii="宋体" w:hAnsi="宋体"/>
                <w:bCs/>
                <w:szCs w:val="21"/>
              </w:rPr>
              <w:t>操作权限：三级权限，防止误操作；</w:t>
            </w:r>
          </w:p>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智能模式：设备利用高精度传感器技术，智能判断腔内物品的干燥情况。物品干燥后，程</w:t>
            </w:r>
            <w:r>
              <w:rPr>
                <w:rFonts w:ascii="宋体" w:hAnsi="宋体"/>
                <w:bCs/>
                <w:szCs w:val="21"/>
              </w:rPr>
              <w:t>序自动结束，实现一键干燥。程序运行全过程无时间限制，可对物品进行长时间干燥，对物品无任何损伤。</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1.4.3</w:t>
            </w:r>
          </w:p>
        </w:tc>
        <w:tc>
          <w:tcPr>
            <w:tcW w:w="6348" w:type="dxa"/>
            <w:noWrap w:val="0"/>
            <w:vAlign w:val="center"/>
          </w:tcPr>
          <w:p>
            <w:pPr>
              <w:autoSpaceDE w:val="0"/>
              <w:autoSpaceDN w:val="0"/>
              <w:adjustRightInd w:val="0"/>
              <w:jc w:val="left"/>
              <w:rPr>
                <w:rFonts w:ascii="宋体" w:hAnsi="宋体"/>
                <w:bCs/>
                <w:szCs w:val="21"/>
              </w:rPr>
            </w:pPr>
            <w:r>
              <w:rPr>
                <w:rFonts w:hint="eastAsia" w:ascii="宋体" w:hAnsi="宋体"/>
                <w:bCs/>
                <w:szCs w:val="21"/>
              </w:rPr>
              <w:t>安全装置：设备带有防过载、短路保护装置，</w:t>
            </w:r>
            <w:r>
              <w:rPr>
                <w:rFonts w:ascii="宋体" w:hAnsi="宋体"/>
                <w:bCs/>
                <w:szCs w:val="21"/>
              </w:rPr>
              <w:t>PLC</w:t>
            </w:r>
            <w:r>
              <w:rPr>
                <w:rFonts w:hint="eastAsia" w:ascii="宋体" w:hAnsi="宋体"/>
                <w:bCs/>
                <w:szCs w:val="21"/>
              </w:rPr>
              <w:t>实时限温保护，超温保护，真空泵热过载保护，门电</w:t>
            </w:r>
            <w:r>
              <w:rPr>
                <w:rFonts w:ascii="宋体" w:hAnsi="宋体"/>
                <w:bCs/>
                <w:szCs w:val="21"/>
              </w:rPr>
              <w:t>机过载保护。</w:t>
            </w:r>
          </w:p>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紧急开门装置：设备发生故障，无法开门时，可长按紧急开门按钮</w:t>
            </w:r>
            <w:r>
              <w:rPr>
                <w:rFonts w:ascii="宋体" w:hAnsi="宋体"/>
                <w:bCs/>
                <w:szCs w:val="21"/>
              </w:rPr>
              <w:t xml:space="preserve"> </w:t>
            </w:r>
            <w:r>
              <w:rPr>
                <w:rFonts w:hint="eastAsia" w:ascii="宋体" w:hAnsi="宋体"/>
                <w:bCs/>
                <w:szCs w:val="21"/>
              </w:rPr>
              <w:t>，直到前门打开为止。</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b/>
                <w:bCs/>
                <w:color w:val="000000"/>
                <w:kern w:val="0"/>
                <w:sz w:val="22"/>
                <w:szCs w:val="22"/>
              </w:rPr>
              <w:t>1.5</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整体参数</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1.5.1</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外形尺寸：≤</w:t>
            </w:r>
            <w:r>
              <w:rPr>
                <w:rFonts w:ascii="宋体" w:hAnsi="宋体"/>
                <w:bCs/>
                <w:szCs w:val="21"/>
              </w:rPr>
              <w:t>530</w:t>
            </w:r>
            <w:r>
              <w:rPr>
                <w:rFonts w:hint="eastAsia" w:ascii="宋体" w:hAnsi="宋体"/>
                <w:bCs/>
                <w:szCs w:val="21"/>
              </w:rPr>
              <w:t>（宽）×</w:t>
            </w:r>
            <w:r>
              <w:rPr>
                <w:rFonts w:ascii="宋体" w:hAnsi="宋体"/>
                <w:bCs/>
                <w:szCs w:val="21"/>
              </w:rPr>
              <w:t>1435</w:t>
            </w:r>
            <w:r>
              <w:rPr>
                <w:rFonts w:hint="eastAsia" w:ascii="宋体" w:hAnsi="宋体"/>
                <w:bCs/>
                <w:szCs w:val="21"/>
              </w:rPr>
              <w:t>（高）×</w:t>
            </w:r>
            <w:r>
              <w:rPr>
                <w:rFonts w:ascii="宋体" w:hAnsi="宋体"/>
                <w:bCs/>
                <w:szCs w:val="21"/>
              </w:rPr>
              <w:t>880</w:t>
            </w:r>
            <w:r>
              <w:rPr>
                <w:rFonts w:hint="eastAsia" w:ascii="宋体" w:hAnsi="宋体"/>
                <w:bCs/>
                <w:szCs w:val="21"/>
              </w:rPr>
              <w:t>（深）</w:t>
            </w:r>
            <w:r>
              <w:rPr>
                <w:rFonts w:ascii="宋体" w:hAnsi="宋体"/>
                <w:bCs/>
                <w:szCs w:val="21"/>
              </w:rPr>
              <w:t>mm</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1.5.2</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舱体尺寸：</w:t>
            </w:r>
            <w:r>
              <w:rPr>
                <w:rFonts w:hint="eastAsia" w:ascii="宋体" w:hAnsi="宋体"/>
                <w:bCs/>
                <w:szCs w:val="21"/>
                <w:lang w:val="en-US" w:eastAsia="zh-CN"/>
              </w:rPr>
              <w:t>≥</w:t>
            </w:r>
            <w:r>
              <w:rPr>
                <w:rFonts w:ascii="宋体" w:hAnsi="宋体"/>
                <w:bCs/>
                <w:szCs w:val="21"/>
              </w:rPr>
              <w:t>320</w:t>
            </w:r>
            <w:r>
              <w:rPr>
                <w:rFonts w:hint="eastAsia" w:ascii="宋体" w:hAnsi="宋体"/>
                <w:bCs/>
                <w:szCs w:val="21"/>
              </w:rPr>
              <w:t>（宽）×</w:t>
            </w:r>
            <w:r>
              <w:rPr>
                <w:rFonts w:ascii="宋体" w:hAnsi="宋体"/>
                <w:bCs/>
                <w:szCs w:val="21"/>
              </w:rPr>
              <w:t>220</w:t>
            </w:r>
            <w:r>
              <w:rPr>
                <w:rFonts w:hint="eastAsia" w:ascii="宋体" w:hAnsi="宋体"/>
                <w:bCs/>
                <w:szCs w:val="21"/>
              </w:rPr>
              <w:t>（高）×</w:t>
            </w:r>
            <w:r>
              <w:rPr>
                <w:rFonts w:ascii="宋体" w:hAnsi="宋体"/>
                <w:bCs/>
                <w:szCs w:val="21"/>
              </w:rPr>
              <w:t>700</w:t>
            </w:r>
            <w:r>
              <w:rPr>
                <w:rFonts w:hint="eastAsia" w:ascii="宋体" w:hAnsi="宋体"/>
                <w:bCs/>
                <w:szCs w:val="21"/>
              </w:rPr>
              <w:t>（深）</w:t>
            </w:r>
            <w:r>
              <w:rPr>
                <w:rFonts w:ascii="宋体" w:hAnsi="宋体"/>
                <w:bCs/>
                <w:szCs w:val="21"/>
              </w:rPr>
              <w:t>mm</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1.5.3</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容积：</w:t>
            </w:r>
            <w:r>
              <w:rPr>
                <w:rFonts w:hint="eastAsia" w:ascii="宋体" w:hAnsi="宋体"/>
                <w:bCs/>
                <w:szCs w:val="21"/>
                <w:lang w:val="en-US" w:eastAsia="zh-CN"/>
              </w:rPr>
              <w:t>≥5</w:t>
            </w:r>
            <w:r>
              <w:rPr>
                <w:rFonts w:ascii="宋体" w:hAnsi="宋体"/>
                <w:bCs/>
                <w:szCs w:val="21"/>
              </w:rPr>
              <w:t>0L</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1.5.4</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电源要求：</w:t>
            </w:r>
            <w:r>
              <w:rPr>
                <w:rFonts w:ascii="宋体" w:hAnsi="宋体"/>
                <w:bCs/>
                <w:szCs w:val="21"/>
              </w:rPr>
              <w:t>AC220V</w:t>
            </w:r>
            <w:r>
              <w:rPr>
                <w:rFonts w:hint="eastAsia" w:ascii="宋体" w:hAnsi="宋体"/>
                <w:bCs/>
                <w:szCs w:val="21"/>
              </w:rPr>
              <w:t>，</w:t>
            </w:r>
            <w:r>
              <w:rPr>
                <w:rFonts w:ascii="宋体" w:hAnsi="宋体"/>
                <w:bCs/>
                <w:szCs w:val="21"/>
              </w:rPr>
              <w:t xml:space="preserve">50Hz </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default"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1.5.5</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功率要求：</w:t>
            </w:r>
            <w:r>
              <w:rPr>
                <w:rFonts w:ascii="宋体" w:hAnsi="宋体"/>
                <w:bCs/>
                <w:szCs w:val="21"/>
              </w:rPr>
              <w:t>2kVA</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autoSpaceDE w:val="0"/>
              <w:autoSpaceDN w:val="0"/>
              <w:adjustRightInd w:val="0"/>
              <w:jc w:val="left"/>
              <w:rPr>
                <w:rFonts w:hint="default" w:ascii="宋体" w:hAnsi="宋体" w:eastAsia="宋体" w:cs="宋体"/>
                <w:i w:val="0"/>
                <w:iCs w:val="0"/>
                <w:color w:val="000000"/>
                <w:kern w:val="0"/>
                <w:sz w:val="21"/>
                <w:szCs w:val="21"/>
                <w:u w:val="none"/>
                <w:lang w:val="en-US" w:eastAsia="zh-CN" w:bidi="ar"/>
              </w:rPr>
            </w:pPr>
            <w:r>
              <w:rPr>
                <w:rFonts w:ascii="Arial" w:hAnsi="Arial" w:eastAsia="宋3f体3f" w:cs="Arial"/>
                <w:color w:val="000000"/>
                <w:kern w:val="0"/>
                <w:sz w:val="22"/>
                <w:szCs w:val="22"/>
              </w:rPr>
              <w:t>1.5.6</w:t>
            </w:r>
          </w:p>
        </w:tc>
        <w:tc>
          <w:tcPr>
            <w:tcW w:w="6348" w:type="dxa"/>
            <w:noWrap w:val="0"/>
            <w:vAlign w:val="center"/>
          </w:tcPr>
          <w:p>
            <w:pPr>
              <w:autoSpaceDE w:val="0"/>
              <w:autoSpaceDN w:val="0"/>
              <w:adjustRightInd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bCs/>
                <w:szCs w:val="21"/>
              </w:rPr>
              <w:t>可适应性要求：工作环境温度：</w:t>
            </w:r>
            <w:r>
              <w:rPr>
                <w:rFonts w:ascii="宋体" w:hAnsi="宋体"/>
                <w:bCs/>
                <w:szCs w:val="21"/>
              </w:rPr>
              <w:t>5</w:t>
            </w:r>
            <w:r>
              <w:rPr>
                <w:rFonts w:hint="eastAsia" w:ascii="宋体" w:hAnsi="宋体"/>
                <w:bCs/>
                <w:szCs w:val="21"/>
              </w:rPr>
              <w:t>℃～</w:t>
            </w:r>
            <w:r>
              <w:rPr>
                <w:rFonts w:ascii="宋体" w:hAnsi="宋体"/>
                <w:bCs/>
                <w:szCs w:val="21"/>
              </w:rPr>
              <w:t>40</w:t>
            </w:r>
            <w:r>
              <w:rPr>
                <w:rFonts w:hint="eastAsia" w:ascii="宋体" w:hAnsi="宋体"/>
                <w:bCs/>
                <w:szCs w:val="21"/>
              </w:rPr>
              <w:t>℃</w:t>
            </w:r>
            <w:r>
              <w:rPr>
                <w:rFonts w:ascii="宋体" w:hAnsi="宋体"/>
                <w:bCs/>
                <w:szCs w:val="21"/>
              </w:rPr>
              <w:t xml:space="preserve">   </w:t>
            </w:r>
            <w:r>
              <w:rPr>
                <w:rFonts w:hint="eastAsia" w:ascii="宋体" w:hAnsi="宋体"/>
                <w:bCs/>
                <w:szCs w:val="21"/>
              </w:rPr>
              <w:t>相对湿度：≤</w:t>
            </w:r>
            <w:r>
              <w:rPr>
                <w:rFonts w:ascii="宋体" w:hAnsi="宋体"/>
                <w:bCs/>
                <w:szCs w:val="21"/>
              </w:rPr>
              <w:t>85%</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both"/>
              <w:rPr>
                <w:rFonts w:hint="eastAsia" w:ascii="宋体" w:hAnsi="宋体" w:eastAsia="宋体" w:cs="宋体"/>
                <w:b/>
                <w:bCs w:val="0"/>
                <w:kern w:val="0"/>
                <w:sz w:val="22"/>
                <w:szCs w:val="21"/>
                <w:lang w:val="zh-CN" w:eastAsia="zh-CN" w:bidi="zh-CN"/>
              </w:rPr>
            </w:pPr>
            <w:r>
              <w:rPr>
                <w:rFonts w:hint="eastAsia"/>
                <w:b/>
                <w:bCs w:val="0"/>
                <w:szCs w:val="21"/>
                <w:lang w:val="en-US" w:eastAsia="zh-CN"/>
              </w:rPr>
              <w:t>二</w:t>
            </w:r>
          </w:p>
        </w:tc>
        <w:tc>
          <w:tcPr>
            <w:tcW w:w="6348" w:type="dxa"/>
            <w:noWrap w:val="0"/>
            <w:vAlign w:val="center"/>
          </w:tcPr>
          <w:p>
            <w:pPr>
              <w:widowControl/>
              <w:jc w:val="both"/>
              <w:rPr>
                <w:rFonts w:hint="eastAsia" w:ascii="宋体" w:hAnsi="宋体" w:eastAsiaTheme="minorEastAsia" w:cstheme="minorBidi"/>
                <w:b/>
                <w:bCs w:val="0"/>
                <w:kern w:val="2"/>
                <w:sz w:val="21"/>
                <w:szCs w:val="21"/>
                <w:lang w:val="en-US" w:eastAsia="zh-CN" w:bidi="ar-SA"/>
              </w:rPr>
            </w:pPr>
            <w:r>
              <w:rPr>
                <w:rFonts w:hint="eastAsia" w:ascii="宋体" w:hAnsi="宋体"/>
                <w:b/>
                <w:bCs w:val="0"/>
                <w:szCs w:val="21"/>
              </w:rPr>
              <w:t>封口机技术参数要求</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技术参数</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r>
              <w:rPr>
                <w:rFonts w:ascii="宋体" w:hAnsi="宋体"/>
                <w:bCs/>
                <w:szCs w:val="21"/>
              </w:rPr>
              <w:t>.1</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封口速度：10</w:t>
            </w:r>
            <w:r>
              <w:rPr>
                <w:rFonts w:ascii="宋体" w:hAnsi="宋体"/>
                <w:bCs/>
                <w:szCs w:val="21"/>
              </w:rPr>
              <w:t>±</w:t>
            </w:r>
            <w:r>
              <w:rPr>
                <w:rFonts w:hint="eastAsia" w:ascii="宋体" w:hAnsi="宋体"/>
                <w:bCs/>
                <w:szCs w:val="21"/>
              </w:rPr>
              <w:t>0.5m/min</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r>
              <w:rPr>
                <w:rFonts w:ascii="宋体" w:hAnsi="宋体"/>
                <w:bCs/>
                <w:szCs w:val="21"/>
              </w:rPr>
              <w:t>.2</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 xml:space="preserve">电源：220V 50Hz  </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ascii="宋体" w:hAnsi="宋体"/>
                <w:bCs/>
                <w:szCs w:val="21"/>
              </w:rPr>
              <w:t>1</w:t>
            </w:r>
            <w:r>
              <w:rPr>
                <w:rFonts w:hint="eastAsia" w:ascii="宋体" w:hAnsi="宋体"/>
                <w:bCs/>
                <w:szCs w:val="21"/>
              </w:rPr>
              <w:t>.</w:t>
            </w:r>
            <w:r>
              <w:rPr>
                <w:rFonts w:ascii="宋体" w:hAnsi="宋体"/>
                <w:bCs/>
                <w:szCs w:val="21"/>
              </w:rPr>
              <w:t>3</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功率：500w</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r>
              <w:rPr>
                <w:rFonts w:ascii="宋体" w:hAnsi="宋体"/>
                <w:bCs/>
                <w:szCs w:val="21"/>
              </w:rPr>
              <w:t>.4</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封纹宽度：12mm</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r>
              <w:rPr>
                <w:rFonts w:ascii="宋体" w:hAnsi="宋体"/>
                <w:bCs/>
                <w:szCs w:val="21"/>
              </w:rPr>
              <w:t>.5</w:t>
            </w:r>
          </w:p>
        </w:tc>
        <w:tc>
          <w:tcPr>
            <w:tcW w:w="6348" w:type="dxa"/>
            <w:noWrap w:val="0"/>
            <w:vAlign w:val="center"/>
          </w:tcPr>
          <w:p>
            <w:pPr>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封口留边：0～35mm可调</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r>
              <w:rPr>
                <w:rFonts w:ascii="宋体" w:hAnsi="宋体"/>
                <w:bCs/>
                <w:szCs w:val="21"/>
              </w:rPr>
              <w:t>.5</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尺寸：560×260×220mm</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1</w:t>
            </w:r>
            <w:r>
              <w:rPr>
                <w:rFonts w:ascii="宋体" w:hAnsi="宋体"/>
                <w:bCs/>
                <w:szCs w:val="21"/>
              </w:rPr>
              <w:t>.7</w:t>
            </w:r>
          </w:p>
        </w:tc>
        <w:tc>
          <w:tcPr>
            <w:tcW w:w="6348" w:type="dxa"/>
            <w:noWrap w:val="0"/>
            <w:vAlign w:val="center"/>
          </w:tcPr>
          <w:p>
            <w:pPr>
              <w:widowControl/>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外壳：碳钢</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eastAsia" w:ascii="宋体" w:hAnsi="宋体" w:eastAsia="宋体" w:cs="宋体"/>
                <w:bCs/>
                <w:kern w:val="0"/>
                <w:sz w:val="22"/>
                <w:szCs w:val="21"/>
                <w:lang w:val="zh-CN" w:eastAsia="zh-CN" w:bidi="zh-CN"/>
              </w:rPr>
            </w:pPr>
            <w:r>
              <w:rPr>
                <w:rFonts w:hint="eastAsia" w:ascii="宋体" w:hAnsi="宋体"/>
                <w:bCs/>
                <w:szCs w:val="21"/>
              </w:rPr>
              <w:t>2</w:t>
            </w:r>
          </w:p>
        </w:tc>
        <w:tc>
          <w:tcPr>
            <w:tcW w:w="6348" w:type="dxa"/>
            <w:noWrap w:val="0"/>
            <w:vAlign w:val="center"/>
          </w:tcPr>
          <w:p>
            <w:pPr>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主要特征</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default" w:ascii="宋体" w:hAnsi="宋体" w:eastAsia="宋体" w:cs="宋体"/>
                <w:bCs/>
                <w:kern w:val="0"/>
                <w:sz w:val="22"/>
                <w:szCs w:val="21"/>
                <w:lang w:val="en-US" w:eastAsia="zh-CN" w:bidi="zh-CN"/>
              </w:rPr>
            </w:pPr>
            <w:r>
              <w:rPr>
                <w:rFonts w:hint="eastAsia" w:ascii="宋体" w:hAnsi="宋体" w:cs="宋体"/>
                <w:bCs/>
                <w:kern w:val="0"/>
                <w:sz w:val="22"/>
                <w:szCs w:val="21"/>
                <w:lang w:val="en-US" w:eastAsia="zh-CN" w:bidi="zh-CN"/>
              </w:rPr>
              <w:t>2.1</w:t>
            </w:r>
          </w:p>
        </w:tc>
        <w:tc>
          <w:tcPr>
            <w:tcW w:w="6348" w:type="dxa"/>
            <w:noWrap w:val="0"/>
            <w:vAlign w:val="center"/>
          </w:tcPr>
          <w:p>
            <w:pPr>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带自动进袋功能、左侧进袋、升温快、控温精度高±1%</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default" w:ascii="宋体" w:hAnsi="宋体" w:eastAsia="宋体" w:cs="宋体"/>
                <w:bCs/>
                <w:kern w:val="0"/>
                <w:sz w:val="22"/>
                <w:szCs w:val="21"/>
                <w:lang w:val="en-US" w:eastAsia="zh-CN" w:bidi="zh-CN"/>
              </w:rPr>
            </w:pPr>
            <w:r>
              <w:rPr>
                <w:rFonts w:hint="eastAsia" w:ascii="宋体" w:hAnsi="宋体" w:cs="宋体"/>
                <w:bCs/>
                <w:kern w:val="0"/>
                <w:sz w:val="22"/>
                <w:szCs w:val="21"/>
                <w:lang w:val="en-US" w:eastAsia="zh-CN" w:bidi="zh-CN"/>
              </w:rPr>
              <w:t>2.2</w:t>
            </w:r>
          </w:p>
        </w:tc>
        <w:tc>
          <w:tcPr>
            <w:tcW w:w="6348" w:type="dxa"/>
            <w:noWrap w:val="0"/>
            <w:vAlign w:val="center"/>
          </w:tcPr>
          <w:p>
            <w:pPr>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带压力监控功能、内置储存芯片可实现</w:t>
            </w:r>
            <w:r>
              <w:rPr>
                <w:rFonts w:hint="eastAsia" w:ascii="宋体" w:hAnsi="宋体"/>
                <w:bCs/>
                <w:szCs w:val="21"/>
                <w:lang w:val="en-US" w:eastAsia="zh-CN"/>
              </w:rPr>
              <w:t>1000万</w:t>
            </w:r>
            <w:r>
              <w:rPr>
                <w:rFonts w:hint="eastAsia" w:ascii="宋体" w:hAnsi="宋体"/>
                <w:bCs/>
                <w:szCs w:val="21"/>
              </w:rPr>
              <w:t>条打印信息储存</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pStyle w:val="19"/>
              <w:ind w:left="521" w:leftChars="0" w:firstLine="0" w:firstLineChars="0"/>
              <w:jc w:val="left"/>
              <w:rPr>
                <w:rFonts w:hint="default" w:ascii="宋体" w:hAnsi="宋体" w:eastAsia="宋体" w:cs="宋体"/>
                <w:bCs/>
                <w:kern w:val="0"/>
                <w:sz w:val="22"/>
                <w:szCs w:val="21"/>
                <w:lang w:val="en-US" w:eastAsia="zh-CN" w:bidi="zh-CN"/>
              </w:rPr>
            </w:pPr>
            <w:r>
              <w:rPr>
                <w:rFonts w:hint="eastAsia" w:ascii="宋体" w:hAnsi="宋体" w:cs="宋体"/>
                <w:bCs/>
                <w:kern w:val="0"/>
                <w:sz w:val="22"/>
                <w:szCs w:val="21"/>
                <w:lang w:val="en-US" w:eastAsia="zh-CN" w:bidi="zh-CN"/>
              </w:rPr>
              <w:t>2.3</w:t>
            </w:r>
          </w:p>
        </w:tc>
        <w:tc>
          <w:tcPr>
            <w:tcW w:w="6348" w:type="dxa"/>
            <w:noWrap w:val="0"/>
            <w:vAlign w:val="center"/>
          </w:tcPr>
          <w:p>
            <w:pPr>
              <w:jc w:val="left"/>
              <w:rPr>
                <w:rFonts w:hint="eastAsia" w:ascii="宋体" w:hAnsi="宋体" w:eastAsiaTheme="minorEastAsia" w:cstheme="minorBidi"/>
                <w:bCs/>
                <w:kern w:val="2"/>
                <w:sz w:val="21"/>
                <w:szCs w:val="21"/>
                <w:lang w:val="en-US" w:eastAsia="zh-CN" w:bidi="ar-SA"/>
              </w:rPr>
            </w:pPr>
            <w:r>
              <w:rPr>
                <w:rFonts w:hint="eastAsia" w:ascii="宋体" w:hAnsi="宋体"/>
                <w:bCs/>
                <w:szCs w:val="21"/>
              </w:rPr>
              <w:t>具有反向打印功能、适用纸塑袋和特卫强袋连续封口和单行中英文打印</w:t>
            </w:r>
          </w:p>
        </w:tc>
        <w:tc>
          <w:tcPr>
            <w:tcW w:w="1492" w:type="dxa"/>
            <w:tcBorders>
              <w:right w:val="single" w:color="auto" w:sz="12" w:space="0"/>
            </w:tcBorders>
            <w:noWrap w:val="0"/>
            <w:vAlign w:val="center"/>
          </w:tcPr>
          <w:p>
            <w:pPr>
              <w:widowControl/>
              <w:spacing w:line="360" w:lineRule="exact"/>
              <w:ind w:left="840" w:leftChars="0" w:hanging="840" w:hangingChars="4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三</w:t>
            </w:r>
          </w:p>
        </w:tc>
        <w:tc>
          <w:tcPr>
            <w:tcW w:w="6348" w:type="dxa"/>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安装验收</w:t>
            </w:r>
          </w:p>
        </w:tc>
        <w:tc>
          <w:tcPr>
            <w:tcW w:w="1492" w:type="dxa"/>
            <w:tcBorders>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安装地点：医院指定科室；</w:t>
            </w:r>
          </w:p>
        </w:tc>
        <w:tc>
          <w:tcPr>
            <w:tcW w:w="1492" w:type="dxa"/>
            <w:tcBorders>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安装完成时间：合同签订后1个月内交货，接买方通知后3天内完成安装；</w:t>
            </w:r>
          </w:p>
        </w:tc>
        <w:tc>
          <w:tcPr>
            <w:tcW w:w="1492" w:type="dxa"/>
            <w:tcBorders>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6348"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安装标准：符合我国国家有关技术规范和技术标准；</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验收标准：符合我国国家有关技术规范和技术标准。</w:t>
            </w:r>
          </w:p>
        </w:tc>
        <w:tc>
          <w:tcPr>
            <w:tcW w:w="1492" w:type="dxa"/>
            <w:tcBorders>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安装、验收合格前所产生的一切费用（包括卸货、搬运、必要时的安全性能检测费等）由供方负责提供。</w:t>
            </w:r>
          </w:p>
        </w:tc>
        <w:tc>
          <w:tcPr>
            <w:tcW w:w="1492" w:type="dxa"/>
            <w:tcBorders>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四</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其他要求</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4.1</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属于医疗器械管理范围的产品必须提供医疗器械注册证及注册登记表</w:t>
            </w:r>
            <w:bookmarkStart w:id="0" w:name="_GoBack"/>
            <w:bookmarkEnd w:id="0"/>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4.2</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厂家承诺提供设备免费保修期（含消耗品、易损品、维修配件、人工服务等）≥</w:t>
            </w:r>
            <w:r>
              <w:rPr>
                <w:rFonts w:hint="eastAsia" w:ascii="宋体" w:hAnsi="宋体" w:eastAsia="宋体" w:cs="宋体"/>
                <w:i w:val="0"/>
                <w:iCs w:val="0"/>
                <w:color w:val="FF0000"/>
                <w:kern w:val="0"/>
                <w:sz w:val="21"/>
                <w:szCs w:val="21"/>
                <w:u w:val="none"/>
                <w:lang w:val="en-US" w:eastAsia="zh-CN" w:bidi="ar"/>
              </w:rPr>
              <w:t>2年</w:t>
            </w:r>
            <w:r>
              <w:rPr>
                <w:rFonts w:hint="eastAsia" w:ascii="宋体" w:hAnsi="宋体" w:eastAsia="宋体" w:cs="宋体"/>
                <w:i w:val="0"/>
                <w:iCs w:val="0"/>
                <w:color w:val="000000"/>
                <w:kern w:val="0"/>
                <w:sz w:val="21"/>
                <w:szCs w:val="21"/>
                <w:u w:val="none"/>
                <w:lang w:val="en-US" w:eastAsia="zh-CN" w:bidi="ar"/>
              </w:rPr>
              <w:t>。提供过保后年保价格，</w:t>
            </w:r>
          </w:p>
        </w:tc>
        <w:tc>
          <w:tcPr>
            <w:tcW w:w="1492" w:type="dxa"/>
            <w:tcBorders>
              <w:bottom w:val="single" w:color="auto" w:sz="4" w:space="0"/>
              <w:right w:val="single" w:color="auto" w:sz="12"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4.3</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操作手册、维修手册：提供操作手册、维修手册各一套</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4.4</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培训：提供临床应用操作培训,并提供临床资料(培训ppt、考核试题)</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4.5</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软件终身免费升级</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4.6</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付款方式:验收合格后90工作日内付款，投标商开具单张发票限额必须大于投标单台设备价格</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4.7</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投标商提供的设备必须在距投标当日10个月内生产</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sz w:val="21"/>
                <w:szCs w:val="21"/>
              </w:rPr>
            </w:pPr>
          </w:p>
        </w:tc>
      </w:tr>
    </w:tbl>
    <w:p>
      <w:pPr>
        <w:snapToGrid w:val="0"/>
        <w:spacing w:line="360" w:lineRule="auto"/>
        <w:jc w:val="left"/>
        <w:rPr>
          <w:rFonts w:hint="eastAsia" w:asciiTheme="minorEastAsia" w:hAnsiTheme="minorEastAsia" w:eastAsiaTheme="minorEastAsia" w:cstheme="minorEastAsia"/>
          <w:sz w:val="24"/>
          <w:szCs w:val="24"/>
          <w:lang w:eastAsia="zh-CN"/>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9"/>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tbl>
      <w:tblPr>
        <w:tblStyle w:val="11"/>
        <w:tblW w:w="93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3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评定项目</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4945" w:type="dxa"/>
            <w:noWrap w:val="0"/>
            <w:vAlign w:val="center"/>
          </w:tcPr>
          <w:p>
            <w:pPr>
              <w:ind w:left="105" w:leftChars="50" w:right="10" w:rightChars="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对应于招标文件设备技术规格及配置的偏离度</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与招标文件</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货物技术规格及配置、商务要求对比，一项指标负偏离扣1分，标注★的指标</w:t>
            </w:r>
            <w:r>
              <w:rPr>
                <w:rFonts w:hint="eastAsia" w:asciiTheme="minorEastAsia" w:hAnsiTheme="minorEastAsia" w:eastAsiaTheme="minorEastAsia" w:cstheme="minorEastAsia"/>
                <w:color w:val="auto"/>
                <w:sz w:val="21"/>
                <w:szCs w:val="21"/>
                <w:highlight w:val="none"/>
                <w:lang w:eastAsia="zh-CN"/>
              </w:rPr>
              <w:t>负</w:t>
            </w:r>
            <w:r>
              <w:rPr>
                <w:rFonts w:hint="eastAsia" w:asciiTheme="minorEastAsia" w:hAnsiTheme="minorEastAsia" w:eastAsiaTheme="minorEastAsia" w:cstheme="minorEastAsia"/>
                <w:color w:val="auto"/>
                <w:sz w:val="21"/>
                <w:szCs w:val="21"/>
                <w:highlight w:val="none"/>
              </w:rPr>
              <w:t>偏离每项扣4分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扣完为止</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投标设备配套的合理性</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投标设备技术指标的先进性</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投标机型的档次</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运行成本</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保修服务</w:t>
            </w:r>
          </w:p>
        </w:tc>
        <w:tc>
          <w:tcPr>
            <w:tcW w:w="99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设备</w:t>
            </w:r>
            <w:r>
              <w:rPr>
                <w:rFonts w:hint="eastAsia" w:asciiTheme="minorEastAsia" w:hAnsiTheme="minorEastAsia" w:eastAsiaTheme="minorEastAsia" w:cstheme="minorEastAsia"/>
                <w:sz w:val="21"/>
                <w:szCs w:val="21"/>
              </w:rPr>
              <w:t>保修期超过招标文件要求的，每增加1年加1分</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投标产品总体质量性能</w:t>
            </w:r>
          </w:p>
        </w:tc>
        <w:tc>
          <w:tcPr>
            <w:tcW w:w="997"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市场占有率</w:t>
            </w:r>
          </w:p>
        </w:tc>
        <w:tc>
          <w:tcPr>
            <w:tcW w:w="997"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eastAsia="zh-CN"/>
              </w:rPr>
              <w:t>温州市或浙江省内</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年1月1日起至今与最终用户签订的投标机型合同复印件，每份有效合同得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分，最多</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639"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制造商或代理商的售后服务和维修能力</w:t>
            </w:r>
          </w:p>
        </w:tc>
        <w:tc>
          <w:tcPr>
            <w:tcW w:w="997"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制造商或代理商的售后服务和维修能力，服务响应速度、服务人员水平、备品备件配置等综合评价。</w:t>
            </w:r>
            <w:r>
              <w:rPr>
                <w:rFonts w:hint="eastAsia" w:asciiTheme="minorEastAsia" w:hAnsiTheme="minorEastAsia" w:eastAsiaTheme="minorEastAsia" w:cstheme="minorEastAsia"/>
                <w:sz w:val="21"/>
                <w:szCs w:val="21"/>
                <w:lang w:eastAsia="zh-CN"/>
              </w:rPr>
              <w:t>（厂家在温州市或者浙江省内有常驻维修服务点和维修工程师得</w:t>
            </w:r>
            <w:r>
              <w:rPr>
                <w:rFonts w:hint="eastAsia" w:asciiTheme="minorEastAsia" w:hAnsiTheme="minorEastAsia" w:eastAsiaTheme="minorEastAsia" w:cstheme="minorEastAsia"/>
                <w:sz w:val="21"/>
                <w:szCs w:val="21"/>
                <w:lang w:val="en-US" w:eastAsia="zh-CN"/>
              </w:rPr>
              <w:t>1分，代理商有维修服务人员得1分，承诺接用户报修后二十四小时内维修人员能到场维修的得1分</w:t>
            </w:r>
          </w:p>
        </w:tc>
      </w:tr>
    </w:tbl>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9"/>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22" w:firstLineChars="200"/>
        <w:jc w:val="left"/>
        <w:rPr>
          <w:sz w:val="21"/>
          <w:szCs w:val="21"/>
        </w:rPr>
      </w:pPr>
      <w:r>
        <w:rPr>
          <w:rFonts w:hint="eastAsia" w:asciiTheme="minorEastAsia" w:hAnsiTheme="minorEastAsia" w:eastAsiaTheme="minorEastAsia" w:cstheme="minorEastAsia"/>
          <w:b/>
          <w:bCs w:val="0"/>
          <w:sz w:val="21"/>
          <w:szCs w:val="21"/>
          <w:lang w:val="en-US" w:eastAsia="zh-CN"/>
        </w:rPr>
        <w:t>总分：</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1"/>
          <w:szCs w:val="21"/>
        </w:rPr>
      </w:pPr>
    </w:p>
    <w:p>
      <w:pPr>
        <w:widowControl w:val="0"/>
        <w:numPr>
          <w:ilvl w:val="0"/>
          <w:numId w:val="0"/>
        </w:numPr>
        <w:jc w:val="left"/>
        <w:rPr>
          <w:sz w:val="21"/>
          <w:szCs w:val="21"/>
        </w:rPr>
      </w:pPr>
    </w:p>
    <w:p>
      <w:pPr>
        <w:widowControl w:val="0"/>
        <w:numPr>
          <w:ilvl w:val="0"/>
          <w:numId w:val="0"/>
        </w:numPr>
        <w:jc w:val="left"/>
        <w:rPr>
          <w:sz w:val="21"/>
          <w:szCs w:val="21"/>
        </w:rPr>
      </w:pPr>
    </w:p>
    <w:p>
      <w:pPr>
        <w:widowControl w:val="0"/>
        <w:numPr>
          <w:ilvl w:val="0"/>
          <w:numId w:val="0"/>
        </w:numPr>
        <w:jc w:val="left"/>
        <w:rPr>
          <w:sz w:val="21"/>
          <w:szCs w:val="21"/>
        </w:rPr>
      </w:pPr>
    </w:p>
    <w:p>
      <w:pPr>
        <w:widowControl w:val="0"/>
        <w:numPr>
          <w:ilvl w:val="0"/>
          <w:numId w:val="0"/>
        </w:numPr>
        <w:jc w:val="left"/>
        <w:rPr>
          <w:sz w:val="21"/>
          <w:szCs w:val="21"/>
        </w:rPr>
      </w:pPr>
    </w:p>
    <w:p>
      <w:pPr>
        <w:pStyle w:val="9"/>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21"/>
          <w:szCs w:val="21"/>
          <w:lang w:val="en-US" w:eastAsia="zh-CN" w:bidi="ar-SA"/>
        </w:rPr>
      </w:pPr>
      <w:r>
        <w:rPr>
          <w:rStyle w:val="14"/>
          <w:rFonts w:hint="eastAsia" w:eastAsia="宋体" w:asciiTheme="minorEastAsia" w:hAnsiTheme="minorEastAsia" w:cstheme="minorEastAsia"/>
          <w:b/>
          <w:bCs/>
          <w:kern w:val="2"/>
          <w:sz w:val="21"/>
          <w:szCs w:val="21"/>
          <w:lang w:val="en-US" w:eastAsia="zh-CN" w:bidi="ar-SA"/>
        </w:rPr>
        <w:t>九、我院正式合同版本</w:t>
      </w:r>
    </w:p>
    <w:p>
      <w:pPr>
        <w:pStyle w:val="10"/>
        <w:rPr>
          <w:rFonts w:hint="eastAsia"/>
          <w:sz w:val="30"/>
          <w:szCs w:val="30"/>
        </w:rPr>
      </w:pPr>
    </w:p>
    <w:p>
      <w:pPr>
        <w:pStyle w:val="10"/>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2"/>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5"/>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8"/>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8"/>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8"/>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8"/>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8"/>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2"/>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2"/>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5"/>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2"/>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2"/>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2"/>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本合同范围的货物，应由乙方直接供应，不得转让他人供应，否则，甲方有权解除合同，没收质量保证金并追究乙方的违约责任。</w:t>
      </w:r>
    </w:p>
    <w:p>
      <w:pPr>
        <w:pStyle w:val="5"/>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六、质保期和质保金</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6"/>
          <w:sz w:val="22"/>
          <w:szCs w:val="22"/>
          <w:lang w:val="en-US" w:eastAsia="zh-CN"/>
          <w14:textFill>
            <w14:solidFill>
              <w14:schemeClr w14:val="tx1"/>
            </w14:solidFill>
          </w14:textFill>
        </w:rPr>
        <w:t>1、</w:t>
      </w: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19"/>
        <w:numPr>
          <w:ilvl w:val="0"/>
          <w:numId w:val="0"/>
        </w:numPr>
        <w:tabs>
          <w:tab w:val="left" w:pos="522"/>
          <w:tab w:val="left" w:pos="1347"/>
        </w:tabs>
        <w:spacing w:before="70"/>
        <w:ind w:left="351" w:leftChars="0"/>
        <w:rPr>
          <w:rFonts w:hint="eastAsia" w:ascii="Verdana" w:eastAsia="宋体"/>
          <w:strike/>
          <w:dstrike w:val="0"/>
          <w:color w:val="000000" w:themeColor="text1"/>
          <w:sz w:val="22"/>
          <w:szCs w:val="22"/>
          <w:highlight w:val="none"/>
          <w:lang w:val="en-US" w:eastAsia="zh-CN"/>
          <w14:textFill>
            <w14:solidFill>
              <w14:schemeClr w14:val="tx1"/>
            </w14:solidFill>
          </w14:textFill>
        </w:rPr>
      </w:pPr>
      <w:r>
        <w:rPr>
          <w:rFonts w:hint="eastAsia"/>
          <w:strike w:val="0"/>
          <w:dstrike w:val="0"/>
          <w:color w:val="000000" w:themeColor="text1"/>
          <w:sz w:val="22"/>
          <w:szCs w:val="22"/>
          <w:highlight w:val="none"/>
          <w:lang w:val="en-US" w:eastAsia="zh-CN"/>
          <w14:textFill>
            <w14:solidFill>
              <w14:schemeClr w14:val="tx1"/>
            </w14:solidFill>
          </w14:textFill>
        </w:rPr>
        <w:t>2、</w:t>
      </w:r>
      <w:r>
        <w:rPr>
          <w:strike w:val="0"/>
          <w:dstrike w:val="0"/>
          <w:color w:val="000000" w:themeColor="text1"/>
          <w:sz w:val="22"/>
          <w:szCs w:val="22"/>
          <w:highlight w:val="none"/>
          <w14:textFill>
            <w14:solidFill>
              <w14:schemeClr w14:val="tx1"/>
            </w14:solidFill>
          </w14:textFill>
        </w:rPr>
        <w:t>质保金</w:t>
      </w:r>
      <w:r>
        <w:rPr>
          <w:rFonts w:hint="eastAsia"/>
          <w:strike w:val="0"/>
          <w:dstrike w:val="0"/>
          <w:color w:val="000000" w:themeColor="text1"/>
          <w:sz w:val="22"/>
          <w:szCs w:val="22"/>
          <w:highlight w:val="none"/>
          <w:lang w:eastAsia="zh-CN"/>
          <w14:textFill>
            <w14:solidFill>
              <w14:schemeClr w14:val="tx1"/>
            </w14:solidFill>
          </w14:textFill>
        </w:rPr>
        <w:t>：</w:t>
      </w:r>
      <w:r>
        <w:rPr>
          <w:rFonts w:hint="eastAsia"/>
          <w:color w:val="000000" w:themeColor="text1"/>
          <w:spacing w:val="-6"/>
          <w:sz w:val="22"/>
          <w:szCs w:val="22"/>
          <w:highlight w:val="none"/>
          <w:u w:val="single"/>
          <w:lang w:val="en-US"/>
          <w14:textFill>
            <w14:solidFill>
              <w14:schemeClr w14:val="tx1"/>
            </w14:solidFill>
          </w14:textFill>
        </w:rPr>
        <w:t xml:space="preserve">    </w:t>
      </w:r>
    </w:p>
    <w:p>
      <w:pPr>
        <w:pStyle w:val="5"/>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19"/>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个工作日</w:t>
      </w:r>
      <w:r>
        <w:rPr>
          <w:rFonts w:hint="eastAsia"/>
          <w:color w:val="000000" w:themeColor="text1"/>
          <w:sz w:val="22"/>
          <w:szCs w:val="22"/>
          <w:highlight w:val="none"/>
          <w:lang w:eastAsia="zh-CN"/>
          <w14:textFill>
            <w14:solidFill>
              <w14:schemeClr w14:val="tx1"/>
            </w14:solidFill>
          </w14:textFill>
        </w:rPr>
        <w:t>内</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19"/>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2"/>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2"/>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ascii="宋体" w:hAnsi="宋体" w:eastAsia="宋体" w:cs="宋体"/>
          <w:color w:val="000000" w:themeColor="text1"/>
          <w:kern w:val="0"/>
          <w:sz w:val="22"/>
          <w:szCs w:val="22"/>
          <w:highlight w:val="none"/>
          <w:u w:val="single" w:color="4068E0"/>
          <w:lang w:val="en-US" w:eastAsia="zh-CN" w:bidi="zh-CN"/>
          <w14:textFill>
            <w14:solidFill>
              <w14:schemeClr w14:val="tx1"/>
            </w14:solidFill>
          </w14:textFill>
        </w:rPr>
        <w:t xml:space="preserve"> 3 </w:t>
      </w:r>
      <w:r>
        <w:rPr>
          <w:rFonts w:hint="default"/>
          <w:color w:val="000000" w:themeColor="text1"/>
          <w:sz w:val="22"/>
          <w:szCs w:val="22"/>
          <w:highlight w:val="none"/>
          <w:lang w:val="zh-CN"/>
          <w14:textFill>
            <w14:solidFill>
              <w14:schemeClr w14:val="tx1"/>
            </w14:solidFill>
          </w14:textFill>
        </w:rPr>
        <w:t>个月</w:t>
      </w:r>
      <w:r>
        <w:rPr>
          <w:color w:val="000000" w:themeColor="text1"/>
          <w:sz w:val="22"/>
          <w:szCs w:val="22"/>
          <w:highlight w:val="none"/>
          <w:lang w:val="zh-CN"/>
          <w14:textFill>
            <w14:solidFill>
              <w14:schemeClr w14:val="tx1"/>
            </w14:solidFill>
          </w14:textFill>
        </w:rPr>
        <w:t>内</w:t>
      </w:r>
      <w:r>
        <w:rPr>
          <w:color w:val="000000" w:themeColor="text1"/>
          <w:sz w:val="22"/>
          <w:szCs w:val="22"/>
          <w:highlight w:val="none"/>
          <w14:textFill>
            <w14:solidFill>
              <w14:schemeClr w14:val="tx1"/>
            </w14:solidFill>
          </w14:textFill>
        </w:rPr>
        <w:t>，甲方向乙方支付全部合同价款。</w:t>
      </w:r>
    </w:p>
    <w:p>
      <w:pPr>
        <w:pStyle w:val="2"/>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19"/>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ascii="Verdana" w:eastAsia="宋体" w:cs="宋体"/>
          <w:color w:val="000000" w:themeColor="text1"/>
          <w:kern w:val="0"/>
          <w:sz w:val="22"/>
          <w:szCs w:val="22"/>
          <w:highlight w:val="none"/>
          <w:lang w:val="en-US" w:eastAsia="zh-CN" w:bidi="zh-CN"/>
          <w14:textFill>
            <w14:solidFill>
              <w14:schemeClr w14:val="tx1"/>
            </w14:solidFill>
          </w14:textFill>
        </w:rPr>
        <w:t>若</w:t>
      </w:r>
      <w:r>
        <w:rPr>
          <w:rFonts w:hint="default" w:ascii="Times New Roman" w:hAnsi="Times New Roman" w:eastAsia="新宋体" w:cs="Times New Roman"/>
          <w:color w:val="auto"/>
          <w:sz w:val="22"/>
          <w:szCs w:val="22"/>
          <w:highlight w:val="none"/>
        </w:rPr>
        <w:t>乙方为中小企业：在合同签订生效以及具备实施条件后，乙方须向甲方提交与预付款等额的“预付款保函”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合同预付款为合同金额的</w:t>
      </w:r>
      <w:r>
        <w:rPr>
          <w:rFonts w:hint="eastAsia" w:ascii="Times New Roman" w:hAnsi="Times New Roman" w:eastAsia="新宋体" w:cs="Times New Roman"/>
          <w:color w:val="auto"/>
          <w:sz w:val="22"/>
          <w:szCs w:val="22"/>
          <w:highlight w:val="none"/>
          <w:lang w:val="en-US" w:eastAsia="zh-CN"/>
        </w:rPr>
        <w:t>30</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。甲方收到“预付款保函”后7个工作日内支付预付款；</w:t>
      </w:r>
      <w:r>
        <w:rPr>
          <w:rFonts w:hint="eastAsia" w:ascii="Times New Roman" w:hAnsi="Times New Roman" w:eastAsia="新宋体" w:cs="Times New Roman"/>
          <w:color w:val="auto"/>
          <w:sz w:val="22"/>
          <w:szCs w:val="22"/>
          <w:highlight w:val="none"/>
          <w:lang w:eastAsia="zh-CN"/>
        </w:rPr>
        <w:t>待</w:t>
      </w:r>
      <w:r>
        <w:rPr>
          <w:rFonts w:hint="default" w:ascii="Times New Roman" w:hAnsi="Times New Roman" w:eastAsia="新宋体" w:cs="Times New Roman"/>
          <w:color w:val="auto"/>
          <w:sz w:val="22"/>
          <w:szCs w:val="22"/>
          <w:highlight w:val="none"/>
        </w:rPr>
        <w:t>（每批）货物验收合格后，乙方开具合同货物</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发票，甲方在收到</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发票后</w:t>
      </w:r>
      <w:r>
        <w:rPr>
          <w:rFonts w:hint="eastAsia" w:ascii="Times New Roman" w:hAnsi="Times New Roman" w:eastAsia="新宋体" w:cs="Times New Roman"/>
          <w:color w:val="auto"/>
          <w:sz w:val="22"/>
          <w:szCs w:val="22"/>
          <w:highlight w:val="none"/>
          <w:lang w:val="en-US" w:eastAsia="zh-CN"/>
        </w:rPr>
        <w:t>3个月内</w:t>
      </w:r>
      <w:r>
        <w:rPr>
          <w:rFonts w:hint="default" w:ascii="Times New Roman" w:hAnsi="Times New Roman" w:eastAsia="新宋体" w:cs="Times New Roman"/>
          <w:color w:val="auto"/>
          <w:sz w:val="22"/>
          <w:szCs w:val="22"/>
          <w:highlight w:val="none"/>
        </w:rPr>
        <w:t>支付至</w:t>
      </w:r>
      <w:r>
        <w:rPr>
          <w:rFonts w:hint="eastAsia" w:ascii="Times New Roman" w:hAnsi="Times New Roman" w:eastAsia="新宋体" w:cs="Times New Roman"/>
          <w:color w:val="auto"/>
          <w:sz w:val="22"/>
          <w:szCs w:val="22"/>
          <w:highlight w:val="none"/>
          <w:lang w:val="en-US" w:eastAsia="zh-CN"/>
        </w:rPr>
        <w:t>100</w:t>
      </w:r>
      <w:r>
        <w:rPr>
          <w:rFonts w:hint="default" w:ascii="Times New Roman" w:hAnsi="Times New Roman" w:eastAsia="新宋体" w:cs="Times New Roman"/>
          <w:color w:val="auto"/>
          <w:sz w:val="22"/>
          <w:szCs w:val="22"/>
          <w:highlight w:val="none"/>
        </w:rPr>
        <w:t>%合同货款</w:t>
      </w:r>
      <w:r>
        <w:rPr>
          <w:rFonts w:hint="eastAsia" w:ascii="Times New Roman" w:hAnsi="Times New Roman" w:eastAsia="新宋体" w:cs="Times New Roman"/>
          <w:color w:val="auto"/>
          <w:sz w:val="22"/>
          <w:szCs w:val="22"/>
          <w:highlight w:val="none"/>
          <w:lang w:eastAsia="zh-CN"/>
        </w:rPr>
        <w:t>。</w:t>
      </w:r>
    </w:p>
    <w:p>
      <w:pPr>
        <w:pStyle w:val="19"/>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5"/>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2"/>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19"/>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9"/>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19"/>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19"/>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上述的货物在质保期内免费保修，因人为因素出现的故障不在免费保修范围内。超过保修期的机器设备，终生维修，维修时只收部件成本费。乙方应当在</w:t>
      </w:r>
      <w:r>
        <w:rPr>
          <w:rFonts w:hint="eastAsia"/>
          <w:color w:val="000000" w:themeColor="text1"/>
          <w:sz w:val="22"/>
          <w:szCs w:val="22"/>
          <w:lang w:eastAsia="zh-CN"/>
          <w14:textFill>
            <w14:solidFill>
              <w14:schemeClr w14:val="tx1"/>
            </w14:solidFill>
          </w14:textFill>
        </w:rPr>
        <w:t>接到</w:t>
      </w:r>
      <w:r>
        <w:rPr>
          <w:rFonts w:hint="eastAsia"/>
          <w:color w:val="000000" w:themeColor="text1"/>
          <w:sz w:val="22"/>
          <w:szCs w:val="22"/>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14:textFill>
            <w14:solidFill>
              <w14:schemeClr w14:val="tx1"/>
            </w14:solidFill>
          </w14:textFill>
        </w:rPr>
        <w:t>日内到达货物所在地进行维修。</w:t>
      </w:r>
    </w:p>
    <w:p>
      <w:pPr>
        <w:pStyle w:val="5"/>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9"/>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19"/>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w:t>
      </w:r>
      <w:r>
        <w:rPr>
          <w:color w:val="000000" w:themeColor="text1"/>
          <w:spacing w:val="3"/>
          <w:sz w:val="22"/>
          <w:szCs w:val="22"/>
          <w:u w:val="none" w:color="auto"/>
          <w14:textFill>
            <w14:solidFill>
              <w14:schemeClr w14:val="tx1"/>
            </w14:solidFill>
          </w14:textFill>
        </w:rPr>
        <w:t>百分之五</w:t>
      </w:r>
      <w:r>
        <w:rPr>
          <w:color w:val="000000" w:themeColor="text1"/>
          <w:sz w:val="22"/>
          <w:szCs w:val="22"/>
          <w14:textFill>
            <w14:solidFill>
              <w14:schemeClr w14:val="tx1"/>
            </w14:solidFill>
          </w14:textFill>
        </w:rPr>
        <w:t>违约金。</w:t>
      </w:r>
    </w:p>
    <w:p>
      <w:pPr>
        <w:pStyle w:val="19"/>
        <w:numPr>
          <w:ilvl w:val="0"/>
          <w:numId w:val="0"/>
        </w:numPr>
        <w:tabs>
          <w:tab w:val="left" w:pos="522"/>
        </w:tabs>
        <w:spacing w:before="117"/>
        <w:ind w:left="351" w:leftChars="0"/>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甲方无故逾期验收和办理货款支付手续的</w:t>
      </w:r>
      <w:r>
        <w:rPr>
          <w:rFonts w:hint="eastAsia" w:ascii="Verdana" w:eastAsia="宋体"/>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甲方应按逾期付款总额每日</w:t>
      </w:r>
      <w:r>
        <w:rPr>
          <w:color w:val="000000" w:themeColor="text1"/>
          <w:spacing w:val="2"/>
          <w:sz w:val="22"/>
          <w:szCs w:val="22"/>
          <w:u w:val="none" w:color="auto"/>
          <w14:textFill>
            <w14:solidFill>
              <w14:schemeClr w14:val="tx1"/>
            </w14:solidFill>
          </w14:textFill>
        </w:rPr>
        <w:t>万分之五</w:t>
      </w:r>
      <w:r>
        <w:rPr>
          <w:color w:val="000000" w:themeColor="text1"/>
          <w:sz w:val="22"/>
          <w:szCs w:val="22"/>
          <w14:textFill>
            <w14:solidFill>
              <w14:schemeClr w14:val="tx1"/>
            </w14:solidFill>
          </w14:textFill>
        </w:rPr>
        <w:t>向乙方支付违约金</w:t>
      </w:r>
      <w:r>
        <w:rPr>
          <w:rFonts w:hint="eastAsia"/>
          <w:color w:val="000000" w:themeColor="text1"/>
          <w:sz w:val="22"/>
          <w:szCs w:val="22"/>
          <w:lang w:eastAsia="zh-CN"/>
          <w14:textFill>
            <w14:solidFill>
              <w14:schemeClr w14:val="tx1"/>
            </w14:solidFill>
          </w14:textFill>
        </w:rPr>
        <w:t>，最高不超过合同总金额的</w:t>
      </w:r>
      <w:r>
        <w:rPr>
          <w:rFonts w:hint="eastAsia"/>
          <w:color w:val="000000" w:themeColor="text1"/>
          <w:sz w:val="22"/>
          <w:szCs w:val="22"/>
          <w:lang w:val="en-US" w:eastAsia="zh-CN"/>
          <w14:textFill>
            <w14:solidFill>
              <w14:schemeClr w14:val="tx1"/>
            </w14:solidFill>
          </w14:textFill>
        </w:rPr>
        <w:t>5%。</w:t>
      </w:r>
    </w:p>
    <w:p>
      <w:pPr>
        <w:pStyle w:val="19"/>
        <w:numPr>
          <w:ilvl w:val="0"/>
          <w:numId w:val="0"/>
        </w:numPr>
        <w:tabs>
          <w:tab w:val="left" w:pos="522"/>
        </w:tabs>
        <w:spacing w:before="118"/>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乙方逾期交付货物的，乙方应按逾期交货总额每日</w:t>
      </w:r>
      <w:r>
        <w:rPr>
          <w:color w:val="000000" w:themeColor="text1"/>
          <w:spacing w:val="15"/>
          <w:sz w:val="22"/>
          <w:szCs w:val="22"/>
          <w:u w:val="none" w:color="auto"/>
          <w14:textFill>
            <w14:solidFill>
              <w14:schemeClr w14:val="tx1"/>
            </w14:solidFill>
          </w14:textFill>
        </w:rPr>
        <w:t>千分之六</w:t>
      </w:r>
      <w:r>
        <w:rPr>
          <w:color w:val="000000" w:themeColor="text1"/>
          <w:sz w:val="22"/>
          <w:szCs w:val="22"/>
          <w14:textFill>
            <w14:solidFill>
              <w14:schemeClr w14:val="tx1"/>
            </w14:solidFill>
          </w14:textFill>
        </w:rPr>
        <w:t>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u w:val="none"/>
          <w14:textFill>
            <w14:solidFill>
              <w14:schemeClr w14:val="tx1"/>
            </w14:solidFill>
          </w14:textFill>
        </w:rPr>
        <w:t>5%</w:t>
      </w:r>
      <w:r>
        <w:rPr>
          <w:rFonts w:hint="eastAsia"/>
          <w:color w:val="000000" w:themeColor="text1"/>
          <w:sz w:val="22"/>
          <w:szCs w:val="22"/>
          <w:u w:val="non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19"/>
        <w:numPr>
          <w:ilvl w:val="0"/>
          <w:numId w:val="0"/>
        </w:numPr>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5"/>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2"/>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5"/>
        <w:spacing w:before="107"/>
        <w:rPr>
          <w:sz w:val="22"/>
          <w:szCs w:val="22"/>
        </w:rPr>
      </w:pPr>
      <w:r>
        <w:rPr>
          <w:sz w:val="22"/>
          <w:szCs w:val="22"/>
        </w:rPr>
        <w:t>十六、合同生效及其它</w:t>
      </w:r>
    </w:p>
    <w:p>
      <w:pPr>
        <w:pStyle w:val="19"/>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本合同经甲、乙双方签字并加盖单位公章后生效。</w:t>
      </w:r>
    </w:p>
    <w:p>
      <w:pPr>
        <w:pStyle w:val="19"/>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19"/>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19"/>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19"/>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2"/>
        <w:spacing w:before="106" w:line="264" w:lineRule="auto"/>
        <w:ind w:left="105" w:right="209"/>
        <w:rPr>
          <w:sz w:val="22"/>
          <w:szCs w:val="22"/>
        </w:rPr>
      </w:pPr>
    </w:p>
    <w:p>
      <w:pPr>
        <w:pStyle w:val="2"/>
        <w:spacing w:before="106" w:line="264" w:lineRule="auto"/>
        <w:ind w:left="105" w:right="209"/>
        <w:rPr>
          <w:sz w:val="22"/>
          <w:szCs w:val="22"/>
        </w:rPr>
      </w:pPr>
    </w:p>
    <w:p>
      <w:pPr>
        <w:pStyle w:val="2"/>
        <w:spacing w:before="106" w:line="264" w:lineRule="auto"/>
        <w:ind w:left="105" w:right="209"/>
        <w:rPr>
          <w:sz w:val="22"/>
          <w:szCs w:val="22"/>
        </w:rPr>
      </w:pPr>
    </w:p>
    <w:p>
      <w:pPr>
        <w:pStyle w:val="2"/>
        <w:spacing w:before="106" w:line="264" w:lineRule="auto"/>
        <w:ind w:left="105" w:right="209"/>
        <w:rPr>
          <w:sz w:val="22"/>
          <w:szCs w:val="22"/>
        </w:rPr>
      </w:pPr>
    </w:p>
    <w:p>
      <w:pPr>
        <w:pStyle w:val="2"/>
        <w:spacing w:before="106" w:line="264" w:lineRule="auto"/>
        <w:ind w:left="105" w:right="209"/>
        <w:rPr>
          <w:sz w:val="22"/>
          <w:szCs w:val="22"/>
        </w:rPr>
      </w:pPr>
    </w:p>
    <w:p>
      <w:pPr>
        <w:pStyle w:val="2"/>
        <w:spacing w:before="106" w:line="264" w:lineRule="auto"/>
        <w:ind w:left="105" w:right="209"/>
        <w:rPr>
          <w:sz w:val="22"/>
          <w:szCs w:val="22"/>
        </w:rPr>
      </w:pPr>
    </w:p>
    <w:p>
      <w:pPr>
        <w:pStyle w:val="2"/>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2"/>
        <w:spacing w:before="106" w:line="264" w:lineRule="auto"/>
        <w:ind w:left="105" w:right="209"/>
        <w:rPr>
          <w:sz w:val="22"/>
          <w:szCs w:val="22"/>
        </w:rPr>
      </w:pPr>
      <w:r>
        <w:rPr>
          <w:rFonts w:hint="eastAsia"/>
          <w:sz w:val="22"/>
          <w:szCs w:val="22"/>
        </w:rPr>
        <w:t>地址：温州市六虹桥路蛟尾路9号                   地址：</w:t>
      </w:r>
    </w:p>
    <w:p>
      <w:pPr>
        <w:pStyle w:val="2"/>
        <w:spacing w:before="106" w:line="264" w:lineRule="auto"/>
        <w:ind w:left="105" w:right="209"/>
        <w:rPr>
          <w:sz w:val="22"/>
          <w:szCs w:val="22"/>
        </w:rPr>
      </w:pPr>
      <w:r>
        <w:rPr>
          <w:rFonts w:hint="eastAsia"/>
          <w:sz w:val="22"/>
          <w:szCs w:val="22"/>
        </w:rPr>
        <w:t xml:space="preserve">法定（授权）代表人：                            法定（授权）代表人： </w:t>
      </w:r>
    </w:p>
    <w:p>
      <w:pPr>
        <w:pStyle w:val="2"/>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2"/>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2"/>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九、本合同一式三份，甲、乙双方各执一份，甲方纪检监察部门执一份，并从签订之日起生效。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宋3f体3f">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yODZmNTE4ZWMzNjg3NTkxMjBiZjI1OGU3ZTBiMzY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57A7D39"/>
    <w:rsid w:val="079468F0"/>
    <w:rsid w:val="088815A9"/>
    <w:rsid w:val="0A277157"/>
    <w:rsid w:val="0A323667"/>
    <w:rsid w:val="0A964758"/>
    <w:rsid w:val="0B691EBF"/>
    <w:rsid w:val="0BDB7828"/>
    <w:rsid w:val="0D3C3F90"/>
    <w:rsid w:val="0D6B27A0"/>
    <w:rsid w:val="0D737863"/>
    <w:rsid w:val="0F9D510C"/>
    <w:rsid w:val="0FA00F0B"/>
    <w:rsid w:val="10827943"/>
    <w:rsid w:val="11D15B1C"/>
    <w:rsid w:val="11D56F8A"/>
    <w:rsid w:val="12531874"/>
    <w:rsid w:val="129A029D"/>
    <w:rsid w:val="12C9410A"/>
    <w:rsid w:val="14C02644"/>
    <w:rsid w:val="157B401A"/>
    <w:rsid w:val="165B3C1A"/>
    <w:rsid w:val="17453125"/>
    <w:rsid w:val="17E20D91"/>
    <w:rsid w:val="184F31D7"/>
    <w:rsid w:val="19915A12"/>
    <w:rsid w:val="1A2E6DE6"/>
    <w:rsid w:val="1D4821A9"/>
    <w:rsid w:val="202B56B1"/>
    <w:rsid w:val="22723315"/>
    <w:rsid w:val="22CF7097"/>
    <w:rsid w:val="232E51F6"/>
    <w:rsid w:val="23705E06"/>
    <w:rsid w:val="23884864"/>
    <w:rsid w:val="24C52651"/>
    <w:rsid w:val="27E45486"/>
    <w:rsid w:val="28DD687E"/>
    <w:rsid w:val="2B057E38"/>
    <w:rsid w:val="2BA52826"/>
    <w:rsid w:val="2D7F5632"/>
    <w:rsid w:val="2E46068D"/>
    <w:rsid w:val="2EB05F76"/>
    <w:rsid w:val="2F3C6CF1"/>
    <w:rsid w:val="2FBD42B3"/>
    <w:rsid w:val="30D412A1"/>
    <w:rsid w:val="30E84F1F"/>
    <w:rsid w:val="316641F0"/>
    <w:rsid w:val="31BF6098"/>
    <w:rsid w:val="31F8416E"/>
    <w:rsid w:val="32CE7A3F"/>
    <w:rsid w:val="33951D5C"/>
    <w:rsid w:val="34117E05"/>
    <w:rsid w:val="351B0D6F"/>
    <w:rsid w:val="35633FD8"/>
    <w:rsid w:val="37C66C9B"/>
    <w:rsid w:val="39BD6D12"/>
    <w:rsid w:val="3A9A21D8"/>
    <w:rsid w:val="3BB420F5"/>
    <w:rsid w:val="3D6C58AA"/>
    <w:rsid w:val="3DB75172"/>
    <w:rsid w:val="3F1B3C4A"/>
    <w:rsid w:val="402E62DF"/>
    <w:rsid w:val="402F4957"/>
    <w:rsid w:val="405108FA"/>
    <w:rsid w:val="4136403A"/>
    <w:rsid w:val="41EF774F"/>
    <w:rsid w:val="42660058"/>
    <w:rsid w:val="430F11B1"/>
    <w:rsid w:val="43824C1A"/>
    <w:rsid w:val="43A157C9"/>
    <w:rsid w:val="449C5243"/>
    <w:rsid w:val="449E2D2B"/>
    <w:rsid w:val="458A740C"/>
    <w:rsid w:val="46094A05"/>
    <w:rsid w:val="460A3EB2"/>
    <w:rsid w:val="477517FF"/>
    <w:rsid w:val="479F5F87"/>
    <w:rsid w:val="497E50E4"/>
    <w:rsid w:val="49CC2349"/>
    <w:rsid w:val="49D80BA1"/>
    <w:rsid w:val="4A254910"/>
    <w:rsid w:val="4AA864D5"/>
    <w:rsid w:val="4B956476"/>
    <w:rsid w:val="4CBE1552"/>
    <w:rsid w:val="4D3D3121"/>
    <w:rsid w:val="4DCB17F7"/>
    <w:rsid w:val="4ED83989"/>
    <w:rsid w:val="529E0326"/>
    <w:rsid w:val="53423D16"/>
    <w:rsid w:val="534B0A6F"/>
    <w:rsid w:val="539D45B7"/>
    <w:rsid w:val="53CA557A"/>
    <w:rsid w:val="545A32FC"/>
    <w:rsid w:val="547D6E0D"/>
    <w:rsid w:val="55382DBA"/>
    <w:rsid w:val="55596194"/>
    <w:rsid w:val="56A54B82"/>
    <w:rsid w:val="584110E8"/>
    <w:rsid w:val="587C329C"/>
    <w:rsid w:val="58AD45C1"/>
    <w:rsid w:val="595B205E"/>
    <w:rsid w:val="598670BC"/>
    <w:rsid w:val="59C41BC7"/>
    <w:rsid w:val="5A4777C5"/>
    <w:rsid w:val="5A6E001E"/>
    <w:rsid w:val="5AE71C9E"/>
    <w:rsid w:val="5CD36D91"/>
    <w:rsid w:val="5DEC7787"/>
    <w:rsid w:val="5DFE7766"/>
    <w:rsid w:val="60F93F09"/>
    <w:rsid w:val="644258DE"/>
    <w:rsid w:val="65D31C24"/>
    <w:rsid w:val="6634293C"/>
    <w:rsid w:val="669F4579"/>
    <w:rsid w:val="680678AC"/>
    <w:rsid w:val="683E0693"/>
    <w:rsid w:val="685E7C65"/>
    <w:rsid w:val="68AB5C34"/>
    <w:rsid w:val="694279A9"/>
    <w:rsid w:val="696B3DB6"/>
    <w:rsid w:val="698F00A6"/>
    <w:rsid w:val="6A670A41"/>
    <w:rsid w:val="6A800692"/>
    <w:rsid w:val="6BF3478F"/>
    <w:rsid w:val="6D370E4B"/>
    <w:rsid w:val="6DE10695"/>
    <w:rsid w:val="6E0B49D4"/>
    <w:rsid w:val="6E6658CD"/>
    <w:rsid w:val="6E7E61B3"/>
    <w:rsid w:val="6F1A55B9"/>
    <w:rsid w:val="6F9841D5"/>
    <w:rsid w:val="6FC7528D"/>
    <w:rsid w:val="70254AB1"/>
    <w:rsid w:val="711B411C"/>
    <w:rsid w:val="7392213F"/>
    <w:rsid w:val="73991A3A"/>
    <w:rsid w:val="739F5CC0"/>
    <w:rsid w:val="73F75A9D"/>
    <w:rsid w:val="748F3673"/>
    <w:rsid w:val="755C54CB"/>
    <w:rsid w:val="75F40528"/>
    <w:rsid w:val="772F4719"/>
    <w:rsid w:val="773504DF"/>
    <w:rsid w:val="78667688"/>
    <w:rsid w:val="7A192AA7"/>
    <w:rsid w:val="7AE52B70"/>
    <w:rsid w:val="7B395E66"/>
    <w:rsid w:val="7C0B3B0A"/>
    <w:rsid w:val="7C4831AB"/>
    <w:rsid w:val="7CA6287C"/>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jc w:val="left"/>
    </w:pPr>
    <w:rPr>
      <w:rFonts w:ascii="宋体" w:hAnsi="宋体" w:eastAsia="宋体" w:cs="宋体"/>
      <w:kern w:val="0"/>
      <w:sz w:val="17"/>
      <w:szCs w:val="17"/>
      <w:lang w:val="zh-CN" w:bidi="zh-CN"/>
    </w:rPr>
  </w:style>
  <w:style w:type="paragraph" w:styleId="3">
    <w:name w:val="Body Text First Indent"/>
    <w:basedOn w:val="1"/>
    <w:autoRedefine/>
    <w:qFormat/>
    <w:uiPriority w:val="0"/>
    <w:pPr>
      <w:ind w:firstLine="420"/>
    </w:pPr>
    <w:rPr>
      <w:rFonts w:ascii="Calibri" w:hAnsi="Calibri" w:eastAsia="宋体" w:cs="Times New Roman"/>
    </w:rPr>
  </w:style>
  <w:style w:type="paragraph" w:styleId="6">
    <w:name w:val="Plain Text"/>
    <w:basedOn w:val="1"/>
    <w:autoRedefine/>
    <w:qFormat/>
    <w:uiPriority w:val="0"/>
    <w:rPr>
      <w:rFonts w:ascii="宋体" w:hAnsi="Courier New" w:cs="Courier New"/>
      <w:szCs w:val="21"/>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paragraph" w:customStyle="1" w:styleId="1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19">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0">
    <w:name w:val="NormalCharacter"/>
    <w:autoRedefine/>
    <w:semiHidden/>
    <w:qFormat/>
    <w:uiPriority w:val="0"/>
  </w:style>
  <w:style w:type="character" w:customStyle="1" w:styleId="21">
    <w:name w:val="font31"/>
    <w:basedOn w:val="13"/>
    <w:autoRedefine/>
    <w:qFormat/>
    <w:uiPriority w:val="0"/>
    <w:rPr>
      <w:rFonts w:hint="eastAsia" w:ascii="宋体" w:hAnsi="宋体" w:eastAsia="宋体" w:cs="宋体"/>
      <w:color w:val="000000"/>
      <w:sz w:val="24"/>
      <w:szCs w:val="24"/>
      <w:u w:val="none"/>
    </w:rPr>
  </w:style>
  <w:style w:type="character" w:customStyle="1" w:styleId="22">
    <w:name w:val="font11"/>
    <w:basedOn w:val="13"/>
    <w:autoRedefine/>
    <w:qFormat/>
    <w:uiPriority w:val="0"/>
    <w:rPr>
      <w:rFonts w:hint="eastAsia" w:ascii="宋体" w:hAnsi="宋体" w:eastAsia="宋体" w:cs="宋体"/>
      <w:color w:val="000000"/>
      <w:sz w:val="24"/>
      <w:szCs w:val="24"/>
      <w:u w:val="none"/>
    </w:rPr>
  </w:style>
  <w:style w:type="character" w:customStyle="1" w:styleId="23">
    <w:name w:val="font41"/>
    <w:basedOn w:val="13"/>
    <w:autoRedefine/>
    <w:qFormat/>
    <w:uiPriority w:val="0"/>
    <w:rPr>
      <w:rFonts w:hint="eastAsia" w:ascii="宋体" w:hAnsi="宋体" w:eastAsia="宋体" w:cs="宋体"/>
      <w:b/>
      <w:bCs/>
      <w:color w:val="000000"/>
      <w:sz w:val="24"/>
      <w:szCs w:val="24"/>
      <w:u w:val="none"/>
    </w:rPr>
  </w:style>
  <w:style w:type="character" w:customStyle="1" w:styleId="24">
    <w:name w:val="Anrede1IhrZeichen"/>
    <w:autoRedefine/>
    <w:qFormat/>
    <w:uiPriority w:val="0"/>
    <w:rPr>
      <w:rFonts w:hint="default" w:ascii="Arial" w:hAnsi="Arial"/>
      <w:sz w:val="20"/>
    </w:rPr>
  </w:style>
  <w:style w:type="paragraph" w:customStyle="1" w:styleId="25">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6">
    <w:name w:val="Plain Text1"/>
    <w:basedOn w:val="27"/>
    <w:autoRedefine/>
    <w:qFormat/>
    <w:uiPriority w:val="0"/>
    <w:pPr>
      <w:widowControl/>
      <w:jc w:val="left"/>
    </w:pPr>
    <w:rPr>
      <w:rFonts w:ascii="宋体" w:hAnsi="Courier New"/>
    </w:rPr>
  </w:style>
  <w:style w:type="paragraph" w:customStyle="1" w:styleId="2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10</Pages>
  <Words>6626</Words>
  <Characters>6843</Characters>
  <Lines>6</Lines>
  <Paragraphs>1</Paragraphs>
  <TotalTime>0</TotalTime>
  <ScaleCrop>false</ScaleCrop>
  <LinksUpToDate>false</LinksUpToDate>
  <CharactersWithSpaces>7226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咔咔</cp:lastModifiedBy>
  <dcterms:modified xsi:type="dcterms:W3CDTF">2024-03-05T06:20:33Z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2052-12.1.0.16388</vt:lpwstr>
  </property>
  <property fmtid="{D5CDD505-2E9C-101B-9397-08002B2CF9AE}" pid="4" name="ICV">
    <vt:lpwstr>99012001CC8449E1B44B4987A03F7E88</vt:lpwstr>
  </property>
</Properties>
</file>