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40"/>
          <w:szCs w:val="40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0"/>
          <w:szCs w:val="40"/>
        </w:rPr>
        <w:t>温州市中医院</w:t>
      </w:r>
      <w:bookmarkEnd w:id="0"/>
      <w:r>
        <w:rPr>
          <w:rFonts w:hint="eastAsia" w:hAnsi="宋体" w:cs="宋体"/>
          <w:color w:val="000000"/>
          <w:sz w:val="40"/>
          <w:szCs w:val="40"/>
          <w:lang w:val="en-US" w:eastAsia="zh-CN"/>
        </w:rPr>
        <w:t>景山院区一批家具采购（重）项目遴选</w:t>
      </w:r>
      <w:r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温州市中医院景山院区一批家具采购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（重）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90000元</w:t>
      </w: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tbl>
      <w:tblPr>
        <w:tblStyle w:val="17"/>
        <w:tblW w:w="14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75"/>
        <w:gridCol w:w="1705"/>
        <w:gridCol w:w="6255"/>
        <w:gridCol w:w="735"/>
        <w:gridCol w:w="690"/>
        <w:gridCol w:w="211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5000*1400*760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1、基材：均采用多层实木板，E0级标准，质量符合GB/T11718-2009《中密度纤维板》、HJ571-2010《环境标志产品技术要求 人造板要求及其制品》标准，含水率≤9%，甲醛释放量≤0.038mg/m3；总挥发性化合物（TVOC）释放率≤0.08mg/（㎡.h）（72H）；静曲强度≥32MPa；内结合强度≥0.48MPa；表面结合强度≥1.14MPa；吸水厚度膨胀率≤12%。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2、面材：面板可选双面贴A级优质木皮，厚度为0.6mm，木皮纹理颜色一致，无结疤，无瑕疵。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3、五金件:采用优质五金五金件，表面无锈蚀痕迹、鼓泡、开裂、毛刺、露底。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4、油漆：选用环保净味油漆，质量符合GB/T18581-2020《木器涂料中有害物质限量》，其中VOC含量、甲醛含量、苯系物总和含量均未检出,五底三面工艺制作，色泽美观、不变色、光滑耐磨。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5、功能：带走线功能。预留隐藏式走线槽，强弱电分离设计，带可掀走线面板，内部预留标准86 线盒孔，电源系统符合 3C 认证。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1248410</wp:posOffset>
                  </wp:positionV>
                  <wp:extent cx="1250950" cy="913130"/>
                  <wp:effectExtent l="0" t="0" r="6350" b="1270"/>
                  <wp:wrapNone/>
                  <wp:docPr id="5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173355</wp:posOffset>
                  </wp:positionV>
                  <wp:extent cx="1247140" cy="1007745"/>
                  <wp:effectExtent l="0" t="0" r="10160" b="1905"/>
                  <wp:wrapNone/>
                  <wp:docPr id="5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458470</wp:posOffset>
                  </wp:positionV>
                  <wp:extent cx="1003300" cy="1233805"/>
                  <wp:effectExtent l="0" t="0" r="6350" b="4445"/>
                  <wp:wrapNone/>
                  <wp:docPr id="49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538*620*930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料：优质超纤皮覆面，质量符合GB/T16799-2018《家具用皮革》游离甲醛未检出;摩擦色牢度≥4级；撕裂力≥60N；禁用偶氮染料未检出;可萃取的重金属铅、镉未检出；游离甲醛含量未检出；皮面柔软光泽度好，厚度适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2、泡绵：环保型高密度、高回弹PU泡绵，符合QB/T1952.1-2012《软体家具 沙发》GB/T10802-2006《通用软质聚醚型聚氨酯泡沫塑料》，回弹率≥40%，75%压缩永久变形≤7%，安全性能阻燃达到1级，附不含氟氨化合物的高弹力定型海绵及多层丝棉作填充，圆润厚实，弹性好，表面涂有防止老化变形的保护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3、脚架：纯实木脚架，质地坚硬、半开放油漆处理工艺，纹理自然清晰。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4、油漆：选用环保净味油漆，质量符合GB/T18581-2020《木器涂料中有害物质限量》，其中VOC含量、甲醛含量、苯系物总和含量均未检出,五底三面工艺制作，色泽美观、不变色、光滑耐磨。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151255" cy="1369060"/>
                  <wp:effectExtent l="0" t="0" r="10795" b="254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136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黑色超纤皮，电镀钢脚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餐桌（坐12-14人)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φ2000*760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1、基材：均采用多层实木板，E0级标准，质量符合GB/T11718-2009《中密度纤维板》、HJ571-2010《环境标志产品技术要求 人造板要求及其制品》标准，含水率≤9%，甲醛释放量≤0.038mg/m3；总挥发性化合物（TVOC）释放率≤0.08mg/（㎡.h）（72H）；静曲强度≥32MPa；内结合强度≥0.48MPa；表面结合强度≥1.14MPa；吸水厚度膨胀率≤12%。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2、面材：面板可选双面贴A级优质木皮，厚度为0.6mm，木皮纹理颜色一致，无结疤，无瑕疵。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3、五金件:采用优质五金五金件，表面无锈蚀痕迹、鼓泡、开裂、毛刺、露底。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4、油漆：选用环保净味油漆，质量符合GB/T18581-2020《木器涂料中有害物质限量》，其中VOC含量、甲醛含量、苯系物总和含量均未检出,五底三面工艺制作，色泽美观、不变色、光滑耐磨。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5、功能：转盘电动转可调速，遥控控制；内部落地钢架结构超强承重。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965200</wp:posOffset>
                  </wp:positionV>
                  <wp:extent cx="1176655" cy="1170940"/>
                  <wp:effectExtent l="0" t="0" r="4445" b="10160"/>
                  <wp:wrapNone/>
                  <wp:docPr id="5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81280</wp:posOffset>
                  </wp:positionV>
                  <wp:extent cx="1268730" cy="876935"/>
                  <wp:effectExtent l="0" t="0" r="7620" b="18415"/>
                  <wp:wrapNone/>
                  <wp:docPr id="4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238125</wp:posOffset>
                  </wp:positionV>
                  <wp:extent cx="972820" cy="1708785"/>
                  <wp:effectExtent l="0" t="0" r="17780" b="5715"/>
                  <wp:wrapNone/>
                  <wp:docPr id="59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595*650*940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面料：优质超纤皮覆面，质量符合GB/T16799-2018《家具用皮革》游离甲醛未检出;摩擦色牢度≥4级；撕裂力≥60N；禁用偶氮染料未检出;可萃取的重金属铅、镉未检出；游离甲醛含量未检出；皮面柔软光泽度好，厚度适中。                                                                                               2、海绵：环保型高密度、高回弹PU泡绵，符合QB/T1952.1-2012《软体家具 沙发》GB/T10802-2006《通用软质聚醚型聚氨酯泡沫塑料》，回弹率≥40%，75%压缩永久变形≤7%，安全性能阻燃达到1级，附不含氟氨化合物的高弹力定型海绵及多层丝棉作填充，圆润厚实，弹性好，表面涂有防止老化变形的保护膜。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3、曲木板：密度≥600kg/m3，含水率≤9%，经高温蒸煮、高温干燥、高温层压。不变形、不虫蛀、不霉变。                                                                                                                                               4、椅框椅脚架：全实木榫卯结构框架，半开放涂装工艺椅脚，纹路清晰自然。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110490</wp:posOffset>
                  </wp:positionV>
                  <wp:extent cx="925830" cy="1362075"/>
                  <wp:effectExtent l="0" t="0" r="7620" b="9525"/>
                  <wp:wrapNone/>
                  <wp:docPr id="58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504825</wp:posOffset>
                  </wp:positionV>
                  <wp:extent cx="890905" cy="501650"/>
                  <wp:effectExtent l="0" t="0" r="4445" b="12700"/>
                  <wp:wrapNone/>
                  <wp:docPr id="57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后备餐椅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480*550*940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面料：优质超纤皮覆面，质量符合GB/T16799-2018《家具用皮革》游离甲醛未检出;摩擦色牢度≥4级；撕裂力≥60N；禁用偶氮染料未检出;可萃取的重金属铅、镉未检出；游离甲醛含量未检出；皮面柔软光泽度好，厚度适中。                                                                                               2、海绵：环保型高密度、高回弹PU泡绵，符合QB/T1952.1-2012《软体家具 沙发》GB/T10802-2006《通用软质聚醚型聚氨酯泡沫塑料》，回弹率≥40%，75%压缩永久变形≤7%，安全性能阻燃达到1级，附不含氟氨化合物的高弹力定型海绵及多层丝棉作填充，圆润厚实，弹性好，表面涂有防止老化变形的保护膜。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3、曲木板：密度≥600kg/m3，含水率≤9%，经高温蒸煮、高温干燥、高温层压。不变形、不虫蛀、不霉变。                                                                                                                                               4、椅框椅脚架：全实木榫卯结构框架，半开放涂装工艺椅脚，纹路清晰自然。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194310</wp:posOffset>
                  </wp:positionV>
                  <wp:extent cx="1094740" cy="1206500"/>
                  <wp:effectExtent l="0" t="0" r="10160" b="12700"/>
                  <wp:wrapNone/>
                  <wp:docPr id="6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511175</wp:posOffset>
                  </wp:positionV>
                  <wp:extent cx="890905" cy="501650"/>
                  <wp:effectExtent l="0" t="0" r="4445" b="12700"/>
                  <wp:wrapNone/>
                  <wp:docPr id="70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茶桌（</w:t>
            </w:r>
            <w:r>
              <w:rPr>
                <w:rStyle w:val="29"/>
                <w:lang w:val="en-US" w:eastAsia="zh-CN" w:bidi="ar"/>
              </w:rPr>
              <w:t>含茶水柜</w:t>
            </w:r>
            <w:r>
              <w:rPr>
                <w:rStyle w:val="30"/>
                <w:lang w:val="en-US" w:eastAsia="zh-CN" w:bidi="ar"/>
              </w:rPr>
              <w:t>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3000*800*760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桌面纯实木板（拼接），木蜡油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73025</wp:posOffset>
                  </wp:positionV>
                  <wp:extent cx="1230630" cy="955675"/>
                  <wp:effectExtent l="0" t="0" r="7620" b="15875"/>
                  <wp:wrapNone/>
                  <wp:docPr id="6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1、材质部分：采用优质全实木、超纤皮。材质纹理细腻，表面结疤少，坚韧耐潮.。木料须经二次烘干处理，含水率低于12%，保证不开裂、不扭曲、不变形。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245745</wp:posOffset>
                  </wp:positionV>
                  <wp:extent cx="1288415" cy="1414780"/>
                  <wp:effectExtent l="0" t="0" r="6985" b="13970"/>
                  <wp:wrapNone/>
                  <wp:docPr id="6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185420</wp:posOffset>
                  </wp:positionV>
                  <wp:extent cx="972185" cy="1562100"/>
                  <wp:effectExtent l="0" t="0" r="18415" b="0"/>
                  <wp:wrapNone/>
                  <wp:docPr id="6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1、材质部分：采用优质全实木、超纤皮。材质纹理细腻，表面结疤少，坚韧耐潮.。木料须经二次烘干处理，含水率低于12%，保证不开裂、不扭曲、不变形。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200660</wp:posOffset>
                  </wp:positionV>
                  <wp:extent cx="1235075" cy="1297940"/>
                  <wp:effectExtent l="0" t="0" r="3175" b="16510"/>
                  <wp:wrapNone/>
                  <wp:docPr id="6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247650</wp:posOffset>
                  </wp:positionV>
                  <wp:extent cx="800735" cy="1247140"/>
                  <wp:effectExtent l="0" t="0" r="18415" b="10160"/>
                  <wp:wrapNone/>
                  <wp:docPr id="6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书房桌子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1400*600*760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144780</wp:posOffset>
                  </wp:positionV>
                  <wp:extent cx="1164590" cy="741045"/>
                  <wp:effectExtent l="0" t="0" r="16510" b="1905"/>
                  <wp:wrapNone/>
                  <wp:docPr id="6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117475</wp:posOffset>
                  </wp:positionV>
                  <wp:extent cx="601345" cy="1056640"/>
                  <wp:effectExtent l="0" t="0" r="8255" b="10160"/>
                  <wp:wrapNone/>
                  <wp:docPr id="69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主人椅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595*650*940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1、材质部分：采用优质全实木、超纤皮。材质纹理细腻，表面结疤少，坚韧耐潮.。木料须经二次烘干处理，含水率低于12%，保证不开裂、不扭曲、不变形。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111125</wp:posOffset>
                  </wp:positionV>
                  <wp:extent cx="1090930" cy="1080135"/>
                  <wp:effectExtent l="0" t="0" r="13970" b="5715"/>
                  <wp:wrapNone/>
                  <wp:docPr id="6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601345" cy="1056640"/>
                  <wp:effectExtent l="0" t="0" r="8255" b="10160"/>
                  <wp:wrapNone/>
                  <wp:docPr id="68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书柜博古架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2000*350*2000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118110</wp:posOffset>
                  </wp:positionV>
                  <wp:extent cx="1115695" cy="951230"/>
                  <wp:effectExtent l="0" t="0" r="8255" b="1270"/>
                  <wp:wrapNone/>
                  <wp:docPr id="5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88900</wp:posOffset>
                  </wp:positionV>
                  <wp:extent cx="601345" cy="1056640"/>
                  <wp:effectExtent l="0" t="0" r="8255" b="10160"/>
                  <wp:wrapNone/>
                  <wp:docPr id="53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480*350*280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1、材质部分：采用优质全实木。材质纹理细腻，表面结疤少，坚韧耐潮.。木料须经二次烘干处理，含水率低于12%，保证不开裂、不扭曲、不变形。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2、工艺部分：制作上以传统榫卯工艺做法为主，尽量减少各种胶类材料与五金五金件的使用，环保安全可靠，坚固耐用。所有触手可及类锐处均做安全处理。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3、油漆部分：选用环保净味油漆，质量符合GB/T18581-2020《木器涂料中有害物质限量》，其中VOC含量、甲醛含量、苯系物总和含量均未检出,五底三面工艺制作，色泽美观、不变色、光滑耐磨。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4、脚架：实木脚架，质地坚硬，纹理自然清晰。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057275" cy="934085"/>
                  <wp:effectExtent l="0" t="0" r="9525" b="18415"/>
                  <wp:wrapNone/>
                  <wp:docPr id="5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图片色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注：1、以上各产品规格尺寸仅做参考，具体以现场实际测量为准。</w:t>
      </w:r>
    </w:p>
    <w:p>
      <w:pPr>
        <w:pStyle w:val="2"/>
        <w:spacing w:line="360" w:lineRule="auto"/>
        <w:ind w:firstLine="0" w:firstLineChars="0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▲2、投标人超过预算金额的投标报价将作无效标处理。</w:t>
      </w:r>
    </w:p>
    <w:p>
      <w:pPr>
        <w:pStyle w:val="2"/>
        <w:ind w:left="0" w:leftChars="0" w:firstLine="0" w:firstLineChars="0"/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三、主要商务要求</w:t>
      </w:r>
    </w:p>
    <w:p>
      <w:pPr>
        <w:spacing w:line="360" w:lineRule="auto"/>
        <w:ind w:firstLine="482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、付款方式：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 xml:space="preserve">全部货物交付完毕并经最终验收合格后，乙方向甲方开具与合同同等金额的增值税发票，甲方在收到发票后三个月内向乙方支付全部合同价款。   </w:t>
      </w:r>
    </w:p>
    <w:p>
      <w:pPr>
        <w:spacing w:line="360" w:lineRule="auto"/>
        <w:ind w:firstLine="482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到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货时间：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卖方必须在中标之日起10个工作日内完成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所有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 xml:space="preserve">货物的供货。          </w:t>
      </w:r>
    </w:p>
    <w:p>
      <w:pPr>
        <w:spacing w:line="360" w:lineRule="auto"/>
        <w:ind w:firstLine="482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、到货地点：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温州市中医院指定地点。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、质保期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.1中标人对提交的所有产品免费质保期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≥3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年，质保期从每批次货物验收合格交付使用之日起算。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.2质保期内，由于产品自身原因出现问题，由中标人免费更换，并达到合同约定的质量要求，中标人应该在收到院方更换通知24小时内解决处理。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5、其他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发货前，中标供应商须提供该批次产品的检测合格报告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或合格证书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66" w:firstLineChars="200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47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5175"/>
        <w:gridCol w:w="1785"/>
        <w:gridCol w:w="6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对应于招标文件设备技术规格及配置的偏离度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遴选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产品规格尺寸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材料、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商务要求对比，一项指标负偏离扣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的档次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在产品系列中属高档产品的，得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8-11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分；属中等档次产品的，得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分；属低档产品的，得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保修服务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遴选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文件要求的，每增加1年加1分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投标产品总体质量性能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投标产品在临床上的使用情况、稳定性、故障率等总体质量性能综合评价。</w:t>
            </w:r>
          </w:p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A档：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B档：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分；C档：0-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市场占有率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温州市或浙江省内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年1月1日起至今与最终用户签订的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同类项目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合同复印件，每份有效合同得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分，最多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制造商或代理商的售后服务和维修能力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制造商或代理商的售后服务和维修能力，服务响应速度、服务人员水平、备品备件配置等综合评价。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分。其他投标人的价格分按照下列公式计算：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价格分=（评标基准价/投标报价）×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%×100</w:t>
      </w:r>
    </w:p>
    <w:p>
      <w:pPr>
        <w:pStyle w:val="5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4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4"/>
          <w:szCs w:val="24"/>
          <w:highlight w:val="none"/>
          <w:lang w:val="en-US" w:eastAsia="zh-CN"/>
        </w:rPr>
        <w:t>温州市中医院景山院区一批家具采购（重）</w:t>
      </w:r>
      <w:r>
        <w:rPr>
          <w:rFonts w:hint="eastAsia" w:ascii="新宋体" w:hAnsi="新宋体" w:eastAsia="新宋体" w:cs="新宋体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</w:t>
      </w: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3"/>
        <w:gridCol w:w="2025"/>
        <w:gridCol w:w="4140"/>
        <w:gridCol w:w="39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6828" w:type="dxa"/>
            <w:gridSpan w:val="2"/>
            <w:noWrap w:val="0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pStyle w:val="11"/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pStyle w:val="11"/>
              <w:spacing w:line="460" w:lineRule="atLeast"/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质保期（≥3年）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温州市中医院景山院区一批家具采购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（重）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pStyle w:val="11"/>
              <w:spacing w:line="460" w:lineRule="atLeast"/>
              <w:ind w:firstLine="469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投标报价</w:t>
            </w:r>
          </w:p>
        </w:tc>
        <w:tc>
          <w:tcPr>
            <w:tcW w:w="10113" w:type="dxa"/>
            <w:gridSpan w:val="3"/>
            <w:noWrap w:val="0"/>
            <w:vAlign w:val="center"/>
          </w:tcPr>
          <w:p>
            <w:pPr>
              <w:pStyle w:val="11"/>
              <w:spacing w:line="460" w:lineRule="atLeas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（大写）人民币：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803" w:type="dxa"/>
            <w:vMerge w:val="continue"/>
            <w:noWrap w:val="0"/>
            <w:vAlign w:val="center"/>
          </w:tcPr>
          <w:p>
            <w:pPr>
              <w:pStyle w:val="11"/>
              <w:spacing w:line="460" w:lineRule="atLeast"/>
              <w:ind w:firstLine="469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113" w:type="dxa"/>
            <w:gridSpan w:val="3"/>
            <w:noWrap w:val="0"/>
            <w:vAlign w:val="center"/>
          </w:tcPr>
          <w:p>
            <w:pPr>
              <w:pStyle w:val="11"/>
              <w:spacing w:line="460" w:lineRule="atLeas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（小写）￥：</w:t>
            </w:r>
          </w:p>
        </w:tc>
      </w:tr>
    </w:tbl>
    <w:p>
      <w:pPr>
        <w:spacing w:line="460" w:lineRule="exact"/>
        <w:rPr>
          <w:rFonts w:hint="eastAsia"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说明：</w:t>
      </w:r>
    </w:p>
    <w:p>
      <w:pPr>
        <w:spacing w:line="38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1、此表总计价应与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下</w:t>
      </w:r>
      <w:r>
        <w:rPr>
          <w:rFonts w:hint="eastAsia" w:ascii="宋体" w:hAnsi="宋体"/>
          <w:b/>
          <w:bCs/>
          <w:sz w:val="22"/>
          <w:szCs w:val="22"/>
        </w:rPr>
        <w:t>方“（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宋体" w:hAnsi="宋体"/>
          <w:b/>
          <w:bCs/>
          <w:sz w:val="22"/>
          <w:szCs w:val="22"/>
        </w:rPr>
        <w:t>）分项报价表”中报价相一致。</w:t>
      </w:r>
    </w:p>
    <w:p>
      <w:pPr>
        <w:spacing w:line="38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2、不提供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次表格</w:t>
      </w:r>
      <w:r>
        <w:rPr>
          <w:rFonts w:hint="eastAsia" w:ascii="宋体" w:hAnsi="宋体"/>
          <w:b/>
          <w:bCs/>
          <w:sz w:val="22"/>
          <w:szCs w:val="22"/>
        </w:rPr>
        <w:t>将视为没有实质性响应招标文件。</w:t>
      </w:r>
    </w:p>
    <w:p>
      <w:pPr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3、以上全部报价包含货物到达甲方并能正常使用所需的一切费用，包括但不限于包装费、运输费、装卸费、保险费、安装费以及保修费、税费等。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供应商全称（盖章）：</w:t>
      </w:r>
    </w:p>
    <w:p>
      <w:pPr>
        <w:pStyle w:val="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日 期</w:t>
      </w:r>
      <w:r>
        <w:rPr>
          <w:rFonts w:hint="eastAsia" w:ascii="宋体" w:hAnsi="宋体"/>
          <w:b w:val="0"/>
          <w:bCs w:val="0"/>
          <w:sz w:val="22"/>
          <w:szCs w:val="22"/>
          <w:lang w:eastAsia="zh-CN"/>
        </w:rPr>
        <w:t>：</w:t>
      </w: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 w:val="0"/>
          <w:bCs w:val="0"/>
          <w:sz w:val="22"/>
          <w:szCs w:val="22"/>
        </w:rPr>
        <w:t>月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（二）分项报价表</w:t>
      </w:r>
    </w:p>
    <w:p>
      <w:pPr>
        <w:spacing w:line="380" w:lineRule="exact"/>
        <w:ind w:right="349" w:rightChars="166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温州市中医院景山院区一批家具采购（重）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单位：元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tbl>
      <w:tblPr>
        <w:tblStyle w:val="17"/>
        <w:tblW w:w="146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385"/>
        <w:gridCol w:w="1905"/>
        <w:gridCol w:w="1410"/>
        <w:gridCol w:w="1965"/>
        <w:gridCol w:w="306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5000*1400*760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538*620*930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餐桌（坐12-14人)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φ2000*760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595*650*940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后备餐椅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480*550*940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茶桌（</w:t>
            </w:r>
            <w:r>
              <w:rPr>
                <w:rStyle w:val="2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含茶水柜</w:t>
            </w:r>
            <w:r>
              <w:rPr>
                <w:rStyle w:val="3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3000*800*760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书房桌子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1400*600*760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主人椅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595*650*940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书柜博古架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2000*350*2000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480*350*280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80" w:lineRule="exact"/>
        <w:ind w:right="349" w:rightChars="166"/>
        <w:rPr>
          <w:rFonts w:hint="eastAsia" w:ascii="宋体" w:hAnsi="宋体"/>
          <w:sz w:val="22"/>
          <w:szCs w:val="22"/>
        </w:rPr>
      </w:pPr>
    </w:p>
    <w:p>
      <w:pPr>
        <w:spacing w:line="460" w:lineRule="exact"/>
        <w:rPr>
          <w:rFonts w:hint="eastAsia"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说明：</w:t>
      </w:r>
    </w:p>
    <w:p>
      <w:pPr>
        <w:spacing w:line="380" w:lineRule="exact"/>
        <w:rPr>
          <w:rFonts w:hint="eastAsia" w:ascii="宋体" w:hAnsi="宋体"/>
          <w:b/>
          <w:sz w:val="22"/>
          <w:lang w:val="en-US" w:eastAsia="zh-CN"/>
        </w:rPr>
      </w:pPr>
      <w:r>
        <w:rPr>
          <w:rFonts w:hint="eastAsia" w:ascii="宋体" w:hAnsi="宋体"/>
          <w:b/>
          <w:sz w:val="22"/>
          <w:lang w:val="en-US" w:eastAsia="zh-CN"/>
        </w:rPr>
        <w:t>1、此表总计价应与上方“（一）报价一览表”中报价相一致。</w:t>
      </w:r>
    </w:p>
    <w:p>
      <w:pPr>
        <w:spacing w:line="380" w:lineRule="exact"/>
        <w:rPr>
          <w:rFonts w:hint="eastAsia" w:ascii="宋体" w:hAnsi="宋体"/>
          <w:b/>
          <w:sz w:val="22"/>
          <w:lang w:val="en-US" w:eastAsia="zh-CN"/>
        </w:rPr>
      </w:pPr>
      <w:r>
        <w:rPr>
          <w:rFonts w:hint="eastAsia" w:ascii="宋体" w:hAnsi="宋体"/>
          <w:b/>
          <w:sz w:val="22"/>
          <w:lang w:val="en-US" w:eastAsia="zh-CN"/>
        </w:rPr>
        <w:t>2、不提供详细分项报价将视为没有实质性响应招标文件。</w:t>
      </w:r>
    </w:p>
    <w:p>
      <w:pPr>
        <w:spacing w:line="380" w:lineRule="exact"/>
        <w:rPr>
          <w:rFonts w:hint="eastAsia" w:ascii="宋体" w:hAnsi="宋体"/>
          <w:b/>
          <w:sz w:val="22"/>
          <w:lang w:val="en-US" w:eastAsia="zh-CN"/>
        </w:rPr>
      </w:pPr>
      <w:r>
        <w:rPr>
          <w:rFonts w:hint="eastAsia" w:ascii="宋体" w:hAnsi="宋体"/>
          <w:b/>
          <w:sz w:val="22"/>
          <w:lang w:val="en-US" w:eastAsia="zh-CN"/>
        </w:rPr>
        <w:t>3、以上全部报价包含货物到达甲方并能正常使用所需的一切费用，包括但不限于包装费、运输费、装卸费、保险费、安装费以及保修费、税费等。</w:t>
      </w:r>
    </w:p>
    <w:p>
      <w:pPr>
        <w:spacing w:line="380" w:lineRule="exact"/>
        <w:rPr>
          <w:rFonts w:hint="eastAsia" w:ascii="宋体" w:hAnsi="宋体"/>
          <w:b/>
          <w:sz w:val="22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供应商全称（盖章）：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日 期：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 xml:space="preserve">年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 xml:space="preserve">月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>日</w:t>
      </w: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80" w:lineRule="exact"/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236" w:right="850" w:bottom="1236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16E4912"/>
    <w:rsid w:val="02DC2E18"/>
    <w:rsid w:val="03BC4EA5"/>
    <w:rsid w:val="03C84B20"/>
    <w:rsid w:val="04B15D87"/>
    <w:rsid w:val="061E2864"/>
    <w:rsid w:val="076646E5"/>
    <w:rsid w:val="084B5379"/>
    <w:rsid w:val="09CB578A"/>
    <w:rsid w:val="0F427144"/>
    <w:rsid w:val="0F6865B2"/>
    <w:rsid w:val="0F9C6A6C"/>
    <w:rsid w:val="1124087B"/>
    <w:rsid w:val="130D1F16"/>
    <w:rsid w:val="15F0193F"/>
    <w:rsid w:val="16586A57"/>
    <w:rsid w:val="16EF2001"/>
    <w:rsid w:val="1781499D"/>
    <w:rsid w:val="17B96491"/>
    <w:rsid w:val="1A9B5FFB"/>
    <w:rsid w:val="1B951E05"/>
    <w:rsid w:val="203F5CE6"/>
    <w:rsid w:val="252A6495"/>
    <w:rsid w:val="26614AE7"/>
    <w:rsid w:val="26A36964"/>
    <w:rsid w:val="2B6F06D4"/>
    <w:rsid w:val="2C0B329E"/>
    <w:rsid w:val="2C8B760D"/>
    <w:rsid w:val="2DCF6290"/>
    <w:rsid w:val="2EE23DA1"/>
    <w:rsid w:val="30C82B42"/>
    <w:rsid w:val="32E87DD1"/>
    <w:rsid w:val="33F15215"/>
    <w:rsid w:val="35584BB1"/>
    <w:rsid w:val="36F20F59"/>
    <w:rsid w:val="36FF0897"/>
    <w:rsid w:val="38620F4A"/>
    <w:rsid w:val="38784A32"/>
    <w:rsid w:val="3A5C534F"/>
    <w:rsid w:val="3AA307AA"/>
    <w:rsid w:val="3AD2116E"/>
    <w:rsid w:val="3AF7062E"/>
    <w:rsid w:val="3C990195"/>
    <w:rsid w:val="3D4A148F"/>
    <w:rsid w:val="3D51281E"/>
    <w:rsid w:val="3D766728"/>
    <w:rsid w:val="3F351791"/>
    <w:rsid w:val="42417305"/>
    <w:rsid w:val="43F47C2B"/>
    <w:rsid w:val="442D7AA8"/>
    <w:rsid w:val="45B222C8"/>
    <w:rsid w:val="46AB0BAA"/>
    <w:rsid w:val="4B86017E"/>
    <w:rsid w:val="4BB26B7D"/>
    <w:rsid w:val="4F835253"/>
    <w:rsid w:val="4FB149B9"/>
    <w:rsid w:val="50430A48"/>
    <w:rsid w:val="50810E77"/>
    <w:rsid w:val="522B1438"/>
    <w:rsid w:val="52957526"/>
    <w:rsid w:val="539C47DE"/>
    <w:rsid w:val="57A36574"/>
    <w:rsid w:val="58D72375"/>
    <w:rsid w:val="5A1D1FAE"/>
    <w:rsid w:val="5A2A3748"/>
    <w:rsid w:val="5CEE0127"/>
    <w:rsid w:val="5DAF6DF6"/>
    <w:rsid w:val="5EEC01A1"/>
    <w:rsid w:val="61E865CA"/>
    <w:rsid w:val="63750765"/>
    <w:rsid w:val="64F466B7"/>
    <w:rsid w:val="654C0859"/>
    <w:rsid w:val="65B0017A"/>
    <w:rsid w:val="677734BF"/>
    <w:rsid w:val="68F24605"/>
    <w:rsid w:val="69C67144"/>
    <w:rsid w:val="6AD77E43"/>
    <w:rsid w:val="6FA3415F"/>
    <w:rsid w:val="710B7010"/>
    <w:rsid w:val="712E3A4E"/>
    <w:rsid w:val="71BA3A22"/>
    <w:rsid w:val="71CD3E62"/>
    <w:rsid w:val="724D0AFE"/>
    <w:rsid w:val="72E83474"/>
    <w:rsid w:val="72F62F44"/>
    <w:rsid w:val="7305227F"/>
    <w:rsid w:val="75A35A24"/>
    <w:rsid w:val="764A3CD3"/>
    <w:rsid w:val="78362761"/>
    <w:rsid w:val="78BC52C2"/>
    <w:rsid w:val="79F966D5"/>
    <w:rsid w:val="7A376099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after="120" w:afterLines="0"/>
    </w:pPr>
  </w:style>
  <w:style w:type="paragraph" w:styleId="9">
    <w:name w:val="Body Text First Indent"/>
    <w:basedOn w:val="8"/>
    <w:next w:val="10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10">
    <w:name w:val="toc 6"/>
    <w:basedOn w:val="1"/>
    <w:next w:val="1"/>
    <w:autoRedefine/>
    <w:qFormat/>
    <w:uiPriority w:val="0"/>
    <w:pPr>
      <w:ind w:left="2100" w:leftChars="1000"/>
    </w:pPr>
  </w:style>
  <w:style w:type="paragraph" w:styleId="11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basedOn w:val="19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8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3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29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11</TotalTime>
  <ScaleCrop>false</ScaleCrop>
  <LinksUpToDate>false</LinksUpToDate>
  <CharactersWithSpaces>2342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2024-01-24T01:43:49Z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BDC350B777C44DFDACB8FBB696258D1E</vt:lpwstr>
  </property>
</Properties>
</file>