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840"/>
        </w:tabs>
        <w:adjustRightInd/>
        <w:snapToGrid/>
        <w:spacing w:before="120" w:after="120" w:line="240" w:lineRule="auto"/>
        <w:jc w:val="center"/>
        <w:rPr>
          <w:rFonts w:hint="eastAsia"/>
          <w:b/>
          <w:bCs/>
          <w:sz w:val="32"/>
          <w:szCs w:val="32"/>
        </w:rPr>
      </w:pPr>
      <w:bookmarkStart w:id="0" w:name="_Toc451522337"/>
      <w:r>
        <w:rPr>
          <w:rFonts w:hint="eastAsia" w:ascii="宋体" w:hAnsi="宋体" w:eastAsia="宋体" w:cs="宋体"/>
          <w:color w:val="000000"/>
          <w:sz w:val="32"/>
          <w:szCs w:val="32"/>
        </w:rPr>
        <w:t>温州市中医院</w:t>
      </w:r>
      <w:r>
        <w:rPr>
          <w:rFonts w:hint="eastAsia" w:hAnsi="宋体" w:cs="宋体"/>
          <w:color w:val="000000"/>
          <w:sz w:val="32"/>
          <w:szCs w:val="32"/>
          <w:lang w:val="en-US" w:eastAsia="zh-CN"/>
        </w:rPr>
        <w:t>2024年在职员工公共交通意外险购买</w:t>
      </w:r>
      <w:r>
        <w:rPr>
          <w:rFonts w:hint="eastAsia" w:ascii="宋体" w:hAnsi="宋体" w:eastAsia="宋体" w:cs="宋体"/>
          <w:color w:val="000000"/>
          <w:sz w:val="32"/>
          <w:szCs w:val="32"/>
        </w:rPr>
        <w:t>采购</w:t>
      </w:r>
      <w:bookmarkEnd w:id="0"/>
      <w:r>
        <w:rPr>
          <w:rFonts w:hint="eastAsia" w:ascii="宋体" w:hAnsi="宋体" w:eastAsia="宋体" w:cs="宋体"/>
          <w:color w:val="000000"/>
          <w:sz w:val="32"/>
          <w:szCs w:val="32"/>
          <w:lang w:val="en-US" w:eastAsia="zh-CN"/>
        </w:rPr>
        <w:t>文件</w:t>
      </w:r>
    </w:p>
    <w:p>
      <w:pPr>
        <w:spacing w:line="360" w:lineRule="auto"/>
        <w:rPr>
          <w:rFonts w:hint="eastAsia"/>
          <w:b/>
          <w:bCs/>
          <w:sz w:val="28"/>
          <w:szCs w:val="28"/>
        </w:rPr>
      </w:pPr>
      <w:r>
        <w:rPr>
          <w:rFonts w:hint="eastAsia"/>
          <w:b/>
          <w:bCs/>
          <w:sz w:val="28"/>
          <w:szCs w:val="28"/>
        </w:rPr>
        <w:t>一、项目概况</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r>
        <w:rPr>
          <w:rFonts w:hint="eastAsia" w:ascii="宋体" w:hAnsi="宋体" w:eastAsia="宋体" w:cs="宋体"/>
          <w:sz w:val="24"/>
          <w:szCs w:val="24"/>
          <w:lang w:val="en-US" w:eastAsia="zh-Hans"/>
        </w:rPr>
        <w:t>温州市中医院</w:t>
      </w:r>
      <w:r>
        <w:rPr>
          <w:rFonts w:hint="eastAsia" w:ascii="宋体" w:hAnsi="宋体" w:cs="宋体"/>
          <w:sz w:val="24"/>
          <w:szCs w:val="24"/>
          <w:lang w:val="en-US" w:eastAsia="zh-CN"/>
        </w:rPr>
        <w:t>2024年在职员工公共交通意外险购买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采购方式：公开遴选（非政府采购）</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预算金额：</w:t>
      </w:r>
      <w:r>
        <w:rPr>
          <w:rFonts w:hint="eastAsia" w:ascii="宋体" w:hAnsi="宋体" w:cs="宋体"/>
          <w:sz w:val="24"/>
          <w:szCs w:val="24"/>
          <w:lang w:val="en-US" w:eastAsia="zh-CN"/>
        </w:rPr>
        <w:t>30元/人▪年，预计参保员工数1679人（具体以实际为准）</w:t>
      </w:r>
    </w:p>
    <w:p>
      <w:pPr>
        <w:spacing w:line="400" w:lineRule="exact"/>
        <w:rPr>
          <w:rFonts w:hint="eastAsia" w:ascii="宋体" w:hAnsi="宋体" w:cs="宋体"/>
          <w:b/>
          <w:sz w:val="28"/>
          <w:szCs w:val="28"/>
        </w:rPr>
      </w:pPr>
      <w:r>
        <w:rPr>
          <w:rFonts w:hint="eastAsia" w:ascii="宋体" w:hAnsi="宋体" w:cs="宋体"/>
          <w:b/>
          <w:sz w:val="28"/>
          <w:szCs w:val="28"/>
          <w:lang w:val="en-US" w:eastAsia="zh-CN"/>
        </w:rPr>
        <w:t>二</w:t>
      </w:r>
      <w:r>
        <w:rPr>
          <w:rFonts w:hint="eastAsia" w:ascii="宋体" w:hAnsi="宋体" w:cs="宋体"/>
          <w:b/>
          <w:sz w:val="28"/>
          <w:szCs w:val="28"/>
          <w:lang w:eastAsia="zh-CN"/>
        </w:rPr>
        <w:t>、</w:t>
      </w:r>
      <w:r>
        <w:rPr>
          <w:rFonts w:hint="eastAsia" w:ascii="宋体" w:hAnsi="宋体" w:cs="宋体"/>
          <w:b/>
          <w:sz w:val="28"/>
          <w:szCs w:val="28"/>
        </w:rPr>
        <w:t>项目具体内容和方案</w:t>
      </w:r>
    </w:p>
    <w:p>
      <w:pPr>
        <w:numPr>
          <w:ilvl w:val="0"/>
          <w:numId w:val="0"/>
        </w:numPr>
        <w:spacing w:line="360" w:lineRule="auto"/>
        <w:ind w:firstLine="48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4"/>
          <w:szCs w:val="24"/>
          <w:lang w:val="en-US" w:eastAsia="zh-CN"/>
        </w:rPr>
        <w:t>请按以下内容和方案进行报价：</w:t>
      </w:r>
    </w:p>
    <w:tbl>
      <w:tblPr>
        <w:tblStyle w:val="1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967"/>
        <w:gridCol w:w="1343"/>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5" w:type="dxa"/>
            <w:noWrap w:val="0"/>
            <w:vAlign w:val="center"/>
          </w:tcPr>
          <w:p>
            <w:pPr>
              <w:snapToGrid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967" w:type="dxa"/>
            <w:noWrap w:val="0"/>
            <w:vAlign w:val="center"/>
          </w:tcPr>
          <w:p>
            <w:pPr>
              <w:snapToGrid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保障项目</w:t>
            </w:r>
          </w:p>
        </w:tc>
        <w:tc>
          <w:tcPr>
            <w:tcW w:w="1343" w:type="dxa"/>
            <w:noWrap w:val="0"/>
            <w:vAlign w:val="center"/>
          </w:tcPr>
          <w:p>
            <w:pPr>
              <w:snapToGrid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保险金额</w:t>
            </w:r>
          </w:p>
          <w:p>
            <w:pPr>
              <w:snapToGrid w:val="0"/>
              <w:spacing w:line="400" w:lineRule="exact"/>
              <w:jc w:val="center"/>
              <w:rPr>
                <w:rFonts w:hint="eastAsia" w:ascii="宋体" w:hAnsi="宋体" w:eastAsia="宋体" w:cs="宋体"/>
                <w:b/>
                <w:bCs/>
                <w:sz w:val="21"/>
                <w:szCs w:val="21"/>
              </w:rPr>
            </w:pPr>
            <w:r>
              <w:rPr>
                <w:rFonts w:hint="eastAsia" w:ascii="宋体" w:hAnsi="宋体" w:eastAsia="宋体" w:cs="宋体"/>
                <w:b/>
                <w:bCs/>
                <w:sz w:val="21"/>
                <w:szCs w:val="21"/>
              </w:rPr>
              <w:t>（万元）</w:t>
            </w:r>
          </w:p>
        </w:tc>
        <w:tc>
          <w:tcPr>
            <w:tcW w:w="2442" w:type="dxa"/>
            <w:noWrap w:val="0"/>
            <w:vAlign w:val="center"/>
          </w:tcPr>
          <w:p>
            <w:pPr>
              <w:snapToGrid w:val="0"/>
              <w:spacing w:line="400" w:lineRule="exact"/>
              <w:jc w:val="center"/>
              <w:rPr>
                <w:rFonts w:hint="eastAsia" w:ascii="宋体" w:hAnsi="宋体" w:eastAsia="宋体" w:cs="宋体"/>
                <w:b/>
                <w:bCs/>
                <w:sz w:val="28"/>
                <w:szCs w:val="28"/>
                <w:lang w:val="en-US" w:eastAsia="zh-CN"/>
              </w:rPr>
            </w:pPr>
            <w:r>
              <w:rPr>
                <w:rFonts w:hint="eastAsia" w:ascii="宋体" w:hAnsi="宋体" w:eastAsia="宋体" w:cs="宋体"/>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967"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飞机意外身故/残疾</w:t>
            </w:r>
          </w:p>
        </w:tc>
        <w:tc>
          <w:tcPr>
            <w:tcW w:w="1343"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320</w:t>
            </w:r>
          </w:p>
        </w:tc>
        <w:tc>
          <w:tcPr>
            <w:tcW w:w="2442" w:type="dxa"/>
            <w:vMerge w:val="restart"/>
            <w:noWrap w:val="0"/>
            <w:vAlign w:val="center"/>
          </w:tcPr>
          <w:p>
            <w:pPr>
              <w:snapToGrid w:val="0"/>
              <w:spacing w:line="500" w:lineRule="exact"/>
              <w:jc w:val="left"/>
              <w:rPr>
                <w:rFonts w:hint="default" w:ascii="宋体" w:hAnsi="宋体" w:eastAsia="宋体" w:cs="宋体"/>
                <w:sz w:val="28"/>
                <w:szCs w:val="28"/>
                <w:lang w:val="en-US" w:eastAsia="zh-CN"/>
              </w:rPr>
            </w:pPr>
            <w:r>
              <w:rPr>
                <w:rFonts w:hint="eastAsia" w:ascii="宋体" w:hAnsi="宋体" w:eastAsia="宋体" w:cs="宋体"/>
                <w:sz w:val="21"/>
                <w:szCs w:val="21"/>
                <w:lang w:val="en-US" w:eastAsia="zh-CN"/>
              </w:rPr>
              <w:t>合同期限内，</w:t>
            </w:r>
            <w:r>
              <w:rPr>
                <w:rFonts w:hint="eastAsia" w:ascii="宋体" w:hAnsi="宋体" w:cs="宋体"/>
                <w:sz w:val="21"/>
                <w:szCs w:val="21"/>
                <w:lang w:val="en-US" w:eastAsia="zh-CN"/>
              </w:rPr>
              <w:t>同时在保持合同</w:t>
            </w:r>
            <w:r>
              <w:rPr>
                <w:rFonts w:hint="eastAsia" w:ascii="宋体" w:hAnsi="宋体" w:eastAsia="宋体" w:cs="宋体"/>
                <w:sz w:val="21"/>
                <w:szCs w:val="21"/>
                <w:lang w:val="en-US" w:eastAsia="zh-CN"/>
              </w:rPr>
              <w:t>参保员工数</w:t>
            </w:r>
            <w:r>
              <w:rPr>
                <w:rFonts w:hint="eastAsia" w:ascii="宋体" w:hAnsi="宋体" w:cs="宋体"/>
                <w:sz w:val="21"/>
                <w:szCs w:val="21"/>
                <w:lang w:val="en-US" w:eastAsia="zh-CN"/>
              </w:rPr>
              <w:t>不变的前提下，</w:t>
            </w:r>
            <w:r>
              <w:rPr>
                <w:rFonts w:hint="eastAsia" w:ascii="宋体" w:hAnsi="宋体" w:eastAsia="宋体" w:cs="宋体"/>
                <w:sz w:val="21"/>
                <w:szCs w:val="21"/>
                <w:lang w:val="en-US" w:eastAsia="zh-CN"/>
              </w:rPr>
              <w:t>若采购方</w:t>
            </w:r>
            <w:r>
              <w:rPr>
                <w:rFonts w:hint="eastAsia" w:ascii="宋体" w:hAnsi="宋体" w:cs="宋体"/>
                <w:sz w:val="21"/>
                <w:szCs w:val="21"/>
                <w:lang w:val="en-US" w:eastAsia="zh-CN"/>
              </w:rPr>
              <w:t>发生</w:t>
            </w:r>
            <w:r>
              <w:rPr>
                <w:rFonts w:hint="eastAsia" w:ascii="宋体" w:hAnsi="宋体" w:eastAsia="宋体" w:cs="宋体"/>
                <w:sz w:val="21"/>
                <w:szCs w:val="21"/>
                <w:lang w:val="en-US" w:eastAsia="zh-CN"/>
              </w:rPr>
              <w:t>在职职工退休或新进职工的情况，可根据采购方需求进行参保人员替换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3967"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火车（含地铁、轻轨等其他轨道交通工具）意外身故/残疾</w:t>
            </w:r>
          </w:p>
        </w:tc>
        <w:tc>
          <w:tcPr>
            <w:tcW w:w="1343"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210</w:t>
            </w:r>
          </w:p>
        </w:tc>
        <w:tc>
          <w:tcPr>
            <w:tcW w:w="2442" w:type="dxa"/>
            <w:vMerge w:val="continue"/>
            <w:noWrap w:val="0"/>
            <w:vAlign w:val="center"/>
          </w:tcPr>
          <w:p>
            <w:pPr>
              <w:snapToGrid w:val="0"/>
              <w:spacing w:line="50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3967"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轮船（含其他水上公共交通工具）意外身故/残疾</w:t>
            </w:r>
          </w:p>
        </w:tc>
        <w:tc>
          <w:tcPr>
            <w:tcW w:w="1343"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210</w:t>
            </w:r>
          </w:p>
        </w:tc>
        <w:tc>
          <w:tcPr>
            <w:tcW w:w="2442" w:type="dxa"/>
            <w:vMerge w:val="continue"/>
            <w:noWrap w:val="0"/>
            <w:vAlign w:val="center"/>
          </w:tcPr>
          <w:p>
            <w:pPr>
              <w:snapToGrid w:val="0"/>
              <w:spacing w:line="500" w:lineRule="exact"/>
              <w:jc w:val="center"/>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5"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3967" w:type="dxa"/>
            <w:noWrap w:val="0"/>
            <w:vAlign w:val="center"/>
          </w:tcPr>
          <w:p>
            <w:pPr>
              <w:snapToGrid w:val="0"/>
              <w:spacing w:line="400" w:lineRule="exact"/>
              <w:jc w:val="center"/>
              <w:rPr>
                <w:rFonts w:hint="eastAsia" w:ascii="宋体" w:hAnsi="宋体" w:eastAsia="宋体" w:cs="宋体"/>
                <w:sz w:val="21"/>
                <w:szCs w:val="21"/>
              </w:rPr>
            </w:pPr>
            <w:r>
              <w:rPr>
                <w:rFonts w:hint="eastAsia" w:ascii="宋体" w:hAnsi="宋体" w:eastAsia="宋体" w:cs="宋体"/>
                <w:sz w:val="21"/>
                <w:szCs w:val="21"/>
              </w:rPr>
              <w:t>汽车（含客运汽车、旅游客车、公共汽车、出租车、网约车)意外身故/残疾</w:t>
            </w:r>
          </w:p>
        </w:tc>
        <w:tc>
          <w:tcPr>
            <w:tcW w:w="1343" w:type="dxa"/>
            <w:noWrap w:val="0"/>
            <w:vAlign w:val="center"/>
          </w:tcPr>
          <w:p>
            <w:pPr>
              <w:snapToGrid w:val="0"/>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110</w:t>
            </w:r>
          </w:p>
        </w:tc>
        <w:tc>
          <w:tcPr>
            <w:tcW w:w="2442" w:type="dxa"/>
            <w:vMerge w:val="continue"/>
            <w:noWrap w:val="0"/>
            <w:vAlign w:val="center"/>
          </w:tcPr>
          <w:p>
            <w:pPr>
              <w:snapToGrid w:val="0"/>
              <w:spacing w:line="500" w:lineRule="exact"/>
              <w:jc w:val="center"/>
              <w:rPr>
                <w:rFonts w:hint="eastAsia" w:ascii="宋体" w:hAnsi="宋体" w:eastAsia="宋体" w:cs="宋体"/>
                <w:sz w:val="28"/>
                <w:szCs w:val="28"/>
                <w:lang w:val="en-US" w:eastAsia="zh-CN"/>
              </w:rPr>
            </w:pPr>
          </w:p>
        </w:tc>
      </w:tr>
    </w:tbl>
    <w:p>
      <w:pPr>
        <w:spacing w:line="360" w:lineRule="auto"/>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三</w:t>
      </w:r>
      <w:r>
        <w:rPr>
          <w:rFonts w:hint="eastAsia" w:ascii="宋体" w:hAnsi="宋体"/>
          <w:b/>
          <w:bCs/>
          <w:color w:val="000000"/>
          <w:sz w:val="28"/>
          <w:szCs w:val="28"/>
        </w:rPr>
        <w:t>、</w:t>
      </w:r>
      <w:r>
        <w:rPr>
          <w:rFonts w:hint="eastAsia" w:ascii="宋体" w:hAnsi="宋体"/>
          <w:b/>
          <w:bCs/>
          <w:color w:val="000000"/>
          <w:sz w:val="28"/>
          <w:szCs w:val="28"/>
          <w:lang w:val="en-US" w:eastAsia="zh-CN"/>
        </w:rPr>
        <w:t>投保生效及付款方式</w:t>
      </w:r>
    </w:p>
    <w:p>
      <w:pPr>
        <w:pStyle w:val="6"/>
        <w:spacing w:line="360" w:lineRule="auto"/>
        <w:ind w:left="0" w:leftChars="0" w:firstLine="480" w:firstLineChars="200"/>
        <w:rPr>
          <w:rFonts w:hint="eastAsia" w:ascii="宋体" w:hAnsi="宋体" w:cs="黑体"/>
          <w:b w:val="0"/>
          <w:bCs w:val="0"/>
          <w:sz w:val="24"/>
          <w:szCs w:val="24"/>
          <w:lang w:val="en-US" w:eastAsia="zh-CN"/>
        </w:rPr>
      </w:pPr>
      <w:r>
        <w:rPr>
          <w:rFonts w:hint="eastAsia" w:ascii="宋体" w:hAnsi="宋体" w:cs="黑体"/>
          <w:b w:val="0"/>
          <w:bCs w:val="0"/>
          <w:sz w:val="24"/>
          <w:szCs w:val="24"/>
          <w:lang w:val="en-US" w:eastAsia="zh-CN"/>
        </w:rPr>
        <w:t>合同签订后，中标人在5个工作日内完成采购方所有参保在职员工公共交通意外险的投保生效，并向采购方开具实际金额（参保员工数量*中标每人▪年价格）的发票，采购方在收到发票后3个月内向中标人支付全部价款。</w:t>
      </w:r>
    </w:p>
    <w:p>
      <w:pPr>
        <w:spacing w:line="360" w:lineRule="auto"/>
        <w:rPr>
          <w:rFonts w:hint="default"/>
          <w:lang w:val="en-US" w:eastAsia="zh-CN"/>
        </w:rPr>
      </w:pPr>
      <w:r>
        <w:rPr>
          <w:rFonts w:hint="eastAsia" w:ascii="宋体" w:hAnsi="宋体"/>
          <w:b/>
          <w:bCs/>
          <w:color w:val="000000"/>
          <w:sz w:val="28"/>
          <w:szCs w:val="28"/>
          <w:lang w:val="en-US" w:eastAsia="zh-CN"/>
        </w:rPr>
        <w:t>四</w:t>
      </w:r>
      <w:r>
        <w:rPr>
          <w:rFonts w:hint="eastAsia" w:ascii="宋体" w:hAnsi="宋体"/>
          <w:b/>
          <w:bCs/>
          <w:color w:val="000000"/>
          <w:sz w:val="28"/>
          <w:szCs w:val="28"/>
        </w:rPr>
        <w:t>、</w:t>
      </w:r>
      <w:r>
        <w:rPr>
          <w:rFonts w:hint="eastAsia" w:ascii="宋体" w:hAnsi="宋体"/>
          <w:b/>
          <w:bCs/>
          <w:color w:val="000000"/>
          <w:sz w:val="28"/>
          <w:szCs w:val="28"/>
          <w:lang w:val="en-US" w:eastAsia="zh-CN"/>
        </w:rPr>
        <w:t>合同期限</w:t>
      </w:r>
    </w:p>
    <w:p>
      <w:pPr>
        <w:spacing w:line="360" w:lineRule="auto"/>
        <w:ind w:firstLine="480" w:firstLineChars="200"/>
        <w:rPr>
          <w:rFonts w:hint="default" w:ascii="宋体" w:hAnsi="宋体" w:cs="黑体"/>
          <w:b w:val="0"/>
          <w:bCs w:val="0"/>
          <w:sz w:val="24"/>
          <w:szCs w:val="24"/>
          <w:lang w:val="en-US" w:eastAsia="zh-CN"/>
        </w:rPr>
      </w:pPr>
      <w:r>
        <w:rPr>
          <w:rFonts w:hint="eastAsia" w:ascii="宋体" w:hAnsi="宋体" w:cs="黑体"/>
          <w:b w:val="0"/>
          <w:bCs w:val="0"/>
          <w:sz w:val="24"/>
          <w:szCs w:val="24"/>
          <w:lang w:val="en-US" w:eastAsia="zh-CN"/>
        </w:rPr>
        <w:t>双方合同签订后，自保险生效之日起1年。若承保公司（中标方）的服务在合同期内另采购方满意，经双方同意可以续签1年的合同，同时新一年合同价格（元/人▪年）不高于上一年度的合同金额（元/人▪年）。</w:t>
      </w:r>
    </w:p>
    <w:p>
      <w:pPr>
        <w:spacing w:line="360" w:lineRule="auto"/>
        <w:rPr>
          <w:rFonts w:hint="eastAsia" w:eastAsia="宋体"/>
          <w:lang w:val="en-US" w:eastAsia="zh-CN"/>
        </w:rPr>
      </w:pPr>
      <w:r>
        <w:rPr>
          <w:rFonts w:hint="eastAsia" w:ascii="宋体" w:hAnsi="宋体"/>
          <w:b/>
          <w:bCs/>
          <w:color w:val="000000"/>
          <w:sz w:val="28"/>
          <w:szCs w:val="28"/>
          <w:lang w:val="en-US" w:eastAsia="zh-CN"/>
        </w:rPr>
        <w:t>五</w:t>
      </w:r>
      <w:r>
        <w:rPr>
          <w:rFonts w:hint="eastAsia" w:ascii="宋体" w:hAnsi="宋体"/>
          <w:b/>
          <w:bCs/>
          <w:color w:val="000000"/>
          <w:sz w:val="28"/>
          <w:szCs w:val="28"/>
        </w:rPr>
        <w:t>、</w:t>
      </w:r>
      <w:r>
        <w:rPr>
          <w:rFonts w:hint="eastAsia" w:ascii="宋体" w:hAnsi="宋体"/>
          <w:b/>
          <w:bCs/>
          <w:color w:val="000000"/>
          <w:sz w:val="28"/>
          <w:szCs w:val="28"/>
          <w:lang w:val="en-US" w:eastAsia="zh-CN"/>
        </w:rPr>
        <w:t>其他</w:t>
      </w:r>
    </w:p>
    <w:p>
      <w:pPr>
        <w:numPr>
          <w:ilvl w:val="0"/>
          <w:numId w:val="0"/>
        </w:numPr>
        <w:spacing w:line="360" w:lineRule="auto"/>
        <w:ind w:firstLine="480" w:firstLineChars="200"/>
        <w:rPr>
          <w:rFonts w:hint="default"/>
          <w:b w:val="0"/>
          <w:bCs w:val="0"/>
          <w:color w:val="auto"/>
          <w:sz w:val="24"/>
          <w:szCs w:val="24"/>
          <w:lang w:eastAsia="zh-CN"/>
        </w:rPr>
      </w:pPr>
      <w:r>
        <w:rPr>
          <w:rFonts w:hint="eastAsia"/>
          <w:b w:val="0"/>
          <w:bCs w:val="0"/>
          <w:color w:val="auto"/>
          <w:sz w:val="24"/>
          <w:szCs w:val="24"/>
          <w:lang w:val="en-US" w:eastAsia="zh-CN"/>
        </w:rPr>
        <w:t>1、</w:t>
      </w:r>
      <w:r>
        <w:rPr>
          <w:rFonts w:hint="default"/>
          <w:b w:val="0"/>
          <w:bCs w:val="0"/>
          <w:color w:val="auto"/>
          <w:sz w:val="24"/>
          <w:szCs w:val="24"/>
          <w:lang w:eastAsia="zh-CN"/>
        </w:rPr>
        <w:t>如有同一保险公司的不同子公司参加询价，以递交标书先后排序，同一保险公司只接受第一家递交标书的子公司参与询价。</w:t>
      </w:r>
    </w:p>
    <w:p>
      <w:pPr>
        <w:numPr>
          <w:ilvl w:val="0"/>
          <w:numId w:val="0"/>
        </w:numPr>
        <w:spacing w:line="360" w:lineRule="auto"/>
        <w:ind w:firstLine="480" w:firstLineChars="200"/>
        <w:rPr>
          <w:rFonts w:hint="eastAsia" w:ascii="宋体" w:hAnsi="宋体" w:cs="黑体"/>
          <w:b w:val="0"/>
          <w:bCs w:val="0"/>
          <w:sz w:val="24"/>
          <w:szCs w:val="24"/>
          <w:lang w:val="en-US" w:eastAsia="zh-CN"/>
        </w:rPr>
      </w:pPr>
      <w:r>
        <w:rPr>
          <w:rFonts w:hint="eastAsia"/>
          <w:b w:val="0"/>
          <w:bCs w:val="0"/>
          <w:color w:val="auto"/>
          <w:sz w:val="24"/>
          <w:szCs w:val="24"/>
          <w:u w:val="single"/>
          <w:lang w:val="en-US" w:eastAsia="zh-CN"/>
        </w:rPr>
        <w:t>▲2、投标人名称、后续合同签署承保人名称、发票销售方名称需保持一致。</w:t>
      </w:r>
      <w:r>
        <w:rPr>
          <w:rFonts w:hint="eastAsia"/>
          <w:b/>
          <w:bCs/>
          <w:color w:val="auto"/>
          <w:sz w:val="24"/>
          <w:szCs w:val="24"/>
          <w:u w:val="single"/>
          <w:lang w:val="en-US" w:eastAsia="zh-CN"/>
        </w:rPr>
        <w:t>（提供承诺书）</w:t>
      </w:r>
      <w:bookmarkStart w:id="1" w:name="_GoBack"/>
      <w:bookmarkEnd w:id="1"/>
    </w:p>
    <w:p>
      <w:pPr>
        <w:spacing w:line="360" w:lineRule="auto"/>
        <w:rPr>
          <w:rFonts w:hint="default"/>
          <w:lang w:val="en-US" w:eastAsia="zh-CN"/>
        </w:rPr>
      </w:pPr>
      <w:r>
        <w:rPr>
          <w:rFonts w:hint="eastAsia" w:ascii="宋体" w:hAnsi="宋体"/>
          <w:b/>
          <w:bCs/>
          <w:color w:val="000000"/>
          <w:sz w:val="28"/>
          <w:szCs w:val="28"/>
          <w:lang w:val="en-US" w:eastAsia="zh-CN"/>
        </w:rPr>
        <w:t>六</w:t>
      </w:r>
      <w:r>
        <w:rPr>
          <w:rFonts w:hint="eastAsia" w:ascii="宋体" w:hAnsi="宋体"/>
          <w:b/>
          <w:bCs/>
          <w:color w:val="000000"/>
          <w:sz w:val="28"/>
          <w:szCs w:val="28"/>
        </w:rPr>
        <w:t>、</w:t>
      </w:r>
      <w:r>
        <w:rPr>
          <w:rFonts w:hint="eastAsia" w:ascii="宋体" w:hAnsi="宋体"/>
          <w:b/>
          <w:bCs/>
          <w:color w:val="000000"/>
          <w:sz w:val="28"/>
          <w:szCs w:val="28"/>
          <w:lang w:val="en-US" w:eastAsia="zh-CN"/>
        </w:rPr>
        <w:t>评分细则</w:t>
      </w:r>
    </w:p>
    <w:p>
      <w:pPr>
        <w:spacing w:line="360" w:lineRule="auto"/>
        <w:ind w:firstLine="457" w:firstLineChars="196"/>
        <w:rPr>
          <w:rStyle w:val="19"/>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pacing w:val="-4"/>
          <w:sz w:val="24"/>
          <w:szCs w:val="24"/>
        </w:rPr>
        <w:t>1、商务技术分（0-</w:t>
      </w:r>
      <w:r>
        <w:rPr>
          <w:rFonts w:hint="eastAsia" w:asciiTheme="minorEastAsia" w:hAnsiTheme="minorEastAsia" w:eastAsiaTheme="minorEastAsia" w:cstheme="minorEastAsia"/>
          <w:b/>
          <w:bCs/>
          <w:spacing w:val="-4"/>
          <w:sz w:val="24"/>
          <w:szCs w:val="24"/>
          <w:lang w:val="en-US" w:eastAsia="zh-CN"/>
        </w:rPr>
        <w:t>70</w:t>
      </w:r>
      <w:r>
        <w:rPr>
          <w:rFonts w:hint="eastAsia" w:asciiTheme="minorEastAsia" w:hAnsiTheme="minorEastAsia" w:eastAsiaTheme="minorEastAsia" w:cstheme="minorEastAsia"/>
          <w:b/>
          <w:bCs/>
          <w:spacing w:val="-4"/>
          <w:sz w:val="24"/>
          <w:szCs w:val="24"/>
        </w:rPr>
        <w:t>分）</w:t>
      </w:r>
    </w:p>
    <w:tbl>
      <w:tblPr>
        <w:tblStyle w:val="16"/>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09"/>
        <w:gridCol w:w="816"/>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5" w:type="dxa"/>
            <w:vAlign w:val="center"/>
          </w:tcPr>
          <w:p>
            <w:pPr>
              <w:spacing w:line="360" w:lineRule="auto"/>
              <w:jc w:val="center"/>
              <w:rPr>
                <w:rFonts w:hint="eastAsia" w:ascii="宋体" w:hAnsi="宋体" w:cs="宋体"/>
                <w:sz w:val="22"/>
                <w:szCs w:val="22"/>
              </w:rPr>
            </w:pPr>
            <w:r>
              <w:rPr>
                <w:rFonts w:hint="eastAsia" w:ascii="宋体" w:hAnsi="宋体" w:cs="宋体"/>
                <w:sz w:val="22"/>
                <w:szCs w:val="22"/>
              </w:rPr>
              <w:t>序号</w:t>
            </w:r>
          </w:p>
        </w:tc>
        <w:tc>
          <w:tcPr>
            <w:tcW w:w="1509" w:type="dxa"/>
            <w:vAlign w:val="center"/>
          </w:tcPr>
          <w:p>
            <w:pPr>
              <w:spacing w:line="360" w:lineRule="auto"/>
              <w:jc w:val="center"/>
              <w:rPr>
                <w:rFonts w:hint="eastAsia" w:ascii="宋体" w:hAnsi="宋体" w:cs="宋体"/>
                <w:sz w:val="22"/>
                <w:szCs w:val="22"/>
              </w:rPr>
            </w:pPr>
            <w:r>
              <w:rPr>
                <w:rFonts w:hint="eastAsia" w:ascii="宋体" w:hAnsi="宋体" w:cs="宋体"/>
                <w:sz w:val="22"/>
                <w:szCs w:val="22"/>
              </w:rPr>
              <w:t>评分内容</w:t>
            </w:r>
          </w:p>
        </w:tc>
        <w:tc>
          <w:tcPr>
            <w:tcW w:w="816" w:type="dxa"/>
            <w:tcBorders>
              <w:bottom w:val="single" w:color="auto" w:sz="4" w:space="0"/>
            </w:tcBorders>
            <w:vAlign w:val="center"/>
          </w:tcPr>
          <w:p>
            <w:pPr>
              <w:pStyle w:val="15"/>
              <w:bidi w:val="0"/>
              <w:rPr>
                <w:rFonts w:hint="eastAsia" w:eastAsia="宋体"/>
                <w:lang w:val="en-US" w:eastAsia="zh-CN"/>
              </w:rPr>
            </w:pPr>
            <w:r>
              <w:rPr>
                <w:rFonts w:hint="eastAsia" w:ascii="宋体" w:hAnsi="宋体" w:cs="宋体"/>
                <w:b w:val="0"/>
                <w:bCs/>
                <w:sz w:val="22"/>
                <w:szCs w:val="22"/>
                <w:lang w:val="en-US" w:eastAsia="zh-CN"/>
              </w:rPr>
              <w:t>分值</w:t>
            </w:r>
          </w:p>
        </w:tc>
        <w:tc>
          <w:tcPr>
            <w:tcW w:w="6051" w:type="dxa"/>
            <w:vAlign w:val="center"/>
          </w:tcPr>
          <w:p>
            <w:pPr>
              <w:spacing w:line="360" w:lineRule="auto"/>
              <w:jc w:val="center"/>
              <w:rPr>
                <w:rFonts w:hint="eastAsia" w:ascii="宋体" w:hAnsi="宋体" w:cs="宋体"/>
                <w:sz w:val="22"/>
                <w:szCs w:val="22"/>
              </w:rPr>
            </w:pPr>
            <w:r>
              <w:rPr>
                <w:rFonts w:hint="eastAsia" w:ascii="宋体" w:hAnsi="宋体" w:cs="宋体"/>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6" w:hRule="atLeast"/>
          <w:jc w:val="center"/>
        </w:trPr>
        <w:tc>
          <w:tcPr>
            <w:tcW w:w="735" w:type="dxa"/>
            <w:vAlign w:val="center"/>
          </w:tcPr>
          <w:p>
            <w:pPr>
              <w:tabs>
                <w:tab w:val="left" w:pos="0"/>
              </w:tabs>
              <w:spacing w:line="360" w:lineRule="auto"/>
              <w:jc w:val="center"/>
              <w:rPr>
                <w:rFonts w:hint="eastAsia" w:ascii="宋体" w:hAnsi="宋体" w:cs="宋体"/>
                <w:sz w:val="22"/>
                <w:szCs w:val="22"/>
              </w:rPr>
            </w:pPr>
            <w:r>
              <w:rPr>
                <w:rFonts w:hint="eastAsia" w:ascii="宋体" w:hAnsi="宋体" w:cs="宋体"/>
                <w:sz w:val="22"/>
                <w:szCs w:val="22"/>
              </w:rPr>
              <w:t>1</w:t>
            </w:r>
          </w:p>
        </w:tc>
        <w:tc>
          <w:tcPr>
            <w:tcW w:w="1509" w:type="dxa"/>
            <w:vAlign w:val="center"/>
          </w:tcPr>
          <w:p>
            <w:pPr>
              <w:spacing w:line="360" w:lineRule="auto"/>
              <w:jc w:val="center"/>
              <w:rPr>
                <w:rFonts w:hint="eastAsia" w:ascii="宋体" w:hAnsi="宋体" w:cs="宋体"/>
                <w:snapToGrid w:val="0"/>
                <w:sz w:val="22"/>
                <w:szCs w:val="22"/>
              </w:rPr>
            </w:pPr>
            <w:r>
              <w:rPr>
                <w:rFonts w:hint="eastAsia" w:ascii="宋体" w:hAnsi="宋体" w:cs="宋体"/>
                <w:sz w:val="22"/>
                <w:szCs w:val="22"/>
              </w:rPr>
              <w:t>偿付能力</w:t>
            </w:r>
          </w:p>
        </w:tc>
        <w:tc>
          <w:tcPr>
            <w:tcW w:w="816" w:type="dxa"/>
            <w:vAlign w:val="center"/>
          </w:tcPr>
          <w:p>
            <w:pPr>
              <w:spacing w:line="360" w:lineRule="auto"/>
              <w:jc w:val="center"/>
              <w:rPr>
                <w:rFonts w:hint="eastAsia" w:ascii="宋体" w:hAnsi="宋体" w:cs="宋体"/>
                <w:snapToGrid w:val="0"/>
                <w:sz w:val="22"/>
                <w:szCs w:val="22"/>
              </w:rPr>
            </w:pPr>
            <w:r>
              <w:rPr>
                <w:rFonts w:hint="eastAsia" w:ascii="宋体" w:hAnsi="宋体" w:cs="宋体"/>
                <w:snapToGrid w:val="0"/>
                <w:sz w:val="22"/>
                <w:szCs w:val="22"/>
                <w:lang w:val="en-US" w:eastAsia="zh-CN"/>
              </w:rPr>
              <w:t>1</w:t>
            </w:r>
            <w:r>
              <w:rPr>
                <w:rFonts w:ascii="宋体" w:hAnsi="宋体" w:cs="宋体"/>
                <w:snapToGrid w:val="0"/>
                <w:sz w:val="22"/>
                <w:szCs w:val="22"/>
              </w:rPr>
              <w:t>0</w:t>
            </w:r>
          </w:p>
        </w:tc>
        <w:tc>
          <w:tcPr>
            <w:tcW w:w="6051" w:type="dxa"/>
            <w:vAlign w:val="center"/>
          </w:tcPr>
          <w:p>
            <w:pPr>
              <w:spacing w:line="360" w:lineRule="auto"/>
              <w:jc w:val="left"/>
              <w:rPr>
                <w:rFonts w:hint="eastAsia" w:ascii="宋体" w:hAnsi="宋体" w:cs="宋体"/>
                <w:sz w:val="22"/>
                <w:szCs w:val="22"/>
                <w:lang w:bidi="ar"/>
              </w:rPr>
            </w:pPr>
            <w:r>
              <w:rPr>
                <w:rFonts w:hint="eastAsia" w:ascii="宋体" w:hAnsi="宋体" w:cs="宋体"/>
                <w:sz w:val="22"/>
                <w:szCs w:val="22"/>
                <w:lang w:bidi="ar"/>
              </w:rPr>
              <w:t>投标供应商总公司2022年</w:t>
            </w:r>
            <w:r>
              <w:rPr>
                <w:rFonts w:hint="eastAsia" w:ascii="宋体" w:hAnsi="宋体" w:cs="宋体"/>
                <w:sz w:val="22"/>
                <w:szCs w:val="22"/>
                <w:lang w:val="en-US" w:eastAsia="zh-CN" w:bidi="ar"/>
              </w:rPr>
              <w:t>第四季</w:t>
            </w:r>
            <w:r>
              <w:rPr>
                <w:rFonts w:hint="eastAsia" w:ascii="宋体" w:hAnsi="宋体" w:cs="宋体"/>
                <w:sz w:val="22"/>
                <w:szCs w:val="22"/>
                <w:lang w:bidi="ar"/>
              </w:rPr>
              <w:t>度核心偿付能力充足率：</w:t>
            </w:r>
          </w:p>
          <w:p>
            <w:pPr>
              <w:spacing w:line="360" w:lineRule="auto"/>
              <w:jc w:val="left"/>
              <w:rPr>
                <w:rFonts w:hint="eastAsia" w:ascii="宋体" w:hAnsi="宋体" w:cs="宋体"/>
                <w:sz w:val="22"/>
                <w:szCs w:val="22"/>
                <w:lang w:bidi="ar"/>
              </w:rPr>
            </w:pPr>
            <w:r>
              <w:rPr>
                <w:rFonts w:hint="eastAsia" w:ascii="宋体" w:hAnsi="宋体" w:cs="宋体"/>
                <w:sz w:val="22"/>
                <w:szCs w:val="22"/>
                <w:lang w:bidi="ar"/>
              </w:rPr>
              <w:t>(1)核心偿付能力充足率</w:t>
            </w:r>
            <w:r>
              <w:rPr>
                <w:rFonts w:hint="eastAsia" w:ascii="宋体" w:hAnsi="宋体" w:cs="宋体"/>
                <w:sz w:val="22"/>
                <w:szCs w:val="22"/>
                <w:lang w:val="en-US" w:eastAsia="zh-CN" w:bidi="ar"/>
              </w:rPr>
              <w:t>≥</w:t>
            </w:r>
            <w:r>
              <w:rPr>
                <w:rFonts w:hint="eastAsia" w:ascii="宋体" w:hAnsi="宋体" w:cs="宋体"/>
                <w:sz w:val="22"/>
                <w:szCs w:val="22"/>
                <w:lang w:bidi="ar"/>
              </w:rPr>
              <w:t>200％，得10分；</w:t>
            </w:r>
          </w:p>
          <w:p>
            <w:pPr>
              <w:spacing w:line="360" w:lineRule="auto"/>
              <w:jc w:val="left"/>
              <w:rPr>
                <w:rFonts w:hint="eastAsia" w:ascii="宋体" w:hAnsi="宋体" w:cs="宋体"/>
                <w:sz w:val="22"/>
                <w:szCs w:val="22"/>
                <w:lang w:bidi="ar"/>
              </w:rPr>
            </w:pPr>
            <w:r>
              <w:rPr>
                <w:rFonts w:hint="eastAsia" w:ascii="宋体" w:hAnsi="宋体" w:cs="宋体"/>
                <w:sz w:val="22"/>
                <w:szCs w:val="22"/>
                <w:lang w:bidi="ar"/>
              </w:rPr>
              <w:t>(2)核心偿付能力充足率</w:t>
            </w:r>
            <w:r>
              <w:rPr>
                <w:rFonts w:hint="eastAsia" w:ascii="宋体" w:hAnsi="宋体" w:cs="宋体"/>
                <w:sz w:val="22"/>
                <w:szCs w:val="22"/>
                <w:lang w:val="en-US" w:eastAsia="zh-CN" w:bidi="ar"/>
              </w:rPr>
              <w:t>≥</w:t>
            </w:r>
            <w:r>
              <w:rPr>
                <w:rFonts w:hint="eastAsia" w:ascii="宋体" w:hAnsi="宋体" w:cs="宋体"/>
                <w:sz w:val="22"/>
                <w:szCs w:val="22"/>
                <w:lang w:bidi="ar"/>
              </w:rPr>
              <w:t>150％，得5分；</w:t>
            </w:r>
          </w:p>
          <w:p>
            <w:pPr>
              <w:spacing w:line="360" w:lineRule="auto"/>
              <w:jc w:val="left"/>
              <w:rPr>
                <w:rFonts w:hint="eastAsia" w:ascii="宋体" w:hAnsi="宋体" w:cs="宋体"/>
                <w:sz w:val="22"/>
                <w:szCs w:val="22"/>
                <w:lang w:bidi="ar"/>
              </w:rPr>
            </w:pPr>
            <w:r>
              <w:rPr>
                <w:rFonts w:hint="eastAsia" w:ascii="宋体" w:hAnsi="宋体" w:cs="宋体"/>
                <w:sz w:val="22"/>
                <w:szCs w:val="22"/>
                <w:lang w:bidi="ar"/>
              </w:rPr>
              <w:t>(3)核心偿付能力充足率</w:t>
            </w:r>
            <w:r>
              <w:rPr>
                <w:rFonts w:hint="eastAsia" w:ascii="宋体" w:hAnsi="宋体" w:cs="宋体"/>
                <w:sz w:val="22"/>
                <w:szCs w:val="22"/>
                <w:lang w:val="en-US" w:eastAsia="zh-CN" w:bidi="ar"/>
              </w:rPr>
              <w:t>＜</w:t>
            </w:r>
            <w:r>
              <w:rPr>
                <w:rFonts w:hint="eastAsia" w:ascii="宋体" w:hAnsi="宋体" w:cs="宋体"/>
                <w:sz w:val="22"/>
                <w:szCs w:val="22"/>
                <w:lang w:bidi="ar"/>
              </w:rPr>
              <w:t>150％的，不得分。</w:t>
            </w:r>
          </w:p>
          <w:p>
            <w:pPr>
              <w:spacing w:line="360" w:lineRule="auto"/>
              <w:jc w:val="left"/>
              <w:rPr>
                <w:rFonts w:hint="eastAsia" w:ascii="宋体" w:hAnsi="宋体" w:cs="宋体"/>
                <w:sz w:val="22"/>
                <w:szCs w:val="22"/>
                <w:lang w:bidi="ar"/>
              </w:rPr>
            </w:pPr>
            <w:r>
              <w:rPr>
                <w:rFonts w:hint="eastAsia" w:ascii="宋体" w:hAnsi="宋体" w:cs="宋体"/>
                <w:sz w:val="22"/>
                <w:szCs w:val="22"/>
                <w:lang w:bidi="ar"/>
              </w:rPr>
              <w:t>注：以2022年</w:t>
            </w:r>
            <w:r>
              <w:rPr>
                <w:rFonts w:hint="eastAsia" w:ascii="宋体" w:hAnsi="宋体" w:cs="宋体"/>
                <w:sz w:val="22"/>
                <w:szCs w:val="22"/>
                <w:lang w:val="en-US" w:eastAsia="zh-CN" w:bidi="ar"/>
              </w:rPr>
              <w:t>第四季</w:t>
            </w:r>
            <w:r>
              <w:rPr>
                <w:rFonts w:hint="eastAsia" w:ascii="宋体" w:hAnsi="宋体" w:cs="宋体"/>
                <w:sz w:val="22"/>
                <w:szCs w:val="22"/>
                <w:lang w:bidi="ar"/>
              </w:rPr>
              <w:t>度经会计事务所审计的审计报告数据为准，投标文件中提供2022年</w:t>
            </w:r>
            <w:r>
              <w:rPr>
                <w:rFonts w:hint="eastAsia" w:ascii="宋体" w:hAnsi="宋体" w:cs="宋体"/>
                <w:sz w:val="22"/>
                <w:szCs w:val="22"/>
                <w:lang w:val="en-US" w:eastAsia="zh-CN" w:bidi="ar"/>
              </w:rPr>
              <w:t>第四季</w:t>
            </w:r>
            <w:r>
              <w:rPr>
                <w:rFonts w:hint="eastAsia" w:ascii="宋体" w:hAnsi="宋体" w:cs="宋体"/>
                <w:sz w:val="22"/>
                <w:szCs w:val="22"/>
                <w:lang w:bidi="ar"/>
              </w:rPr>
              <w:t>度经会计事务所审计的审计报告数据相关界面复印件加盖投标供应商公章，否则不得分。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735" w:type="dxa"/>
            <w:vAlign w:val="center"/>
          </w:tcPr>
          <w:p>
            <w:pPr>
              <w:tabs>
                <w:tab w:val="left" w:pos="0"/>
              </w:tabs>
              <w:spacing w:line="360" w:lineRule="auto"/>
              <w:jc w:val="center"/>
              <w:rPr>
                <w:rFonts w:hint="eastAsia" w:ascii="宋体" w:hAnsi="宋体" w:cs="宋体"/>
                <w:sz w:val="22"/>
                <w:szCs w:val="22"/>
              </w:rPr>
            </w:pPr>
            <w:r>
              <w:rPr>
                <w:rFonts w:hint="eastAsia" w:ascii="宋体" w:hAnsi="宋体" w:cs="宋体"/>
                <w:sz w:val="22"/>
                <w:szCs w:val="22"/>
              </w:rPr>
              <w:t>2</w:t>
            </w:r>
          </w:p>
        </w:tc>
        <w:tc>
          <w:tcPr>
            <w:tcW w:w="1509" w:type="dxa"/>
            <w:vAlign w:val="center"/>
          </w:tcPr>
          <w:p>
            <w:pPr>
              <w:spacing w:line="360" w:lineRule="auto"/>
              <w:jc w:val="center"/>
              <w:rPr>
                <w:rFonts w:hint="eastAsia" w:ascii="宋体" w:hAnsi="宋体" w:cs="宋体"/>
                <w:sz w:val="22"/>
                <w:szCs w:val="22"/>
              </w:rPr>
            </w:pPr>
            <w:r>
              <w:rPr>
                <w:rFonts w:hint="eastAsia" w:ascii="宋体" w:hAnsi="宋体" w:cs="宋体"/>
                <w:sz w:val="22"/>
                <w:szCs w:val="22"/>
                <w:lang w:bidi="ar"/>
              </w:rPr>
              <w:t>经营评价</w:t>
            </w:r>
          </w:p>
        </w:tc>
        <w:tc>
          <w:tcPr>
            <w:tcW w:w="816" w:type="dxa"/>
            <w:vAlign w:val="center"/>
          </w:tcPr>
          <w:p>
            <w:pPr>
              <w:spacing w:line="360" w:lineRule="auto"/>
              <w:jc w:val="center"/>
              <w:rPr>
                <w:rFonts w:hint="eastAsia" w:ascii="宋体" w:hAnsi="宋体" w:cs="宋体"/>
                <w:sz w:val="22"/>
                <w:szCs w:val="22"/>
              </w:rPr>
            </w:pPr>
            <w:r>
              <w:rPr>
                <w:rFonts w:ascii="宋体" w:hAnsi="宋体" w:cs="宋体"/>
                <w:sz w:val="22"/>
                <w:szCs w:val="22"/>
              </w:rPr>
              <w:t>10</w:t>
            </w:r>
          </w:p>
        </w:tc>
        <w:tc>
          <w:tcPr>
            <w:tcW w:w="6051" w:type="dxa"/>
            <w:vAlign w:val="center"/>
          </w:tcPr>
          <w:p>
            <w:pPr>
              <w:spacing w:line="360" w:lineRule="auto"/>
              <w:rPr>
                <w:rFonts w:hint="eastAsia" w:ascii="宋体" w:hAnsi="宋体" w:cs="宋体"/>
                <w:sz w:val="22"/>
                <w:lang w:bidi="ar"/>
              </w:rPr>
            </w:pPr>
            <w:r>
              <w:rPr>
                <w:rFonts w:hint="eastAsia" w:ascii="宋体" w:hAnsi="宋体" w:cs="宋体"/>
                <w:sz w:val="22"/>
                <w:lang w:bidi="ar"/>
              </w:rPr>
              <w:t>投标供应商所属总公司202</w:t>
            </w:r>
            <w:r>
              <w:rPr>
                <w:rFonts w:hint="eastAsia" w:ascii="宋体" w:hAnsi="宋体" w:cs="宋体"/>
                <w:sz w:val="22"/>
                <w:lang w:val="en-US" w:eastAsia="zh-CN" w:bidi="ar"/>
              </w:rPr>
              <w:t>1</w:t>
            </w:r>
            <w:r>
              <w:rPr>
                <w:rFonts w:hint="eastAsia" w:ascii="宋体" w:hAnsi="宋体" w:cs="宋体"/>
                <w:sz w:val="22"/>
                <w:lang w:bidi="ar"/>
              </w:rPr>
              <w:t>年保险公司法人机构经营评价结果评分：获得A得</w:t>
            </w:r>
            <w:r>
              <w:rPr>
                <w:rFonts w:hint="eastAsia" w:ascii="宋体" w:hAnsi="宋体" w:cs="宋体"/>
                <w:sz w:val="22"/>
                <w:lang w:val="en-US" w:eastAsia="zh-CN" w:bidi="ar"/>
              </w:rPr>
              <w:t>10</w:t>
            </w:r>
            <w:r>
              <w:rPr>
                <w:rFonts w:hint="eastAsia" w:ascii="宋体" w:hAnsi="宋体" w:cs="宋体"/>
                <w:sz w:val="22"/>
                <w:lang w:bidi="ar"/>
              </w:rPr>
              <w:t>分，B得</w:t>
            </w:r>
            <w:r>
              <w:rPr>
                <w:rFonts w:hint="eastAsia" w:ascii="宋体" w:hAnsi="宋体" w:cs="宋体"/>
                <w:sz w:val="22"/>
                <w:lang w:val="en-US" w:eastAsia="zh-CN" w:bidi="ar"/>
              </w:rPr>
              <w:t>5</w:t>
            </w:r>
            <w:r>
              <w:rPr>
                <w:rFonts w:hint="eastAsia" w:ascii="宋体" w:hAnsi="宋体" w:cs="宋体"/>
                <w:sz w:val="22"/>
                <w:lang w:bidi="ar"/>
              </w:rPr>
              <w:t>分，C、D均不得分。</w:t>
            </w:r>
          </w:p>
          <w:p>
            <w:pPr>
              <w:spacing w:line="360" w:lineRule="auto"/>
              <w:rPr>
                <w:rFonts w:hint="eastAsia" w:ascii="宋体" w:hAnsi="宋体" w:cs="宋体"/>
                <w:sz w:val="22"/>
                <w:lang w:bidi="ar"/>
              </w:rPr>
            </w:pPr>
            <w:r>
              <w:rPr>
                <w:rFonts w:hint="eastAsia" w:ascii="宋体" w:hAnsi="宋体" w:cs="宋体"/>
                <w:sz w:val="22"/>
                <w:lang w:bidi="ar"/>
              </w:rPr>
              <w:t>注：以投标供应商提供中国保险行业协会出具的证明材料复印件加盖投标供应商公章为评审依据，未提供或提供的证明材料经评审小组认定无法体现是中国保险行业协会出具的证明不得分。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735" w:type="dxa"/>
            <w:vAlign w:val="center"/>
          </w:tcPr>
          <w:p>
            <w:pPr>
              <w:tabs>
                <w:tab w:val="left" w:pos="0"/>
              </w:tabs>
              <w:spacing w:line="360" w:lineRule="auto"/>
              <w:jc w:val="center"/>
              <w:rPr>
                <w:rFonts w:hint="eastAsia" w:ascii="宋体" w:hAnsi="宋体" w:cs="宋体"/>
                <w:sz w:val="22"/>
                <w:szCs w:val="22"/>
              </w:rPr>
            </w:pPr>
            <w:r>
              <w:rPr>
                <w:rFonts w:hint="eastAsia" w:ascii="宋体" w:hAnsi="宋体" w:cs="宋体"/>
                <w:sz w:val="22"/>
                <w:szCs w:val="22"/>
              </w:rPr>
              <w:t>3</w:t>
            </w:r>
          </w:p>
        </w:tc>
        <w:tc>
          <w:tcPr>
            <w:tcW w:w="1509" w:type="dxa"/>
            <w:vAlign w:val="center"/>
          </w:tcPr>
          <w:p>
            <w:pPr>
              <w:widowControl/>
              <w:spacing w:line="360" w:lineRule="exact"/>
              <w:jc w:val="center"/>
              <w:rPr>
                <w:rFonts w:ascii="宋体"/>
                <w:sz w:val="22"/>
                <w:szCs w:val="22"/>
              </w:rPr>
            </w:pPr>
            <w:r>
              <w:rPr>
                <w:rFonts w:hint="eastAsia" w:ascii="宋体" w:hAnsi="宋体" w:cs="宋体"/>
                <w:kern w:val="0"/>
                <w:sz w:val="22"/>
                <w:szCs w:val="22"/>
              </w:rPr>
              <w:t>服务网点</w:t>
            </w:r>
          </w:p>
        </w:tc>
        <w:tc>
          <w:tcPr>
            <w:tcW w:w="816" w:type="dxa"/>
            <w:vAlign w:val="center"/>
          </w:tcPr>
          <w:p>
            <w:pPr>
              <w:widowControl/>
              <w:spacing w:line="360" w:lineRule="exact"/>
              <w:jc w:val="center"/>
              <w:rPr>
                <w:rFonts w:ascii="宋体"/>
                <w:sz w:val="22"/>
                <w:szCs w:val="22"/>
              </w:rPr>
            </w:pPr>
            <w:r>
              <w:rPr>
                <w:rFonts w:ascii="宋体" w:hAnsi="宋体" w:cs="宋体"/>
                <w:kern w:val="0"/>
                <w:sz w:val="22"/>
                <w:szCs w:val="22"/>
              </w:rPr>
              <w:t>20</w:t>
            </w:r>
          </w:p>
        </w:tc>
        <w:tc>
          <w:tcPr>
            <w:tcW w:w="6051" w:type="dxa"/>
            <w:vAlign w:val="center"/>
          </w:tcPr>
          <w:p>
            <w:pPr>
              <w:jc w:val="left"/>
              <w:rPr>
                <w:rFonts w:hint="eastAsia" w:ascii="宋体"/>
                <w:sz w:val="22"/>
                <w:szCs w:val="22"/>
              </w:rPr>
            </w:pPr>
            <w:r>
              <w:rPr>
                <w:rFonts w:hint="eastAsia" w:ascii="宋体"/>
                <w:sz w:val="22"/>
                <w:szCs w:val="22"/>
              </w:rPr>
              <w:t>根据投标人在服务所在地服务覆盖面及给服务对象便利性综合评分。</w:t>
            </w:r>
          </w:p>
          <w:p>
            <w:pPr>
              <w:jc w:val="left"/>
              <w:rPr>
                <w:rFonts w:ascii="宋体"/>
                <w:sz w:val="22"/>
                <w:szCs w:val="22"/>
              </w:rPr>
            </w:pPr>
            <w:r>
              <w:rPr>
                <w:rFonts w:hint="eastAsia" w:ascii="宋体"/>
                <w:sz w:val="22"/>
                <w:szCs w:val="22"/>
              </w:rPr>
              <w:t>覆盖面最全面的得</w:t>
            </w:r>
            <w:r>
              <w:rPr>
                <w:rFonts w:ascii="宋体"/>
                <w:sz w:val="22"/>
                <w:szCs w:val="22"/>
              </w:rPr>
              <w:t>20</w:t>
            </w:r>
            <w:r>
              <w:rPr>
                <w:rFonts w:hint="eastAsia" w:ascii="宋体"/>
                <w:sz w:val="22"/>
                <w:szCs w:val="22"/>
              </w:rPr>
              <w:t>分，</w:t>
            </w:r>
            <w:r>
              <w:rPr>
                <w:rFonts w:hint="eastAsia" w:ascii="宋体"/>
                <w:sz w:val="22"/>
                <w:szCs w:val="22"/>
                <w:lang w:val="en-US" w:eastAsia="zh-CN"/>
              </w:rPr>
              <w:t>排名第二</w:t>
            </w:r>
            <w:r>
              <w:rPr>
                <w:rFonts w:hint="eastAsia" w:ascii="宋体"/>
                <w:sz w:val="22"/>
                <w:szCs w:val="22"/>
              </w:rPr>
              <w:t>得</w:t>
            </w:r>
            <w:r>
              <w:rPr>
                <w:rFonts w:ascii="宋体"/>
                <w:sz w:val="22"/>
                <w:szCs w:val="22"/>
              </w:rPr>
              <w:t>15</w:t>
            </w:r>
            <w:r>
              <w:rPr>
                <w:rFonts w:hint="eastAsia" w:ascii="宋体"/>
                <w:sz w:val="22"/>
                <w:szCs w:val="22"/>
              </w:rPr>
              <w:t>分，</w:t>
            </w:r>
            <w:r>
              <w:rPr>
                <w:rFonts w:hint="eastAsia" w:ascii="宋体"/>
                <w:sz w:val="22"/>
                <w:szCs w:val="22"/>
                <w:lang w:val="en-US" w:eastAsia="zh-CN"/>
              </w:rPr>
              <w:t>排名第三得10分，</w:t>
            </w:r>
            <w:r>
              <w:rPr>
                <w:rFonts w:hint="eastAsia" w:ascii="宋体"/>
                <w:sz w:val="22"/>
                <w:szCs w:val="22"/>
              </w:rPr>
              <w:t>以此递减，0分为止。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35" w:type="dxa"/>
            <w:vAlign w:val="center"/>
          </w:tcPr>
          <w:p>
            <w:pPr>
              <w:tabs>
                <w:tab w:val="left" w:pos="0"/>
              </w:tabs>
              <w:spacing w:line="360" w:lineRule="auto"/>
              <w:jc w:val="center"/>
              <w:rPr>
                <w:rFonts w:hint="eastAsia" w:ascii="宋体" w:hAnsi="宋体" w:cs="宋体"/>
                <w:sz w:val="22"/>
                <w:szCs w:val="22"/>
              </w:rPr>
            </w:pPr>
            <w:r>
              <w:rPr>
                <w:rFonts w:hint="eastAsia" w:ascii="宋体" w:hAnsi="宋体" w:cs="宋体"/>
                <w:sz w:val="22"/>
                <w:szCs w:val="22"/>
              </w:rPr>
              <w:t>4</w:t>
            </w:r>
          </w:p>
        </w:tc>
        <w:tc>
          <w:tcPr>
            <w:tcW w:w="1509" w:type="dxa"/>
            <w:vAlign w:val="center"/>
          </w:tcPr>
          <w:p>
            <w:pPr>
              <w:jc w:val="center"/>
              <w:rPr>
                <w:rFonts w:ascii="宋体" w:hAnsi="宋体"/>
                <w:kern w:val="0"/>
                <w:sz w:val="22"/>
                <w:szCs w:val="22"/>
              </w:rPr>
            </w:pPr>
            <w:r>
              <w:rPr>
                <w:rFonts w:ascii="宋体" w:hAnsi="宋体"/>
                <w:kern w:val="0"/>
                <w:sz w:val="22"/>
                <w:szCs w:val="22"/>
              </w:rPr>
              <w:t>投保服务</w:t>
            </w:r>
          </w:p>
        </w:tc>
        <w:tc>
          <w:tcPr>
            <w:tcW w:w="816" w:type="dxa"/>
            <w:vAlign w:val="center"/>
          </w:tcPr>
          <w:p>
            <w:pPr>
              <w:jc w:val="center"/>
              <w:rPr>
                <w:rFonts w:hint="eastAsia" w:ascii="宋体" w:hAnsi="宋体"/>
                <w:kern w:val="0"/>
                <w:sz w:val="22"/>
                <w:szCs w:val="22"/>
              </w:rPr>
            </w:pPr>
            <w:r>
              <w:rPr>
                <w:rFonts w:ascii="宋体" w:hAnsi="宋体"/>
                <w:kern w:val="0"/>
                <w:sz w:val="22"/>
                <w:szCs w:val="22"/>
              </w:rPr>
              <w:t>10</w:t>
            </w:r>
          </w:p>
        </w:tc>
        <w:tc>
          <w:tcPr>
            <w:tcW w:w="6051" w:type="dxa"/>
            <w:vAlign w:val="center"/>
          </w:tcPr>
          <w:p>
            <w:pPr>
              <w:jc w:val="left"/>
              <w:rPr>
                <w:rFonts w:hint="eastAsia" w:ascii="宋体" w:hAnsi="宋体"/>
                <w:kern w:val="0"/>
                <w:sz w:val="22"/>
                <w:szCs w:val="22"/>
              </w:rPr>
            </w:pPr>
            <w:r>
              <w:rPr>
                <w:rFonts w:hint="eastAsia" w:ascii="宋体" w:hAnsi="宋体"/>
                <w:kern w:val="0"/>
                <w:sz w:val="22"/>
                <w:szCs w:val="22"/>
              </w:rPr>
              <w:t>投保服务：投标供应商承诺投保方提供相关投保资料</w:t>
            </w:r>
            <w:r>
              <w:rPr>
                <w:rFonts w:hint="eastAsia" w:ascii="宋体" w:hAnsi="宋体"/>
                <w:kern w:val="0"/>
                <w:sz w:val="22"/>
                <w:szCs w:val="22"/>
                <w:lang w:eastAsia="zh-CN"/>
              </w:rPr>
              <w:t>，</w:t>
            </w:r>
            <w:r>
              <w:rPr>
                <w:rFonts w:hint="eastAsia" w:ascii="宋体" w:hAnsi="宋体"/>
                <w:kern w:val="0"/>
                <w:sz w:val="22"/>
                <w:szCs w:val="22"/>
              </w:rPr>
              <w:t>上门收取资料并统一出单，给予充分配合的得</w:t>
            </w:r>
            <w:r>
              <w:rPr>
                <w:rFonts w:ascii="宋体" w:hAnsi="宋体"/>
                <w:kern w:val="0"/>
                <w:sz w:val="22"/>
                <w:szCs w:val="22"/>
              </w:rPr>
              <w:t>10</w:t>
            </w:r>
            <w:r>
              <w:rPr>
                <w:rFonts w:hint="eastAsia" w:ascii="宋体" w:hAnsi="宋体"/>
                <w:kern w:val="0"/>
                <w:sz w:val="22"/>
                <w:szCs w:val="22"/>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35" w:type="dxa"/>
            <w:vAlign w:val="center"/>
          </w:tcPr>
          <w:p>
            <w:pPr>
              <w:tabs>
                <w:tab w:val="left" w:pos="0"/>
              </w:tabs>
              <w:spacing w:line="360" w:lineRule="auto"/>
              <w:jc w:val="center"/>
              <w:rPr>
                <w:rFonts w:hint="eastAsia" w:ascii="宋体" w:hAnsi="宋体" w:cs="宋体"/>
                <w:sz w:val="22"/>
                <w:szCs w:val="22"/>
              </w:rPr>
            </w:pPr>
            <w:r>
              <w:rPr>
                <w:rFonts w:hint="eastAsia" w:ascii="宋体" w:hAnsi="宋体" w:cs="宋体"/>
                <w:sz w:val="22"/>
                <w:szCs w:val="22"/>
              </w:rPr>
              <w:t>5</w:t>
            </w:r>
          </w:p>
        </w:tc>
        <w:tc>
          <w:tcPr>
            <w:tcW w:w="1509" w:type="dxa"/>
            <w:vAlign w:val="center"/>
          </w:tcPr>
          <w:p>
            <w:pPr>
              <w:pStyle w:val="26"/>
              <w:bidi w:val="0"/>
              <w:ind w:left="0" w:leftChars="0" w:firstLine="0" w:firstLineChars="0"/>
              <w:jc w:val="center"/>
              <w:rPr>
                <w:rFonts w:hint="default"/>
              </w:rPr>
            </w:pPr>
            <w:r>
              <w:t>理赔服务方案</w:t>
            </w:r>
          </w:p>
        </w:tc>
        <w:tc>
          <w:tcPr>
            <w:tcW w:w="816" w:type="dxa"/>
            <w:vAlign w:val="center"/>
          </w:tcPr>
          <w:p>
            <w:pPr>
              <w:pStyle w:val="26"/>
              <w:bidi w:val="0"/>
              <w:ind w:left="0" w:leftChars="0" w:firstLine="0" w:firstLineChars="0"/>
              <w:jc w:val="center"/>
              <w:rPr>
                <w:rFonts w:hint="default"/>
              </w:rPr>
            </w:pPr>
            <w:r>
              <w:rPr>
                <w:rFonts w:hint="eastAsia" w:ascii="宋体" w:hAnsi="宋体" w:eastAsia="宋体" w:cs="宋体"/>
              </w:rPr>
              <w:t>10</w:t>
            </w:r>
          </w:p>
        </w:tc>
        <w:tc>
          <w:tcPr>
            <w:tcW w:w="6051" w:type="dxa"/>
            <w:vAlign w:val="center"/>
          </w:tcPr>
          <w:p>
            <w:pPr>
              <w:pStyle w:val="28"/>
              <w:kinsoku w:val="0"/>
              <w:overflowPunct w:val="0"/>
              <w:spacing w:before="27"/>
              <w:jc w:val="both"/>
              <w:rPr>
                <w:rFonts w:hint="eastAsia" w:eastAsia="宋体"/>
                <w:sz w:val="21"/>
                <w:lang w:eastAsia="zh-CN"/>
              </w:rPr>
            </w:pPr>
            <w:r>
              <w:rPr>
                <w:sz w:val="21"/>
              </w:rPr>
              <w:t>根据接案、查勘、理赔（流程及资料）等内容及方案是否简便、高效、清晰进行</w:t>
            </w:r>
            <w:r>
              <w:rPr>
                <w:rFonts w:hint="eastAsia"/>
                <w:sz w:val="21"/>
                <w:lang w:val="en-US" w:eastAsia="zh-CN"/>
              </w:rPr>
              <w:t>综合比较</w:t>
            </w:r>
            <w:r>
              <w:rPr>
                <w:sz w:val="21"/>
              </w:rPr>
              <w:t>评</w:t>
            </w:r>
            <w:r>
              <w:rPr>
                <w:spacing w:val="-11"/>
                <w:sz w:val="21"/>
              </w:rPr>
              <w:t>分</w:t>
            </w:r>
            <w:r>
              <w:rPr>
                <w:sz w:val="21"/>
              </w:rPr>
              <w:t>。</w:t>
            </w:r>
            <w:r>
              <w:rPr>
                <w:rFonts w:hint="eastAsia"/>
                <w:sz w:val="21"/>
                <w:lang w:eastAsia="zh-CN"/>
              </w:rPr>
              <w:t>（</w:t>
            </w:r>
            <w:r>
              <w:rPr>
                <w:rFonts w:hint="eastAsia"/>
                <w:sz w:val="21"/>
                <w:lang w:val="en-US" w:eastAsia="zh-CN"/>
              </w:rPr>
              <w:t>0-10分</w:t>
            </w:r>
            <w:r>
              <w:rPr>
                <w:rFonts w:hint="eastAsia"/>
                <w:sz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35" w:type="dxa"/>
            <w:vAlign w:val="center"/>
          </w:tcPr>
          <w:p>
            <w:pPr>
              <w:tabs>
                <w:tab w:val="left" w:pos="0"/>
              </w:tabs>
              <w:spacing w:line="360" w:lineRule="auto"/>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1509" w:type="dxa"/>
            <w:vAlign w:val="center"/>
          </w:tcPr>
          <w:p>
            <w:pPr>
              <w:pStyle w:val="26"/>
              <w:bidi w:val="0"/>
              <w:ind w:left="0" w:leftChars="0" w:firstLine="0" w:firstLineChars="0"/>
              <w:jc w:val="center"/>
            </w:pPr>
            <w:r>
              <w:t>赔付时效承诺</w:t>
            </w:r>
          </w:p>
        </w:tc>
        <w:tc>
          <w:tcPr>
            <w:tcW w:w="816" w:type="dxa"/>
            <w:vAlign w:val="center"/>
          </w:tcPr>
          <w:p>
            <w:pPr>
              <w:spacing w:line="360" w:lineRule="auto"/>
              <w:jc w:val="center"/>
              <w:rPr>
                <w:rFonts w:hint="eastAsia" w:ascii="宋体" w:hAnsi="宋体" w:cs="宋体"/>
                <w:sz w:val="22"/>
                <w:szCs w:val="22"/>
              </w:rPr>
            </w:pPr>
            <w:r>
              <w:rPr>
                <w:rFonts w:hint="eastAsia" w:ascii="宋体" w:hAnsi="宋体" w:cs="宋体"/>
                <w:sz w:val="22"/>
                <w:szCs w:val="22"/>
              </w:rPr>
              <w:t>1</w:t>
            </w:r>
            <w:r>
              <w:rPr>
                <w:rFonts w:ascii="宋体" w:hAnsi="宋体" w:cs="宋体"/>
                <w:sz w:val="22"/>
                <w:szCs w:val="22"/>
              </w:rPr>
              <w:t>0</w:t>
            </w:r>
          </w:p>
        </w:tc>
        <w:tc>
          <w:tcPr>
            <w:tcW w:w="6051" w:type="dxa"/>
            <w:vAlign w:val="center"/>
          </w:tcPr>
          <w:p>
            <w:pPr>
              <w:pStyle w:val="28"/>
              <w:kinsoku w:val="0"/>
              <w:overflowPunct w:val="0"/>
              <w:spacing w:before="22"/>
              <w:rPr>
                <w:rFonts w:hint="eastAsia" w:ascii="宋体" w:hAnsi="宋体" w:eastAsia="宋体" w:cs="宋体"/>
                <w:spacing w:val="-1"/>
                <w:sz w:val="22"/>
                <w:szCs w:val="22"/>
              </w:rPr>
            </w:pPr>
            <w:r>
              <w:rPr>
                <w:rFonts w:hint="eastAsia" w:ascii="宋体" w:hAnsi="宋体" w:eastAsia="宋体" w:cs="宋体"/>
                <w:spacing w:val="-1"/>
                <w:sz w:val="22"/>
                <w:szCs w:val="22"/>
              </w:rPr>
              <w:t>承诺签订赔付协议后</w:t>
            </w:r>
            <w:r>
              <w:rPr>
                <w:rFonts w:hint="eastAsia" w:ascii="宋体" w:hAnsi="宋体" w:eastAsia="宋体" w:cs="宋体"/>
                <w:sz w:val="22"/>
                <w:szCs w:val="22"/>
              </w:rPr>
              <w:t>10</w:t>
            </w:r>
            <w:r>
              <w:rPr>
                <w:rFonts w:hint="eastAsia" w:ascii="宋体" w:hAnsi="宋体" w:eastAsia="宋体" w:cs="宋体"/>
                <w:spacing w:val="-2"/>
                <w:sz w:val="22"/>
                <w:szCs w:val="22"/>
              </w:rPr>
              <w:t>天内划拨保险赔</w:t>
            </w:r>
            <w:r>
              <w:rPr>
                <w:rFonts w:hint="eastAsia" w:ascii="宋体" w:hAnsi="宋体" w:eastAsia="宋体" w:cs="宋体"/>
                <w:spacing w:val="-13"/>
                <w:sz w:val="22"/>
                <w:szCs w:val="22"/>
              </w:rPr>
              <w:t>款，得</w:t>
            </w:r>
            <w:r>
              <w:rPr>
                <w:rFonts w:hint="eastAsia" w:eastAsia="宋体" w:cs="宋体"/>
                <w:spacing w:val="-13"/>
                <w:sz w:val="22"/>
                <w:szCs w:val="22"/>
                <w:lang w:val="en-US" w:eastAsia="zh-CN"/>
              </w:rPr>
              <w:t xml:space="preserve"> </w:t>
            </w:r>
            <w:r>
              <w:rPr>
                <w:rFonts w:hint="eastAsia" w:ascii="宋体" w:hAnsi="宋体" w:eastAsia="宋体" w:cs="宋体"/>
                <w:sz w:val="22"/>
                <w:szCs w:val="22"/>
              </w:rPr>
              <w:t>5</w:t>
            </w:r>
            <w:r>
              <w:rPr>
                <w:rFonts w:hint="eastAsia" w:ascii="宋体" w:hAnsi="宋体" w:eastAsia="宋体" w:cs="宋体"/>
                <w:spacing w:val="-18"/>
                <w:sz w:val="22"/>
                <w:szCs w:val="22"/>
              </w:rPr>
              <w:t xml:space="preserve">分；承诺 </w:t>
            </w:r>
            <w:r>
              <w:rPr>
                <w:rFonts w:hint="eastAsia" w:ascii="宋体" w:hAnsi="宋体" w:eastAsia="宋体" w:cs="宋体"/>
                <w:sz w:val="22"/>
                <w:szCs w:val="22"/>
              </w:rPr>
              <w:t>7</w:t>
            </w:r>
            <w:r>
              <w:rPr>
                <w:rFonts w:hint="eastAsia" w:ascii="宋体" w:hAnsi="宋体" w:eastAsia="宋体" w:cs="宋体"/>
                <w:spacing w:val="-8"/>
                <w:sz w:val="22"/>
                <w:szCs w:val="22"/>
              </w:rPr>
              <w:t xml:space="preserve"> 天内划拨保险赔款的</w:t>
            </w:r>
            <w:r>
              <w:rPr>
                <w:rFonts w:hint="eastAsia" w:ascii="宋体" w:hAnsi="宋体" w:eastAsia="宋体" w:cs="宋体"/>
                <w:sz w:val="22"/>
                <w:szCs w:val="22"/>
              </w:rPr>
              <w:t>得10分</w:t>
            </w:r>
            <w:r>
              <w:rPr>
                <w:rFonts w:hint="eastAsia" w:eastAsia="宋体" w:cs="宋体"/>
                <w:sz w:val="22"/>
                <w:szCs w:val="22"/>
                <w:lang w:eastAsia="zh-CN"/>
              </w:rPr>
              <w:t>；</w:t>
            </w:r>
            <w:r>
              <w:rPr>
                <w:rFonts w:hint="eastAsia" w:eastAsia="宋体" w:cs="宋体"/>
                <w:sz w:val="22"/>
                <w:szCs w:val="22"/>
                <w:lang w:val="en-US" w:eastAsia="zh-CN"/>
              </w:rPr>
              <w:t>其余</w:t>
            </w:r>
            <w:r>
              <w:rPr>
                <w:rFonts w:hint="eastAsia" w:ascii="宋体" w:hAnsi="宋体" w:eastAsia="宋体" w:cs="宋体"/>
                <w:sz w:val="22"/>
                <w:szCs w:val="22"/>
              </w:rPr>
              <w:t>不得分。</w:t>
            </w:r>
          </w:p>
        </w:tc>
      </w:tr>
    </w:tbl>
    <w:p>
      <w:pPr>
        <w:pStyle w:val="8"/>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8"/>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8"/>
        <w:ind w:left="0" w:leftChars="0" w:firstLine="0" w:firstLineChars="0"/>
        <w:rPr>
          <w:rFonts w:hint="eastAsia" w:asciiTheme="minorEastAsia" w:hAnsiTheme="minorEastAsia" w:eastAsiaTheme="minorEastAsia" w:cstheme="minorEastAsia"/>
          <w:b/>
          <w:bCs/>
          <w:spacing w:val="-4"/>
          <w:sz w:val="24"/>
          <w:szCs w:val="24"/>
          <w:lang w:val="en-US" w:eastAsia="zh-CN"/>
        </w:rPr>
      </w:pPr>
    </w:p>
    <w:p>
      <w:pPr>
        <w:pStyle w:val="8"/>
        <w:ind w:left="0" w:leftChars="0" w:firstLine="0" w:firstLineChars="0"/>
        <w:rPr>
          <w:rFonts w:hint="eastAsia" w:asciiTheme="minorEastAsia" w:hAnsiTheme="minorEastAsia" w:eastAsiaTheme="minorEastAsia" w:cstheme="minorEastAsia"/>
          <w:b/>
          <w:bCs/>
          <w:spacing w:val="-4"/>
          <w:sz w:val="24"/>
          <w:szCs w:val="24"/>
          <w:lang w:val="en-US" w:eastAsia="zh-CN"/>
        </w:rPr>
      </w:pPr>
    </w:p>
    <w:p>
      <w:pPr>
        <w:numPr>
          <w:ilvl w:val="0"/>
          <w:numId w:val="0"/>
        </w:numPr>
        <w:spacing w:before="120" w:beforeLines="50" w:after="120" w:afterLines="50" w:line="360" w:lineRule="auto"/>
        <w:ind w:firstLine="466" w:firstLineChars="200"/>
        <w:jc w:val="both"/>
        <w:rPr>
          <w:rFonts w:hint="eastAsia" w:asciiTheme="minorEastAsia" w:hAnsiTheme="minorEastAsia" w:eastAsiaTheme="minorEastAsia" w:cstheme="minorEastAsia"/>
          <w:b/>
          <w:bCs/>
          <w:spacing w:val="-4"/>
          <w:sz w:val="24"/>
          <w:szCs w:val="24"/>
        </w:rPr>
      </w:pPr>
      <w:r>
        <w:rPr>
          <w:rFonts w:hint="eastAsia" w:asciiTheme="minorEastAsia" w:hAnsiTheme="minorEastAsia" w:eastAsiaTheme="minorEastAsia" w:cstheme="minorEastAsia"/>
          <w:b/>
          <w:bCs/>
          <w:spacing w:val="-4"/>
          <w:sz w:val="24"/>
          <w:szCs w:val="24"/>
          <w:lang w:val="en-US" w:eastAsia="zh-CN"/>
        </w:rPr>
        <w:t>2、</w:t>
      </w:r>
      <w:r>
        <w:rPr>
          <w:rFonts w:hint="eastAsia" w:asciiTheme="minorEastAsia" w:hAnsiTheme="minorEastAsia" w:eastAsiaTheme="minorEastAsia" w:cstheme="minorEastAsia"/>
          <w:b/>
          <w:bCs/>
          <w:spacing w:val="-4"/>
          <w:sz w:val="24"/>
          <w:szCs w:val="24"/>
        </w:rPr>
        <w:t>价格分（0-</w:t>
      </w:r>
      <w:r>
        <w:rPr>
          <w:rFonts w:hint="eastAsia" w:asciiTheme="minorEastAsia" w:hAnsiTheme="minorEastAsia" w:eastAsiaTheme="minorEastAsia" w:cstheme="minorEastAsia"/>
          <w:b/>
          <w:bCs/>
          <w:spacing w:val="-4"/>
          <w:sz w:val="24"/>
          <w:szCs w:val="24"/>
          <w:lang w:val="en-US" w:eastAsia="zh-CN"/>
        </w:rPr>
        <w:t>30</w:t>
      </w:r>
      <w:r>
        <w:rPr>
          <w:rFonts w:hint="eastAsia" w:asciiTheme="minorEastAsia" w:hAnsiTheme="minorEastAsia" w:eastAsiaTheme="minorEastAsia" w:cstheme="minorEastAsia"/>
          <w:b/>
          <w:bCs/>
          <w:spacing w:val="-4"/>
          <w:sz w:val="24"/>
          <w:szCs w:val="24"/>
        </w:rPr>
        <w:t>分）</w:t>
      </w:r>
    </w:p>
    <w:p>
      <w:pPr>
        <w:numPr>
          <w:ilvl w:val="0"/>
          <w:numId w:val="0"/>
        </w:numPr>
        <w:spacing w:before="120" w:beforeLines="50" w:after="120" w:afterLines="50" w:line="360" w:lineRule="auto"/>
        <w:ind w:firstLine="464" w:firstLineChars="200"/>
        <w:jc w:val="both"/>
        <w:rPr>
          <w:rFonts w:hint="eastAsia" w:asciiTheme="minorEastAsia" w:hAnsiTheme="minorEastAsia" w:eastAsiaTheme="minorEastAsia" w:cstheme="minorEastAsia"/>
          <w:bCs/>
          <w:spacing w:val="-4"/>
          <w:sz w:val="24"/>
          <w:szCs w:val="24"/>
        </w:rPr>
      </w:pPr>
      <w:r>
        <w:rPr>
          <w:rFonts w:hint="eastAsia" w:asciiTheme="minorEastAsia" w:hAnsiTheme="minorEastAsia" w:eastAsiaTheme="minorEastAsia" w:cstheme="minorEastAsia"/>
          <w:bCs/>
          <w:spacing w:val="-4"/>
          <w:sz w:val="24"/>
          <w:szCs w:val="24"/>
        </w:rPr>
        <w:t>价格分采用低价优先法计算，即满足招标文件要求且投标报价最低的投标报价为评标基准价，其得分为满分</w:t>
      </w:r>
      <w:r>
        <w:rPr>
          <w:rFonts w:hint="eastAsia" w:asciiTheme="minorEastAsia" w:hAnsiTheme="minorEastAsia" w:eastAsiaTheme="minorEastAsia" w:cstheme="minorEastAsia"/>
          <w:bCs/>
          <w:spacing w:val="-4"/>
          <w:sz w:val="24"/>
          <w:szCs w:val="24"/>
          <w:lang w:val="en-US" w:eastAsia="zh-CN"/>
        </w:rPr>
        <w:t>30</w:t>
      </w:r>
      <w:r>
        <w:rPr>
          <w:rFonts w:hint="eastAsia" w:asciiTheme="minorEastAsia" w:hAnsiTheme="minorEastAsia" w:eastAsiaTheme="minorEastAsia" w:cstheme="minorEastAsia"/>
          <w:bCs/>
          <w:spacing w:val="-4"/>
          <w:sz w:val="24"/>
          <w:szCs w:val="24"/>
        </w:rPr>
        <w:t>分。其他投标人的价格分按照下列公式计算：</w:t>
      </w:r>
    </w:p>
    <w:p>
      <w:pPr>
        <w:spacing w:before="120" w:beforeLines="50" w:after="120"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价格分=（评标基准价/</w:t>
      </w:r>
      <w:r>
        <w:rPr>
          <w:rFonts w:hint="eastAsia" w:asciiTheme="minorEastAsia" w:hAnsiTheme="minorEastAsia" w:eastAsiaTheme="minorEastAsia" w:cstheme="minorEastAsia"/>
          <w:bCs/>
          <w:spacing w:val="-4"/>
          <w:sz w:val="24"/>
          <w:szCs w:val="24"/>
        </w:rPr>
        <w:t>投标报价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%×100</w:t>
      </w:r>
    </w:p>
    <w:p>
      <w:pPr>
        <w:pStyle w:val="5"/>
        <w:jc w:val="center"/>
        <w:rPr>
          <w:rFonts w:hint="eastAsia" w:ascii="新宋体" w:hAnsi="新宋体" w:eastAsia="新宋体" w:cs="新宋体"/>
          <w:b/>
          <w:bCs/>
          <w:color w:val="auto"/>
          <w:kern w:val="2"/>
          <w:sz w:val="28"/>
          <w:szCs w:val="28"/>
          <w:highlight w:val="none"/>
          <w:lang w:val="en-US" w:eastAsia="zh-CN" w:bidi="ar-SA"/>
        </w:rPr>
      </w:pPr>
    </w:p>
    <w:p>
      <w:pPr>
        <w:pStyle w:val="5"/>
        <w:jc w:val="center"/>
        <w:rPr>
          <w:rFonts w:hint="eastAsia" w:ascii="新宋体" w:hAnsi="新宋体" w:eastAsia="新宋体" w:cs="新宋体"/>
          <w:b w:val="0"/>
          <w:bCs/>
          <w:color w:val="auto"/>
          <w:sz w:val="22"/>
          <w:highlight w:val="none"/>
        </w:rPr>
      </w:pPr>
      <w:r>
        <w:rPr>
          <w:rFonts w:hint="eastAsia" w:ascii="新宋体" w:hAnsi="新宋体" w:eastAsia="新宋体" w:cs="新宋体"/>
          <w:b/>
          <w:bCs/>
          <w:color w:val="auto"/>
          <w:kern w:val="2"/>
          <w:sz w:val="28"/>
          <w:szCs w:val="28"/>
          <w:highlight w:val="none"/>
          <w:lang w:val="en-US" w:eastAsia="zh-CN" w:bidi="ar-SA"/>
        </w:rPr>
        <w:t>报价一览表</w:t>
      </w:r>
    </w:p>
    <w:p>
      <w:pPr>
        <w:autoSpaceDE w:val="0"/>
        <w:autoSpaceDN w:val="0"/>
        <w:spacing w:line="360" w:lineRule="auto"/>
        <w:ind w:right="893" w:firstLine="220" w:firstLineChars="100"/>
        <w:textAlignment w:val="bottom"/>
        <w:rPr>
          <w:rFonts w:hint="eastAsia" w:ascii="新宋体" w:hAnsi="新宋体" w:eastAsia="新宋体" w:cs="新宋体"/>
          <w:b w:val="0"/>
          <w:bCs/>
          <w:color w:val="auto"/>
          <w:sz w:val="22"/>
          <w:highlight w:val="none"/>
        </w:rPr>
      </w:pPr>
      <w:r>
        <w:rPr>
          <w:rFonts w:hint="eastAsia" w:ascii="新宋体" w:hAnsi="新宋体" w:eastAsia="新宋体" w:cs="新宋体"/>
          <w:b w:val="0"/>
          <w:bCs/>
          <w:color w:val="auto"/>
          <w:sz w:val="22"/>
          <w:highlight w:val="none"/>
        </w:rPr>
        <w:t>项目名称：</w:t>
      </w:r>
      <w:r>
        <w:rPr>
          <w:rFonts w:hint="eastAsia" w:ascii="新宋体" w:hAnsi="新宋体" w:eastAsia="新宋体" w:cs="新宋体"/>
          <w:b w:val="0"/>
          <w:bCs/>
          <w:color w:val="auto"/>
          <w:sz w:val="22"/>
          <w:highlight w:val="none"/>
          <w:lang w:val="en-US" w:eastAsia="zh-CN"/>
        </w:rPr>
        <w:t>温州市中医院2024年在职员工公共交通意外险购买</w:t>
      </w:r>
      <w:r>
        <w:rPr>
          <w:rFonts w:hint="eastAsia" w:ascii="新宋体" w:hAnsi="新宋体" w:eastAsia="新宋体" w:cs="新宋体"/>
          <w:b w:val="0"/>
          <w:bCs/>
          <w:color w:val="auto"/>
          <w:sz w:val="22"/>
          <w:highlight w:val="none"/>
        </w:rPr>
        <w:t xml:space="preserve">                                </w:t>
      </w:r>
    </w:p>
    <w:tbl>
      <w:tblPr>
        <w:tblStyle w:val="16"/>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60"/>
        <w:gridCol w:w="2556"/>
        <w:gridCol w:w="3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2960" w:type="dxa"/>
            <w:noWrap w:val="0"/>
            <w:vAlign w:val="center"/>
          </w:tcPr>
          <w:p>
            <w:pPr>
              <w:spacing w:line="380" w:lineRule="exact"/>
              <w:jc w:val="center"/>
              <w:rPr>
                <w:rFonts w:hint="default"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项目名称</w:t>
            </w:r>
          </w:p>
        </w:tc>
        <w:tc>
          <w:tcPr>
            <w:tcW w:w="2556"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cs="宋体"/>
                <w:bCs/>
                <w:color w:val="auto"/>
                <w:sz w:val="22"/>
                <w:szCs w:val="22"/>
                <w:highlight w:val="none"/>
                <w:lang w:val="en-US" w:eastAsia="zh-CN"/>
              </w:rPr>
              <w:t>单</w:t>
            </w:r>
            <w:r>
              <w:rPr>
                <w:rFonts w:hint="eastAsia" w:ascii="宋体" w:hAnsi="宋体" w:eastAsia="宋体" w:cs="宋体"/>
                <w:bCs/>
                <w:color w:val="auto"/>
                <w:sz w:val="22"/>
                <w:szCs w:val="22"/>
                <w:highlight w:val="none"/>
              </w:rPr>
              <w:t>价</w:t>
            </w:r>
            <w:r>
              <w:rPr>
                <w:rFonts w:hint="eastAsia" w:ascii="宋体" w:hAnsi="宋体" w:eastAsia="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人民币</w:t>
            </w:r>
            <w:r>
              <w:rPr>
                <w:rFonts w:hint="eastAsia" w:ascii="宋体" w:hAnsi="宋体" w:eastAsia="宋体" w:cs="宋体"/>
                <w:bCs/>
                <w:color w:val="auto"/>
                <w:sz w:val="22"/>
                <w:szCs w:val="22"/>
                <w:highlight w:val="none"/>
                <w:lang w:val="en-US" w:eastAsia="zh-CN"/>
              </w:rPr>
              <w:t>元/人▪年</w:t>
            </w:r>
            <w:r>
              <w:rPr>
                <w:rFonts w:hint="eastAsia" w:ascii="宋体" w:hAnsi="宋体" w:eastAsia="宋体" w:cs="宋体"/>
                <w:bCs/>
                <w:color w:val="auto"/>
                <w:sz w:val="22"/>
                <w:szCs w:val="22"/>
                <w:highlight w:val="none"/>
                <w:lang w:eastAsia="zh-CN"/>
              </w:rPr>
              <w:t>）</w:t>
            </w:r>
          </w:p>
        </w:tc>
        <w:tc>
          <w:tcPr>
            <w:tcW w:w="3612" w:type="dxa"/>
            <w:noWrap w:val="0"/>
            <w:vAlign w:val="center"/>
          </w:tcPr>
          <w:p>
            <w:pPr>
              <w:spacing w:line="38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总价</w:t>
            </w:r>
            <w:r>
              <w:rPr>
                <w:rFonts w:hint="eastAsia" w:ascii="宋体" w:hAnsi="宋体" w:eastAsia="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人民币</w:t>
            </w:r>
            <w:r>
              <w:rPr>
                <w:rFonts w:hint="eastAsia" w:ascii="宋体" w:hAnsi="宋体" w:eastAsia="宋体" w:cs="宋体"/>
                <w:bCs/>
                <w:color w:val="auto"/>
                <w:sz w:val="22"/>
                <w:szCs w:val="22"/>
                <w:highlight w:val="none"/>
                <w:lang w:val="en-US" w:eastAsia="zh-CN"/>
              </w:rPr>
              <w:t>元</w:t>
            </w:r>
            <w:r>
              <w:rPr>
                <w:rFonts w:hint="eastAsia" w:ascii="宋体" w:hAnsi="宋体" w:cs="宋体"/>
                <w:bCs/>
                <w:color w:val="auto"/>
                <w:sz w:val="22"/>
                <w:szCs w:val="22"/>
                <w:highlight w:val="none"/>
                <w:lang w:val="en-US" w:eastAsia="zh-CN"/>
              </w:rPr>
              <w:t>，按照1679人计算</w:t>
            </w:r>
            <w:r>
              <w:rPr>
                <w:rFonts w:hint="eastAsia" w:ascii="宋体" w:hAnsi="宋体" w:eastAsia="宋体" w:cs="宋体"/>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33"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296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cs="宋体"/>
                <w:sz w:val="24"/>
                <w:szCs w:val="24"/>
                <w:lang w:val="en-US" w:eastAsia="zh-CN"/>
              </w:rPr>
              <w:t>温州市中医院2024年在职员工公共交通意外险购买</w:t>
            </w:r>
          </w:p>
        </w:tc>
        <w:tc>
          <w:tcPr>
            <w:tcW w:w="2556"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3612"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33"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96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2556"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3612"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r>
    </w:tbl>
    <w:p>
      <w:pPr>
        <w:spacing w:line="450" w:lineRule="exact"/>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rPr>
        <w:t>说明：不提供此表格将被视为没有实质性响应</w:t>
      </w:r>
      <w:r>
        <w:rPr>
          <w:rFonts w:hint="eastAsia" w:ascii="宋体" w:hAnsi="宋体" w:cs="宋体"/>
          <w:b/>
          <w:color w:val="auto"/>
          <w:sz w:val="22"/>
          <w:highlight w:val="none"/>
          <w:lang w:val="en-US" w:eastAsia="zh-CN"/>
        </w:rPr>
        <w:t>遴选</w:t>
      </w:r>
      <w:r>
        <w:rPr>
          <w:rFonts w:hint="eastAsia" w:ascii="宋体" w:hAnsi="宋体" w:eastAsia="宋体" w:cs="宋体"/>
          <w:b/>
          <w:color w:val="auto"/>
          <w:sz w:val="22"/>
          <w:highlight w:val="none"/>
        </w:rPr>
        <w:t>文件</w:t>
      </w:r>
      <w:r>
        <w:rPr>
          <w:rFonts w:hint="eastAsia" w:ascii="宋体" w:hAnsi="宋体" w:eastAsia="宋体" w:cs="宋体"/>
          <w:b/>
          <w:color w:val="auto"/>
          <w:sz w:val="22"/>
          <w:highlight w:val="none"/>
          <w:lang w:eastAsia="zh-CN"/>
        </w:rPr>
        <w:t>。</w:t>
      </w:r>
    </w:p>
    <w:p>
      <w:pPr>
        <w:pStyle w:val="2"/>
        <w:rPr>
          <w:rFonts w:hint="eastAsia"/>
        </w:rPr>
      </w:pPr>
    </w:p>
    <w:p>
      <w:pPr>
        <w:pStyle w:val="13"/>
        <w:rPr>
          <w:rFonts w:hint="eastAsia"/>
        </w:rPr>
      </w:pPr>
    </w:p>
    <w:p>
      <w:pPr>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8"/>
        <w:rPr>
          <w:rFonts w:hint="eastAsia"/>
        </w:rPr>
      </w:pPr>
    </w:p>
    <w:p>
      <w:pPr>
        <w:pStyle w:val="12"/>
        <w:rPr>
          <w:rFonts w:hint="eastAsia"/>
          <w:lang w:val="en-US" w:eastAsia="zh-CN"/>
        </w:rPr>
      </w:pPr>
    </w:p>
    <w:p>
      <w:pPr>
        <w:rPr>
          <w:rFonts w:hint="eastAsia"/>
          <w:lang w:val="en-US" w:eastAsia="zh-CN"/>
        </w:rPr>
      </w:pPr>
    </w:p>
    <w:p>
      <w:pPr>
        <w:spacing w:line="380" w:lineRule="exact"/>
        <w:rPr>
          <w:rFonts w:hint="eastAsia"/>
        </w:rPr>
      </w:pPr>
    </w:p>
    <w:sectPr>
      <w:footerReference r:id="rId3" w:type="default"/>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rPr>
                    <w:lang w:val="zh-CN"/>
                  </w:rPr>
                  <w:t>40</w:t>
                </w:r>
                <w:r>
                  <w:rPr>
                    <w:lang w:val="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97C9E"/>
    <w:multiLevelType w:val="multilevel"/>
    <w:tmpl w:val="5D497C9E"/>
    <w:lvl w:ilvl="0" w:tentative="0">
      <w:start w:val="1"/>
      <w:numFmt w:val="chineseCountingThousand"/>
      <w:suff w:val="nothing"/>
      <w:lvlText w:val="第%1章"/>
      <w:lvlJc w:val="left"/>
      <w:pPr>
        <w:ind w:left="0" w:firstLine="0"/>
      </w:pPr>
      <w:rPr>
        <w:rFonts w:hint="default" w:ascii="Times New Roman" w:hAnsi="Times New Roman" w:eastAsia="黑体"/>
        <w:b/>
        <w:i w:val="0"/>
        <w:sz w:val="32"/>
        <w:szCs w:val="32"/>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zM2I0ZDUwMmVjNzJkYmUxYzgyNTRhNTkzMTAwNGI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3BC4EA5"/>
    <w:rsid w:val="03C84B20"/>
    <w:rsid w:val="04B15D87"/>
    <w:rsid w:val="04FC6AE0"/>
    <w:rsid w:val="061E2864"/>
    <w:rsid w:val="076646E5"/>
    <w:rsid w:val="084B5379"/>
    <w:rsid w:val="085A44D0"/>
    <w:rsid w:val="09CB578A"/>
    <w:rsid w:val="0F427144"/>
    <w:rsid w:val="0F9C6A6C"/>
    <w:rsid w:val="10143842"/>
    <w:rsid w:val="1124087B"/>
    <w:rsid w:val="15F0193F"/>
    <w:rsid w:val="16586A57"/>
    <w:rsid w:val="16EF2001"/>
    <w:rsid w:val="17B96491"/>
    <w:rsid w:val="18113D4E"/>
    <w:rsid w:val="19E25EF7"/>
    <w:rsid w:val="1B951E05"/>
    <w:rsid w:val="203F5CE6"/>
    <w:rsid w:val="252A6495"/>
    <w:rsid w:val="26614AE7"/>
    <w:rsid w:val="26A36964"/>
    <w:rsid w:val="2C0B329E"/>
    <w:rsid w:val="2DCF6290"/>
    <w:rsid w:val="2EE23DA1"/>
    <w:rsid w:val="32E87DD1"/>
    <w:rsid w:val="33F15215"/>
    <w:rsid w:val="35584BB1"/>
    <w:rsid w:val="36F20F59"/>
    <w:rsid w:val="36FF0897"/>
    <w:rsid w:val="38620F4A"/>
    <w:rsid w:val="3A5C534F"/>
    <w:rsid w:val="3AA307AA"/>
    <w:rsid w:val="3D4A148F"/>
    <w:rsid w:val="3D766728"/>
    <w:rsid w:val="3F351791"/>
    <w:rsid w:val="42417305"/>
    <w:rsid w:val="43F47C2B"/>
    <w:rsid w:val="442D7AA8"/>
    <w:rsid w:val="45B222C8"/>
    <w:rsid w:val="46AB0BAA"/>
    <w:rsid w:val="4B2C08F7"/>
    <w:rsid w:val="4B86017E"/>
    <w:rsid w:val="4BB26B7D"/>
    <w:rsid w:val="4F835253"/>
    <w:rsid w:val="50430A48"/>
    <w:rsid w:val="52957526"/>
    <w:rsid w:val="539C47DE"/>
    <w:rsid w:val="57441C0D"/>
    <w:rsid w:val="57A36574"/>
    <w:rsid w:val="58C46142"/>
    <w:rsid w:val="58D72375"/>
    <w:rsid w:val="5A1D1FAE"/>
    <w:rsid w:val="5DAF6DF6"/>
    <w:rsid w:val="5EEC01A1"/>
    <w:rsid w:val="61E865CA"/>
    <w:rsid w:val="63750765"/>
    <w:rsid w:val="64F466B7"/>
    <w:rsid w:val="654C0859"/>
    <w:rsid w:val="65B0017A"/>
    <w:rsid w:val="677734BF"/>
    <w:rsid w:val="6AD77E43"/>
    <w:rsid w:val="6DBD3434"/>
    <w:rsid w:val="6F1D3C1A"/>
    <w:rsid w:val="6FA3415F"/>
    <w:rsid w:val="712E3A4E"/>
    <w:rsid w:val="71BA3A22"/>
    <w:rsid w:val="71CD3E62"/>
    <w:rsid w:val="724D0AFE"/>
    <w:rsid w:val="72E83474"/>
    <w:rsid w:val="72F62F44"/>
    <w:rsid w:val="75A35A24"/>
    <w:rsid w:val="78362761"/>
    <w:rsid w:val="78BC52C2"/>
    <w:rsid w:val="79F966D5"/>
    <w:rsid w:val="7D531607"/>
    <w:rsid w:val="7DBF4FA6"/>
    <w:rsid w:val="7E036272"/>
    <w:rsid w:val="7E7A2C7B"/>
    <w:rsid w:val="7EEE556E"/>
    <w:rsid w:val="7EFA0DDF"/>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tabs>
        <w:tab w:val="left" w:pos="840"/>
      </w:tabs>
      <w:adjustRightInd w:val="0"/>
      <w:snapToGrid w:val="0"/>
      <w:spacing w:line="360" w:lineRule="auto"/>
      <w:outlineLvl w:val="0"/>
    </w:pPr>
    <w:rPr>
      <w:rFonts w:ascii="宋体"/>
      <w:b/>
      <w:kern w:val="44"/>
      <w:sz w:val="24"/>
    </w:rPr>
  </w:style>
  <w:style w:type="paragraph" w:styleId="5">
    <w:name w:val="heading 4"/>
    <w:basedOn w:val="1"/>
    <w:next w:val="1"/>
    <w:qFormat/>
    <w:uiPriority w:val="0"/>
    <w:pPr>
      <w:keepNext/>
      <w:keepLines/>
      <w:numPr>
        <w:ilvl w:val="3"/>
        <w:numId w:val="1"/>
      </w:numPr>
      <w:spacing w:line="540" w:lineRule="atLeast"/>
      <w:outlineLvl w:val="3"/>
    </w:pPr>
    <w:rPr>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bCs/>
      <w:szCs w:val="24"/>
    </w:rPr>
  </w:style>
  <w:style w:type="paragraph" w:styleId="3">
    <w:name w:val="Body Text"/>
    <w:basedOn w:val="1"/>
    <w:qFormat/>
    <w:uiPriority w:val="0"/>
    <w:pPr>
      <w:spacing w:after="120" w:afterLines="0"/>
    </w:pPr>
  </w:style>
  <w:style w:type="paragraph" w:styleId="6">
    <w:name w:val="Normal Indent"/>
    <w:basedOn w:val="1"/>
    <w:next w:val="1"/>
    <w:qFormat/>
    <w:uiPriority w:val="0"/>
    <w:pPr>
      <w:ind w:firstLine="420"/>
    </w:pPr>
    <w:rPr>
      <w:szCs w:val="20"/>
    </w:rPr>
  </w:style>
  <w:style w:type="paragraph" w:styleId="7">
    <w:name w:val="Body Text Indent"/>
    <w:basedOn w:val="1"/>
    <w:next w:val="8"/>
    <w:qFormat/>
    <w:uiPriority w:val="0"/>
    <w:pPr>
      <w:spacing w:line="200" w:lineRule="exact"/>
      <w:ind w:firstLine="301"/>
    </w:pPr>
    <w:rPr>
      <w:rFonts w:ascii="宋体" w:hAnsi="Courier New"/>
      <w:spacing w:val="-4"/>
      <w:sz w:val="18"/>
      <w:szCs w:val="20"/>
      <w14:ligatures w14:val="none"/>
    </w:rPr>
  </w:style>
  <w:style w:type="paragraph" w:styleId="8">
    <w:name w:val="Body Text First Indent 2"/>
    <w:basedOn w:val="7"/>
    <w:qFormat/>
    <w:uiPriority w:val="0"/>
    <w:pPr>
      <w:spacing w:after="120"/>
      <w:ind w:left="420" w:leftChars="200" w:firstLine="420"/>
    </w:pPr>
    <w:rPr>
      <w:rFonts w:cs="宋体"/>
      <w:sz w:val="21"/>
      <w:szCs w:val="21"/>
    </w:rPr>
  </w:style>
  <w:style w:type="paragraph" w:styleId="9">
    <w:name w:val="Plain Text"/>
    <w:basedOn w:val="1"/>
    <w:qFormat/>
    <w:uiPriority w:val="0"/>
    <w:pPr>
      <w:spacing w:beforeLines="50" w:afterLines="50" w:line="400" w:lineRule="exact"/>
    </w:pPr>
    <w:rPr>
      <w:rFonts w:ascii="宋体" w:hAnsi="Courier New"/>
      <w:sz w:val="24"/>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360" w:lineRule="auto"/>
      <w:jc w:val="left"/>
    </w:pPr>
    <w:rPr>
      <w:b/>
      <w:bCs/>
      <w:caps/>
      <w:sz w:val="24"/>
      <w:szCs w:val="20"/>
    </w:rPr>
  </w:style>
  <w:style w:type="paragraph" w:styleId="13">
    <w:name w:val="toc 6"/>
    <w:basedOn w:val="1"/>
    <w:next w:val="1"/>
    <w:qFormat/>
    <w:uiPriority w:val="0"/>
    <w:pPr>
      <w:ind w:left="2100" w:leftChars="10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jc w:val="center"/>
    </w:pPr>
    <w:rPr>
      <w:rFonts w:ascii="Arial" w:hAnsi="Arial" w:eastAsia="宋体"/>
      <w:b/>
      <w:kern w:val="0"/>
      <w:sz w:val="36"/>
      <w:szCs w:val="20"/>
      <w:lang w:eastAsia="en-US"/>
      <w14:ligatures w14:val="none"/>
    </w:rPr>
  </w:style>
  <w:style w:type="table" w:styleId="17">
    <w:name w:val="Table Grid"/>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rPr>
  </w:style>
  <w:style w:type="character" w:styleId="20">
    <w:name w:val="page number"/>
    <w:autoRedefine/>
    <w:qFormat/>
    <w:uiPriority w:val="0"/>
  </w:style>
  <w:style w:type="paragraph" w:customStyle="1" w:styleId="21">
    <w:name w:val="BodyText1I"/>
    <w:basedOn w:val="22"/>
    <w:autoRedefine/>
    <w:qFormat/>
    <w:uiPriority w:val="0"/>
    <w:pPr>
      <w:ind w:firstLine="420" w:firstLineChars="100"/>
    </w:pPr>
  </w:style>
  <w:style w:type="paragraph" w:customStyle="1" w:styleId="22">
    <w:name w:val="BodyText"/>
    <w:basedOn w:val="1"/>
    <w:autoRedefine/>
    <w:qFormat/>
    <w:uiPriority w:val="0"/>
    <w:pPr>
      <w:spacing w:after="120"/>
    </w:pPr>
  </w:style>
  <w:style w:type="paragraph" w:customStyle="1" w:styleId="23">
    <w:name w:val="表格文字"/>
    <w:basedOn w:val="1"/>
    <w:next w:val="3"/>
    <w:autoRedefine/>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24">
    <w:name w:val="页眉 Char"/>
    <w:basedOn w:val="18"/>
    <w:link w:val="11"/>
    <w:autoRedefine/>
    <w:qFormat/>
    <w:uiPriority w:val="0"/>
    <w:rPr>
      <w:kern w:val="2"/>
      <w:sz w:val="18"/>
      <w:szCs w:val="18"/>
    </w:rPr>
  </w:style>
  <w:style w:type="character" w:customStyle="1" w:styleId="25">
    <w:name w:val="页脚 Char"/>
    <w:basedOn w:val="18"/>
    <w:link w:val="10"/>
    <w:autoRedefine/>
    <w:qFormat/>
    <w:uiPriority w:val="0"/>
    <w:rPr>
      <w:kern w:val="2"/>
      <w:sz w:val="18"/>
      <w:szCs w:val="18"/>
    </w:rPr>
  </w:style>
  <w:style w:type="paragraph" w:styleId="26">
    <w:name w:val="List Paragraph"/>
    <w:basedOn w:val="1"/>
    <w:autoRedefine/>
    <w:qFormat/>
    <w:uiPriority w:val="0"/>
    <w:pPr>
      <w:ind w:firstLine="420" w:firstLineChars="200"/>
    </w:pPr>
    <w:rPr>
      <w:rFonts w:ascii="Calibri" w:hAnsi="Calibri"/>
      <w:szCs w:val="22"/>
    </w:rPr>
  </w:style>
  <w:style w:type="paragraph" w:customStyle="1" w:styleId="27">
    <w:name w:val="列出段落1"/>
    <w:basedOn w:val="1"/>
    <w:autoRedefine/>
    <w:qFormat/>
    <w:uiPriority w:val="0"/>
    <w:pPr>
      <w:widowControl/>
      <w:spacing w:after="160" w:line="360" w:lineRule="auto"/>
      <w:ind w:left="720"/>
      <w:contextualSpacing/>
      <w:jc w:val="left"/>
    </w:pPr>
    <w:rPr>
      <w:szCs w:val="22"/>
    </w:rPr>
  </w:style>
  <w:style w:type="paragraph" w:customStyle="1" w:styleId="28">
    <w:name w:val="Table Paragraph"/>
    <w:basedOn w:val="1"/>
    <w:autoRedefine/>
    <w:unhideWhenUsed/>
    <w:qFormat/>
    <w:uiPriority w:val="1"/>
    <w:pPr>
      <w:autoSpaceDE w:val="0"/>
      <w:autoSpaceDN w:val="0"/>
      <w:adjustRightInd w:val="0"/>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2033</Words>
  <Characters>2299</Characters>
  <Lines>17</Lines>
  <Paragraphs>4</Paragraphs>
  <TotalTime>18</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天津卫</cp:lastModifiedBy>
  <dcterms:modified xsi:type="dcterms:W3CDTF">2024-01-02T14:15:44Z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