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</w:t>
      </w:r>
      <w:r>
        <w:rPr>
          <w:rFonts w:hint="eastAsia" w:hAnsi="宋体" w:cs="宋体"/>
          <w:color w:val="000000"/>
          <w:sz w:val="44"/>
          <w:szCs w:val="44"/>
          <w:lang w:val="en-US" w:eastAsia="zh-CN"/>
        </w:rPr>
        <w:t>成人心理测评系统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成人心理测评系统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000元</w:t>
      </w: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tbl>
      <w:tblPr>
        <w:tblStyle w:val="1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38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38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技术要求</w:t>
            </w:r>
          </w:p>
        </w:tc>
        <w:tc>
          <w:tcPr>
            <w:tcW w:w="133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一</w:t>
            </w:r>
          </w:p>
        </w:tc>
        <w:tc>
          <w:tcPr>
            <w:tcW w:w="638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总体要求：</w:t>
            </w:r>
          </w:p>
        </w:tc>
        <w:tc>
          <w:tcPr>
            <w:tcW w:w="133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成人心理测评系统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套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功能要求及技术参数：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心理测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系统量表全面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highlight w:val="none"/>
                <w:lang w:eastAsia="zh-CN"/>
              </w:rPr>
              <w:t>，所有的量表均采用全国常模或标准的临床心理测量评分方法，对精神卫生、临床心理等均适用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2.2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人机对话，弹出式键盘、鼠标双向可变性操作，简单便捷，不会跳题。软件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明尼苏达续做功能，允许受测者分多次来完成答题。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管理者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还可以针对不同情况，对编号序列、界面、受测者基本信息等进行自定义调整，满足个性化需要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2.3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生成的自动报告和剖面图，以WORD文本样式显示，可直接进行文字输入、编辑修改和重新排版等，同时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提供文本、带剖面图及彩色等多种打印选择，并且可以采用批量处理的方式，避免逐条逐步处理报告的繁锁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2.4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系统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可以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自动对测验数据进行分析判断，生成相对应的参考诊断报告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管理者可以对受测者的报告或系统的自动报告模式进行修改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2.5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管理者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可通过系统专门设计的数据统计和统计报表功能，根据不同的性别、年龄、文化程度等因素对数据进行分类检索、整体状况查询及部分统计计算，并生成相应的T/Z检验结果和报表统计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测试数据还可以导入到SPSS等专业统计软件或以Excel格式导出，进行更深入的统计分析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843" w:firstLineChars="400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2.6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智力测验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量表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2.6.1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瑞文标准推理测验，瑞文高级推理测验，团体智力测验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2.7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人格/个性测验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量表：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2.7.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卡特尔16种人格测验（16PF），明尼苏达多相人格调查表(399/566/简版)（MMPI），艾森克个性测验（儿童/成人）（EPQ），气质问卷，爱德华个性偏好测验（EPPS）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2.8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一般心理健康测验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量表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</w:rPr>
              <w:t>心理健康综合筛查：90项症状清单（SCL-90），大学生心理健康调查表，康奈尔医学指数量表（CMI）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2.8.2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情绪测验：抑郁自评量表（SDS），汉密顿抑郁量表（HAMD），贝克抑郁自评问卷（BDI），流调用抑郁自评量表（CES），纽卡斯尔抑郁诊断量表（NDI），综合性医院焦虑抑郁量表，焦虑自评量表（SAS），状态-特质焦虑问卷（STAI），汉密顿焦虑量表（HAMA），贝克焦虑量表（BAI），社交焦虑量表（LSAS），惧怕否定评价量表（FNE），艾森克情绪稳定性测验，社交回避及苦恼量表（SAD），情绪—社交孤独问卷（ESLI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2.8.3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应激及相关测验：防御方式问卷（DSQ），应付方式问卷，简易应对方式量表，生活事件量表（LES），社会支持评定量表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2.9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临床心理评定量表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2.9.1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亚健康状况测验：A型行为测验，疲劳量表，匹茨堡睡眠质量指数量表，阿森斯失眠量表，UCLA孤独量表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2.9.2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婚姻家庭及生活满意度测验：家庭环境量表（FES），OLSON婚姻质量问卷，ED指数，性满意度量表；生活满意度评定量表（LSR），生活满意度指数A量表（LSIA），生活满意度指数B量表（LSIB），情感量表，纽芬兰幸福度量表，总体幸福感量表（GWB），健康状况问卷（SF36），生存质量测定量表（WHOQOL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2.10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老年及其他评定量表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老年临床评定量表（SCAG），老年抑郁量表，痴呆简易筛查量表（BSSD），缺血指数量表（HIS），长谷川痴呆评定量表（HDS），简易智力状态检查量表（MMSE），儿童行为量表（CBCL），Conners父母症状问卷（PSQ），个人评价问卷（PEI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精神科常用量表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63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精神症状全面量表（CPRS），简明精神病量表（BPRS），躁狂量表（BRMS），阴性症状量表（SANS），阳性症状量表（SAPS），护士用住院病人观察量表，副反应量表（TESS），抗抑郁药副反应量表（SERS），锥体外系副反应量表（RESES），日常生活能力量表（ADL），社会功能缺陷量表（SDSS），YALE—BROWN强迫量表，密西根酒精调查表（MAST）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三</w:t>
            </w:r>
          </w:p>
        </w:tc>
        <w:tc>
          <w:tcPr>
            <w:tcW w:w="6383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安装验收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3.1</w:t>
            </w:r>
          </w:p>
        </w:tc>
        <w:tc>
          <w:tcPr>
            <w:tcW w:w="63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安装地点：医院指定科室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3.2</w:t>
            </w:r>
          </w:p>
        </w:tc>
        <w:tc>
          <w:tcPr>
            <w:tcW w:w="63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安装完成时间：合同签订后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15个工作日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完成安装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验收交付甲方使用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3.3</w:t>
            </w:r>
          </w:p>
        </w:tc>
        <w:tc>
          <w:tcPr>
            <w:tcW w:w="63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安装标准：符合我国国家有关技术规范和技术标准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3.4</w:t>
            </w:r>
          </w:p>
        </w:tc>
        <w:tc>
          <w:tcPr>
            <w:tcW w:w="63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验收标准：符合我国国家有关技术规范和技术标准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3.5</w:t>
            </w:r>
          </w:p>
        </w:tc>
        <w:tc>
          <w:tcPr>
            <w:tcW w:w="63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安装、验收合格前所产生的一切费用（包括卸货、搬运、必要时的安全性能检测费等）由供方负责提供。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四</w:t>
            </w:r>
          </w:p>
        </w:tc>
        <w:tc>
          <w:tcPr>
            <w:tcW w:w="6383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33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4.1</w:t>
            </w:r>
          </w:p>
        </w:tc>
        <w:tc>
          <w:tcPr>
            <w:tcW w:w="63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软件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免费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维护期（包括升级）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：验收合格后≥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年，期间免一切费用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五</w:t>
            </w:r>
          </w:p>
        </w:tc>
        <w:tc>
          <w:tcPr>
            <w:tcW w:w="63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3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操作手册一套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3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培训：提供临床应用操作培训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并提供临床资料(培训ppt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)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3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付款方式:验收合格后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付款，投标商开具单张发票限额必须大于投标单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套系统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3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投标商提供的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必须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为最新版本</w:t>
            </w:r>
          </w:p>
        </w:tc>
        <w:tc>
          <w:tcPr>
            <w:tcW w:w="1336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pStyle w:val="6"/>
        <w:spacing w:line="360" w:lineRule="auto"/>
        <w:ind w:left="0" w:leftChars="0" w:firstLine="480" w:firstLineChars="20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验收合格后3个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一次性支付合同款项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，投标商开具单张发票限额必须大于投标单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套系统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价格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19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6"/>
        <w:tblW w:w="9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639"/>
        <w:gridCol w:w="997"/>
        <w:gridCol w:w="5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对应于招标文件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项目内容及要求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的偏离度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与招标文件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项目内容及要求对比，一项指标负偏离扣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分，标注★的指标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偏离每项扣4分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扣完为止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产品功能、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技术指标的先进性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评委对投标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产品功能、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技术指标的先进性进行评价：技术指标高于招标要求且具有较高临床使用价值的，每项得1分；最高得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维护升级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免费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维护期（包括升级）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超过招标文件要求的，每增加1年加1分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投标产品总体质量性能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投标产品在临床上的使用情况、稳定性、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适用性、操作便捷性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等总体质量性能综合评价。</w:t>
            </w:r>
          </w:p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A档：6-8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B档：3-5分；C档：0-2分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市场占有率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年1月1日起至今与最终用户签订的投标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同品牌型号系统的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合同复印件，每份有效合同得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制造商或代理商的售后服务和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制造商或代理商的售后服务和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能力，服务响应速度、服务人员水平、备品备件配置等综合评价。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5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温州市中医院成人心理测评系统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 </w:t>
      </w:r>
    </w:p>
    <w:tbl>
      <w:tblPr>
        <w:tblStyle w:val="16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1037"/>
        <w:gridCol w:w="1023"/>
        <w:gridCol w:w="296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型号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人民币元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免费维护期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成人心理测评系统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8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both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五、产品</w:t>
      </w:r>
      <w:r>
        <w:rPr>
          <w:rFonts w:hint="eastAsia"/>
          <w:b/>
          <w:bCs w:val="0"/>
          <w:sz w:val="28"/>
          <w:szCs w:val="28"/>
        </w:rPr>
        <w:t>配置清单</w:t>
      </w:r>
    </w:p>
    <w:tbl>
      <w:tblPr>
        <w:tblStyle w:val="16"/>
        <w:tblpPr w:leftFromText="180" w:rightFromText="180" w:vertAnchor="text" w:horzAnchor="margin" w:tblpXSpec="center" w:tblpY="357"/>
        <w:tblOverlap w:val="never"/>
        <w:tblW w:w="9500" w:type="dxa"/>
        <w:tblInd w:w="-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88"/>
        <w:gridCol w:w="1950"/>
        <w:gridCol w:w="1725"/>
        <w:gridCol w:w="1203"/>
        <w:gridCol w:w="1529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5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品牌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规格型号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金额（元）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pStyle w:val="13"/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0OGQ1OTFjNmE5MTk4NTg2OTBlYmNkYmQ1MWUwYWE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A0559A1"/>
    <w:rsid w:val="1B951E05"/>
    <w:rsid w:val="203F5CE6"/>
    <w:rsid w:val="252A6495"/>
    <w:rsid w:val="26614AE7"/>
    <w:rsid w:val="26A36964"/>
    <w:rsid w:val="2C0B329E"/>
    <w:rsid w:val="2DCF6290"/>
    <w:rsid w:val="2EE23DA1"/>
    <w:rsid w:val="32D37C76"/>
    <w:rsid w:val="32E87DD1"/>
    <w:rsid w:val="33F15215"/>
    <w:rsid w:val="35584BB1"/>
    <w:rsid w:val="36F20F59"/>
    <w:rsid w:val="36FF0897"/>
    <w:rsid w:val="38620F4A"/>
    <w:rsid w:val="3A5C534F"/>
    <w:rsid w:val="3AA307AA"/>
    <w:rsid w:val="3D4A148F"/>
    <w:rsid w:val="3D766728"/>
    <w:rsid w:val="3F351791"/>
    <w:rsid w:val="42417305"/>
    <w:rsid w:val="43F47C2B"/>
    <w:rsid w:val="44061017"/>
    <w:rsid w:val="442D7AA8"/>
    <w:rsid w:val="4432029C"/>
    <w:rsid w:val="45B222C8"/>
    <w:rsid w:val="46AB0BAA"/>
    <w:rsid w:val="4B2C08F7"/>
    <w:rsid w:val="4B86017E"/>
    <w:rsid w:val="4BB26B7D"/>
    <w:rsid w:val="4F835253"/>
    <w:rsid w:val="50430A48"/>
    <w:rsid w:val="52957526"/>
    <w:rsid w:val="532B74D5"/>
    <w:rsid w:val="539C47DE"/>
    <w:rsid w:val="57A36574"/>
    <w:rsid w:val="58D00F8B"/>
    <w:rsid w:val="58D72375"/>
    <w:rsid w:val="5A1D1FAE"/>
    <w:rsid w:val="5DAF6DF6"/>
    <w:rsid w:val="5EEC01A1"/>
    <w:rsid w:val="61E865CA"/>
    <w:rsid w:val="63750765"/>
    <w:rsid w:val="64F466B7"/>
    <w:rsid w:val="654C0859"/>
    <w:rsid w:val="65B0017A"/>
    <w:rsid w:val="677734BF"/>
    <w:rsid w:val="69C42446"/>
    <w:rsid w:val="6AD77E43"/>
    <w:rsid w:val="6B0F5943"/>
    <w:rsid w:val="6E5536AC"/>
    <w:rsid w:val="6FA3415F"/>
    <w:rsid w:val="70C40F7D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qFormat/>
    <w:uiPriority w:val="0"/>
    <w:pPr>
      <w:spacing w:after="120" w:afterLines="0"/>
    </w:pPr>
  </w:style>
  <w:style w:type="paragraph" w:styleId="8">
    <w:name w:val="Body Text First Indent"/>
    <w:basedOn w:val="7"/>
    <w:next w:val="9"/>
    <w:qFormat/>
    <w:uiPriority w:val="0"/>
    <w:pPr>
      <w:ind w:firstLine="420" w:firstLineChars="100"/>
    </w:pPr>
    <w:rPr>
      <w:b/>
      <w:bCs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</w:style>
  <w:style w:type="paragraph" w:styleId="10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7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qFormat/>
    <w:uiPriority w:val="0"/>
  </w:style>
  <w:style w:type="paragraph" w:customStyle="1" w:styleId="21">
    <w:name w:val="BodyText1I"/>
    <w:basedOn w:val="22"/>
    <w:qFormat/>
    <w:uiPriority w:val="0"/>
    <w:pPr>
      <w:ind w:firstLine="420" w:firstLineChars="100"/>
    </w:p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表格文字"/>
    <w:basedOn w:val="1"/>
    <w:next w:val="7"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4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qFormat/>
    <w:uiPriority w:val="0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9</TotalTime>
  <ScaleCrop>false</ScaleCrop>
  <LinksUpToDate>false</LinksUpToDate>
  <CharactersWithSpaces>2342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Administrator</cp:lastModifiedBy>
  <dcterms:modified xsi:type="dcterms:W3CDTF">2023-12-19T08:42:16Z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BDC350B777C44DFDACB8FBB696258D1E</vt:lpwstr>
  </property>
</Properties>
</file>