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40"/>
          <w:szCs w:val="40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0"/>
          <w:szCs w:val="40"/>
        </w:rPr>
        <w:t>温州市中医院</w:t>
      </w:r>
      <w:r>
        <w:rPr>
          <w:rFonts w:hint="eastAsia" w:hAnsi="宋体" w:cs="宋体"/>
          <w:color w:val="000000"/>
          <w:sz w:val="40"/>
          <w:szCs w:val="40"/>
          <w:lang w:val="en-US" w:eastAsia="zh-CN"/>
        </w:rPr>
        <w:t>龙湾院区临检三大常规检测项目耗材（试剂）及配套设备租赁</w:t>
      </w:r>
      <w:r>
        <w:rPr>
          <w:rFonts w:hint="eastAsia" w:ascii="宋体" w:hAnsi="宋体" w:eastAsia="宋体" w:cs="宋体"/>
          <w:color w:val="000000"/>
          <w:sz w:val="40"/>
          <w:szCs w:val="40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40" w:firstLineChars="20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项目名称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温州市中医院</w:t>
      </w:r>
      <w:r>
        <w:rPr>
          <w:rFonts w:hint="eastAsia" w:ascii="宋体" w:hAnsi="宋体" w:cs="宋体"/>
          <w:sz w:val="22"/>
          <w:szCs w:val="22"/>
          <w:lang w:val="en-US" w:eastAsia="zh-CN"/>
        </w:rPr>
        <w:t>龙湾院区临检三大常规检测项目耗材（试剂）及配套设备租赁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采购方式：公开遴选（非政府采购）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预算金额：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73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000元</w:t>
      </w:r>
      <w:r>
        <w:rPr>
          <w:rFonts w:hint="eastAsia" w:ascii="宋体" w:hAnsi="宋体" w:cs="宋体"/>
          <w:sz w:val="22"/>
          <w:szCs w:val="22"/>
          <w:lang w:val="en-US" w:eastAsia="zh-CN"/>
        </w:rPr>
        <w:t>/年</w:t>
      </w:r>
    </w:p>
    <w:p>
      <w:pPr>
        <w:pStyle w:val="4"/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二、总体要求</w:t>
      </w:r>
    </w:p>
    <w:p>
      <w:pPr>
        <w:tabs>
          <w:tab w:val="left" w:pos="360"/>
        </w:tabs>
        <w:spacing w:line="360" w:lineRule="auto"/>
        <w:ind w:firstLine="550" w:firstLineChars="250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1、投标供应商应对招标范围内的所有内容进行投标，提供产品及其附件的设计、采购、制造、检测、试验、至最终目的地的运输和保险、现场仓储以及安装、验收、技术服务及相关文件的提交、质保期维护等服务。</w:t>
      </w:r>
    </w:p>
    <w:p>
      <w:pPr>
        <w:tabs>
          <w:tab w:val="left" w:pos="360"/>
        </w:tabs>
        <w:spacing w:line="360" w:lineRule="auto"/>
        <w:ind w:firstLine="550" w:firstLineChars="250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2、投标供应商所投产品及主要部件的名称、品牌、型号、技术参数、性能、数量、单价、合价、制造商、质保期等应在投标文件中明确，对招标文件的技术条款及要求应予以实质性响应，如有偏离应在偏离表中注明。</w:t>
      </w:r>
    </w:p>
    <w:p>
      <w:pPr>
        <w:tabs>
          <w:tab w:val="left" w:pos="360"/>
        </w:tabs>
        <w:spacing w:line="360" w:lineRule="auto"/>
        <w:outlineLvl w:val="2"/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zh-CN"/>
        </w:rPr>
        <w:t>、招标内容一览表</w:t>
      </w:r>
    </w:p>
    <w:tbl>
      <w:tblPr>
        <w:tblStyle w:val="18"/>
        <w:tblW w:w="9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910"/>
        <w:gridCol w:w="1665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序号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货物名称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预算</w:t>
            </w:r>
          </w:p>
        </w:tc>
        <w:tc>
          <w:tcPr>
            <w:tcW w:w="40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aps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  <w:t>龙湾院区临检三大常规检测项目耗材（试剂）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  <w:t>¥70000元/年</w:t>
            </w:r>
          </w:p>
        </w:tc>
        <w:tc>
          <w:tcPr>
            <w:tcW w:w="40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从合同签订之日起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壹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年或达到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b w:val="0"/>
                <w:bCs/>
                <w:color w:val="auto"/>
                <w:sz w:val="22"/>
                <w:szCs w:val="22"/>
                <w:highlight w:val="none"/>
              </w:rPr>
              <w:t>预算金额的，任一条件达到即视为合作期结束。合作期内如遇政策性原因，导致合同无法履行，则合同自行终止。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1年合作期结束后根据医院需要，可延长1年合作期（合作期满条件同第一年一样）。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  <w:t>配套设备租赁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  <w:t>¥3000元/年</w:t>
            </w:r>
          </w:p>
        </w:tc>
        <w:tc>
          <w:tcPr>
            <w:tcW w:w="402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460" w:lineRule="exact"/>
        <w:ind w:firstLine="442" w:firstLineChars="200"/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  <w:t>主要试剂报价：</w:t>
      </w:r>
    </w:p>
    <w:tbl>
      <w:tblPr>
        <w:tblStyle w:val="18"/>
        <w:tblW w:w="0" w:type="auto"/>
        <w:tblInd w:w="17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806"/>
        <w:gridCol w:w="2715"/>
        <w:gridCol w:w="28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检验项目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  <w:t>年估测试数量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品牌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血常规检测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2500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  <w:t>C-反应蛋白检测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500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  <w:t>尿液常规检测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4500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4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  <w:t>粪便常规检测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3000</w:t>
            </w:r>
          </w:p>
        </w:tc>
        <w:tc>
          <w:tcPr>
            <w:tcW w:w="289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460" w:lineRule="exact"/>
        <w:ind w:firstLine="442" w:firstLineChars="200"/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  <w:t>注：以上数量为一年所需数量，实际根据采购人使用情况变动。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新宋体" w:hAnsi="新宋体" w:eastAsia="新宋体" w:cs="新宋体"/>
          <w:bCs/>
          <w:color w:val="auto"/>
          <w:sz w:val="22"/>
          <w:szCs w:val="22"/>
          <w:highlight w:val="none"/>
        </w:rPr>
      </w:pPr>
    </w:p>
    <w:p>
      <w:pPr>
        <w:numPr>
          <w:ilvl w:val="0"/>
          <w:numId w:val="2"/>
        </w:numPr>
        <w:spacing w:line="400" w:lineRule="exact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技术规格及配置要求</w:t>
      </w:r>
    </w:p>
    <w:tbl>
      <w:tblPr>
        <w:tblStyle w:val="18"/>
        <w:tblW w:w="954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血液分析仪技术要求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检测原理：采用激光散射法对白细胞进行准确的五分类检测，采用免疫比浊法进行C-反应蛋白（CRP）测定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分类通道：具有独立的嗜碱性粒细胞通道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检测参数：≥26项可报告参数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研究参数：≥6项，具有异常淋巴细胞、有核红细胞和原始细胞报警信息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血液分析显示图形：≥1个三维散点图、≥3个二维散点图、≥3个直方图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新宋体"/>
                <w:b w:val="0"/>
                <w:bCs w:val="0"/>
                <w:color w:val="000000"/>
                <w:sz w:val="22"/>
              </w:rPr>
              <w:t>★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进样方式：全自动进样，单管封闭进样；急诊位有单管封闭进样仓，有效降低生物污染风险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检测模式：具有独立CRP、单独五分类、五分类+CRP等3种以上全血检测模式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样本用量：五分类+CRP模式≤40μl，CRP模式≤20μl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检测速度：五分类+CRP模式≥55个样本/小时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1.10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预稀释模式：自动定量打出稀释液，具备五分类+CRP功能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线性范围：WBC：0~400×109/L，PLT：0～5000×109/L，HGB：0-250g/L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CRP线性范围：0.3~300mg/L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CRP携带污染：≤1.0%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全血CRP检测时可校正红细胞、白细胞、血小板体积的干扰（提供证明文件）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操作系统：全中文操作分析报告软件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排堵方式：正反冲洗，高压灼烧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1.17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对所有试剂（包括染色液、稀释液和CRP乳胶试剂）全部进行37°C温控反应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1.18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具有原厂配套的试剂、质控品、校准品，厂家具备溯源实验室，提供校准品溯源性文件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1.19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工作电压: (100V-240V～)允差±10%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1.20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双向通讯功能：双向通讯，可与LIS相连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尿液分析仪技术要求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尿有形成分检测工作原理：采用尿沉渣镜检影像分析原理,通过摄像头对尿液中的有形成分进行拍照保存，并对其中的有形成分进行自动判读，人工审核后报告结果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干化学检测工作原理：通过拍照留存尿试纸条图片，通过AI算法得到各个项目对应浓度的梯度值；可溯源查询图片、结果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干化学检测项目≥14项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尿有形成分检测项目≥23项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理学指标报告结果：4项理学指标标配，包含颜色、浊度、比重、电导率共计4项结果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颜色检测方法：对尿液标本拍照，留存结果，并通过AI算法进行自动识别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比重检测方法：独立物理单元结构检测，提供精准定量比重数据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2.8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红细胞位相图：可通过红细胞形态的鉴定发出红细胞位相报告，可提供平均分布、平均直径、平均比例3项报告参数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2.9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检测速度：单独干化学模式：≥240样本/小时；单独有形成分模式：＞120样本/小时；干化学+有形成分模式：＞120样本/小时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2.10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样本需求量：干化学测试模式≥2ml；有形成分测试模式≥2ml，联合测试模式＜3ml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标本要求：原尿直接上机检测，无需离心，无需染色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送样装置：轨道式进样，一次可以放置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100个样本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计数池检测通道：流动石英计数池，通道数≥4通道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显微镜物镜：具备高低倍物镜，物镜数≥2个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急诊功能：仪器主机特设独立急诊位，随时进行急诊样本检测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加样方式：干化学点阵式加样方式，避免各项目间的交叉污染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镜检图片：预设6种拍摄模式，可拍摄视野≥224个，可自定义视野数目；拍摄显微镜下全景真实图片。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2.18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拍摄模式：每个视野实现分层扫描，拍摄层数≥5层，阅片实现与显微镜微调相似效果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2.19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图像显示功能：可显示并存储在加入样本反应后的尿试纸条图像，及有形成份的真实镜下全景图像，用于结果审核与查阅等方面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2.20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扫码功能：内置扫码仪，360°旋转扫码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2.21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对焦功能：全自动一键对焦，无需对焦液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2.22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1"/>
              </w:rPr>
              <w:t>双向通讯功能：双向通讯，可与LIS相连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全自动粪便分析仪技术要求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★</w:t>
            </w: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检测速度≥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80</w:t>
            </w:r>
            <w:r>
              <w:rPr>
                <w:rStyle w:val="31"/>
                <w:sz w:val="21"/>
                <w:szCs w:val="21"/>
                <w:lang w:bidi="ar"/>
              </w:rPr>
              <w:t>个标本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/</w:t>
            </w:r>
            <w:r>
              <w:rPr>
                <w:rStyle w:val="31"/>
                <w:sz w:val="21"/>
                <w:szCs w:val="21"/>
                <w:lang w:bidi="ar"/>
              </w:rPr>
              <w:t>小时（提供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CFDA</w:t>
            </w:r>
            <w:r>
              <w:rPr>
                <w:rStyle w:val="31"/>
                <w:sz w:val="21"/>
                <w:szCs w:val="21"/>
                <w:lang w:bidi="ar"/>
              </w:rPr>
              <w:t>检测报告证明仪器速度达到此标准）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新宋体"/>
                <w:color w:val="000000"/>
                <w:sz w:val="22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3.2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计数池检测通道：流动石英计数池，通道数≥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2</w:t>
            </w:r>
            <w:r>
              <w:rPr>
                <w:rStyle w:val="31"/>
                <w:sz w:val="21"/>
                <w:szCs w:val="21"/>
                <w:lang w:bidi="ar"/>
              </w:rPr>
              <w:t>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显微镜物镜≥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2</w:t>
            </w:r>
            <w:r>
              <w:rPr>
                <w:rStyle w:val="31"/>
                <w:sz w:val="21"/>
                <w:szCs w:val="21"/>
                <w:lang w:bidi="ar"/>
              </w:rPr>
              <w:t>个，开机自动对焦，全自动一键对焦功能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金标卡孵育检测通道：≥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20</w:t>
            </w:r>
            <w:r>
              <w:rPr>
                <w:rStyle w:val="31"/>
                <w:sz w:val="21"/>
                <w:szCs w:val="21"/>
                <w:lang w:bidi="ar"/>
              </w:rPr>
              <w:t>个独立检测单控孵育通道位，立体式多通道设计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混匀方式：旋转混匀，混匀旋转速度可调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预设拍摄图片数量：可预设拍摄≥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176</w:t>
            </w:r>
            <w:r>
              <w:rPr>
                <w:rStyle w:val="31"/>
                <w:sz w:val="21"/>
                <w:szCs w:val="21"/>
                <w:lang w:bidi="ar"/>
              </w:rPr>
              <w:t>视野，亦可自定义拍摄视野数目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吸样方式：吸样针从上往下穿刺，在采集杯中间吸样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有形成分检测：检测红细胞、白细胞、真菌、脂肪球、虫卵等成分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★</w:t>
            </w: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隐血化学物质检测：粪便金标隐血仪器可自动定性识别检测，无需人工判读（提供产品注册证和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CFDA</w:t>
            </w:r>
            <w:r>
              <w:rPr>
                <w:rStyle w:val="31"/>
                <w:sz w:val="21"/>
                <w:szCs w:val="21"/>
                <w:lang w:bidi="ar"/>
              </w:rPr>
              <w:t>检测报告，证明仪器可做金标项目并自动识别）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金标检测项目：仪器可同时一次性吸样检测项目≥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6</w:t>
            </w:r>
            <w:r>
              <w:rPr>
                <w:rStyle w:val="31"/>
                <w:sz w:val="21"/>
                <w:szCs w:val="21"/>
                <w:lang w:bidi="ar"/>
              </w:rPr>
              <w:t>个（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FOB</w:t>
            </w:r>
            <w:r>
              <w:rPr>
                <w:rStyle w:val="31"/>
                <w:sz w:val="21"/>
                <w:szCs w:val="21"/>
                <w:lang w:bidi="ar"/>
              </w:rPr>
              <w:t>、转铁蛋白、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HP</w:t>
            </w:r>
            <w:r>
              <w:rPr>
                <w:rStyle w:val="31"/>
                <w:sz w:val="21"/>
                <w:szCs w:val="21"/>
                <w:lang w:bidi="ar"/>
              </w:rPr>
              <w:t>、轮状病毒、腺病毒、钙卫蛋白）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金标项目孵育时间：标本一次吸样后仪器主机能满足同时≥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  <w:r>
              <w:rPr>
                <w:rStyle w:val="31"/>
                <w:sz w:val="21"/>
                <w:szCs w:val="21"/>
                <w:lang w:bidi="ar"/>
              </w:rPr>
              <w:t>个不同时间点的检测：粪便隐血设定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4</w:t>
            </w:r>
            <w:r>
              <w:rPr>
                <w:rStyle w:val="31"/>
                <w:sz w:val="21"/>
                <w:szCs w:val="21"/>
                <w:lang w:bidi="ar"/>
              </w:rPr>
              <w:t>分钟，轮、腺病毒检测设定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31"/>
                <w:sz w:val="21"/>
                <w:szCs w:val="21"/>
                <w:lang w:bidi="ar"/>
              </w:rPr>
              <w:t>分钟，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HP</w:t>
            </w:r>
            <w:r>
              <w:rPr>
                <w:rStyle w:val="31"/>
                <w:sz w:val="21"/>
                <w:szCs w:val="21"/>
                <w:lang w:bidi="ar"/>
              </w:rPr>
              <w:t>检测设定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10</w:t>
            </w:r>
            <w:r>
              <w:rPr>
                <w:rStyle w:val="31"/>
                <w:sz w:val="21"/>
                <w:szCs w:val="21"/>
                <w:lang w:bidi="ar"/>
              </w:rPr>
              <w:t>分钟，以上项目可以在多个不同反应时间点同时检测，使免疫学的结果更准确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金标试剂卡加载量：总加载量≥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200</w:t>
            </w:r>
            <w:r>
              <w:rPr>
                <w:rStyle w:val="31"/>
                <w:sz w:val="21"/>
                <w:szCs w:val="21"/>
                <w:lang w:bidi="ar"/>
              </w:rPr>
              <w:t>个试剂卡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急诊功能：仪器主机进样特设独立急诊位，急诊标本随到随测，不占用试管架位，不影响批量处理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3.1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图像拍摄方式，可多达8层拍摄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通信功能：能通过主机内扫码自动检测同一标本的多个反应时间点的金标项目（例如粪便隐血、转铁蛋白、轮、腺病毒、幽门螺旋杆菌等项目应设定不同反应时间），不需人工扫码，实现无人值守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16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条码功能仪器，实现仪器主机自动扫码功能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17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1"/>
                <w:sz w:val="21"/>
                <w:szCs w:val="21"/>
                <w:lang w:bidi="ar"/>
              </w:rPr>
              <w:t>金标检测功能：≥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5</w:t>
            </w:r>
            <w:r>
              <w:rPr>
                <w:rStyle w:val="31"/>
                <w:sz w:val="21"/>
                <w:szCs w:val="21"/>
                <w:lang w:bidi="ar"/>
              </w:rPr>
              <w:t>个卡盒，试剂位≥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5</w:t>
            </w:r>
            <w:r>
              <w:rPr>
                <w:rStyle w:val="31"/>
                <w:sz w:val="21"/>
                <w:szCs w:val="21"/>
                <w:lang w:bidi="ar"/>
              </w:rPr>
              <w:t>个，批量标本间仪器可同时设定并检测≥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3</w:t>
            </w:r>
            <w:r>
              <w:rPr>
                <w:rStyle w:val="31"/>
                <w:sz w:val="21"/>
                <w:szCs w:val="21"/>
                <w:lang w:bidi="ar"/>
              </w:rPr>
              <w:t>个不同反应时间的项目，根据免疫学反应的特性，粪便隐血设定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3-5</w:t>
            </w:r>
            <w:r>
              <w:rPr>
                <w:rStyle w:val="31"/>
                <w:sz w:val="21"/>
                <w:szCs w:val="21"/>
                <w:lang w:bidi="ar"/>
              </w:rPr>
              <w:t>分钟，轮、腺病毒设定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10-15</w:t>
            </w:r>
            <w:r>
              <w:rPr>
                <w:rStyle w:val="31"/>
                <w:sz w:val="21"/>
                <w:szCs w:val="21"/>
                <w:lang w:bidi="ar"/>
              </w:rPr>
              <w:t>分钟，幽门螺杆菌设定</w:t>
            </w:r>
            <w:r>
              <w:rPr>
                <w:rStyle w:val="32"/>
                <w:rFonts w:hint="eastAsia" w:ascii="宋体" w:hAnsi="宋体" w:cs="宋体"/>
                <w:sz w:val="21"/>
                <w:szCs w:val="21"/>
                <w:lang w:bidi="ar"/>
              </w:rPr>
              <w:t>10-15</w:t>
            </w:r>
            <w:r>
              <w:rPr>
                <w:rStyle w:val="31"/>
                <w:sz w:val="21"/>
                <w:szCs w:val="21"/>
                <w:lang w:bidi="ar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</w:rPr>
              <w:t>3.</w:t>
            </w: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18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隐血报告格式：可定性和半定量报告模式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eastAsia="新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000000"/>
                <w:sz w:val="22"/>
                <w:lang w:val="en-US" w:eastAsia="zh-CN"/>
              </w:rPr>
              <w:t>3.19</w:t>
            </w:r>
          </w:p>
        </w:tc>
        <w:tc>
          <w:tcPr>
            <w:tcW w:w="8664" w:type="dxa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  <w:szCs w:val="21"/>
              </w:rPr>
              <w:t>双向通讯功能：双向通讯，可与LIS相连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  <w:t>其他及售后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系统配置：提供系统配置清单、相关证件等资料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耗品及仪器配件：耗品及仪器配件均为原装配套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eastAsia="zh-CN"/>
              </w:rPr>
              <w:t>，所提供耗材（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  <w:t>试剂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eastAsia="zh-CN"/>
              </w:rPr>
              <w:t>）的剩余有效期不得少于整个产品有效期的2/3，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  <w:t>所提供的</w:t>
            </w:r>
            <w:r>
              <w:rPr>
                <w:rFonts w:hint="eastAsia" w:ascii="新宋体" w:hAnsi="新宋体" w:eastAsia="新宋体"/>
                <w:color w:val="auto"/>
                <w:sz w:val="22"/>
                <w:highlight w:val="none"/>
              </w:rPr>
              <w:t>所有设备必须为全新的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.3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合作期内试剂价格保持不变，医院根据实际临床需要量分批向中标方采购试剂。合作期内如有试验项目方法性能不能满足临床需求，医院有权单方结束合作协议。如协商不妥，医院有权另行购买。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试剂耗材款结算：按医院试剂耗材财务发票每月结算。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合作期间，厂家免费提供设备校准服务，并出具符合国家标准的校准报告。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.6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合作期内新开展项目的试剂价格由双方共同协商解决，新增项目需要按照医院走新增审批流程，如协商不妥，医院有权另行购买。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售后服务保障：</w:t>
            </w:r>
            <w:r>
              <w:rPr>
                <w:color w:val="000000"/>
                <w:sz w:val="22"/>
              </w:rPr>
              <w:t>7×24h在线服务，1h内响应，24h内现场维修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试剂使用期间，仪器由投标商或厂商提供免费保修设备能够与创业LIS无缝连接。承担联网费用。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操作手册、维修手册：提供操作手册、维修手册各一套。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4.10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培训：提供临床应用操作培训。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.11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实现LIS系统无缝网络连接，承担联网费用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  <w:t>每套设备配置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2"/>
                <w:szCs w:val="22"/>
                <w:highlight w:val="yellow"/>
              </w:rPr>
              <w:t>提供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2"/>
                <w:szCs w:val="22"/>
                <w:highlight w:val="yellow"/>
                <w:lang w:val="en-US" w:eastAsia="zh-CN"/>
              </w:rPr>
              <w:t>1套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2"/>
                <w:szCs w:val="22"/>
                <w:highlight w:val="yellow"/>
              </w:rPr>
              <w:t>电脑及打印机</w:t>
            </w:r>
            <w:r>
              <w:rPr>
                <w:rFonts w:hint="eastAsia" w:ascii="新宋体" w:hAnsi="新宋体" w:eastAsia="新宋体" w:cs="新宋体"/>
                <w:color w:val="FF0000"/>
                <w:kern w:val="0"/>
                <w:sz w:val="22"/>
                <w:szCs w:val="22"/>
                <w:highlight w:val="yellow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LIS联网后可打印检测报告。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u w:val="single"/>
              </w:rPr>
              <w:t>★4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.12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投标商应提供试剂包、消耗品、质控品、价格清单。并提供电子版报价文件。(提供每标本的试剂成本)。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4.13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合同期内：耗材（试剂）供货价如高于同期温州地区其他医院相同产品的采购价格，则供货价格调整到温州地区其他医院相同产品的采购价格，且该耗材（试剂）采购须经过两定机构医疗保障信息平台进行采购。若该耗材（试剂）纳入省或市集中招标采购目录，本合同品牌耗材（试剂）未能中标，则合同期自动终止。如中标，则按中标价格与采购方式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4.14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投标报价=【耗材（试剂）单价/测试（人份）】*年估测试数量+年租赁费用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中标人合同签订后不得对医院订货量提出任何要求。该投标价包括但不限于设备租赁、试剂、消耗品、保修费和各类服务费等所有费用。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  <w:t>4.15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60" w:lineRule="exact"/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lang w:val="en-US"/>
              </w:rPr>
              <w:t>交货期：</w:t>
            </w: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lang w:val="en-US"/>
              </w:rPr>
              <w:br w:type="textWrapping"/>
            </w: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lang w:val="en-US"/>
              </w:rPr>
              <w:t>（1）耗材：收到甲方通知后5个工作日内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</w:pP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lang w:val="en-US"/>
              </w:rPr>
              <w:t>（2）设备：合同签订后5个工作日内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▲4.16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u w:val="single"/>
                <w:lang w:val="en-US" w:eastAsia="zh-CN" w:bidi="ar-SA"/>
              </w:rPr>
            </w:pP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>项目所涉</w:t>
            </w:r>
            <w:r>
              <w:rPr>
                <w:rStyle w:val="30"/>
                <w:rFonts w:hint="eastAsia" w:ascii="新宋体" w:hAnsi="新宋体" w:eastAsia="新宋体" w:cs="新宋体"/>
                <w:b w:val="0"/>
                <w:kern w:val="0"/>
                <w:sz w:val="22"/>
                <w:szCs w:val="22"/>
                <w:highlight w:val="none"/>
                <w:u w:val="single"/>
                <w:lang w:val="en-US"/>
              </w:rPr>
              <w:t>耗材必须在两定机构医疗保障信息平台挂网目录内，有产品id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4.1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664" w:type="dxa"/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其他：请补充说明未提及参数及功能和其优势项目，以作为选择的参考。</w:t>
            </w:r>
          </w:p>
        </w:tc>
      </w:tr>
    </w:tbl>
    <w:p>
      <w:pPr>
        <w:pStyle w:val="10"/>
        <w:numPr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outlineLvl w:val="1"/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</w:rPr>
        <w:t>、服务内容及要求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  <w:t>1、报价方式：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highlight w:val="none"/>
          <w:u w:val="none"/>
        </w:rPr>
        <w:t>配套设备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租赁方式，按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  <w:lang w:val="en-US" w:eastAsia="zh-CN"/>
        </w:rPr>
        <w:t>壹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年单台租赁费进行报价；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highlight w:val="none"/>
          <w:u w:val="none"/>
        </w:rPr>
        <w:t>龙湾院区临检三大常规检测项目耗材（试剂）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实行购买方式，按每条价格进行报价。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  <w:t>该价格是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szCs w:val="22"/>
          <w:highlight w:val="none"/>
        </w:rPr>
        <w:t>设备租赁、供应、税金、包装、运输、安装调试、售后服务等完成合同所需的一切本身和不可或缺的所有工作开支、政策性文件规定及合同包含的所有风险、责任等各项全部费用并承担一切风险责任，实行固定费用总包干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2、</w:t>
      </w:r>
      <w:r>
        <w:rPr>
          <w:rFonts w:hint="eastAsia" w:ascii="宋体" w:hAnsi="宋体"/>
          <w:color w:val="auto"/>
          <w:sz w:val="22"/>
          <w:highlight w:val="none"/>
        </w:rPr>
        <w:t>合同签订后，设备验收合格后合作期满1年或检测耗材（试剂）采购量达预算，任一条件达到即视为合作期结束。合作期内如遇政策性原因，导致合同无法履行，则合同自行终止。1年合作期结束后根据医院需要，可延长1年合作期（合作期满条件同第一年一样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3、合作期间，医院按中标价格采购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龙湾院区临检三大常规检测项目耗材（试剂）及配套设备租赁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，并在订货后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5个工作日</w:t>
      </w:r>
      <w:bookmarkStart w:id="1" w:name="_GoBack"/>
      <w:bookmarkEnd w:id="1"/>
      <w:r>
        <w:rPr>
          <w:rFonts w:hint="eastAsia" w:ascii="新宋体" w:hAnsi="新宋体" w:eastAsia="新宋体"/>
          <w:color w:val="auto"/>
          <w:sz w:val="22"/>
          <w:highlight w:val="none"/>
        </w:rPr>
        <w:t>内到货。设备保修、保养由中标方负责，故障报修后即时响应，4小时内维修。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合同期内：耗材（试剂）供货价如高于同期温州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地区其他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医院相同产品的采购价格，则供货价格调整到温州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地区其他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医院相同产品的采购价格，且该耗材（试剂）采购须经过</w:t>
      </w:r>
      <w:r>
        <w:rPr>
          <w:rFonts w:hint="eastAsia" w:ascii="新宋体" w:hAnsi="新宋体" w:eastAsia="新宋体"/>
          <w:b/>
          <w:bCs/>
          <w:color w:val="auto"/>
          <w:sz w:val="22"/>
          <w:highlight w:val="none"/>
        </w:rPr>
        <w:t>两定机构医疗保障信息平台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进行采购。若该耗材（试剂）纳入省或市集中招标采购目录，本合同品牌耗材（试剂）未能中标，则合同期自动终止。如中标，则按中标价格与采购方式执行。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4、交货期：合同签订后设备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5个工作日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内交货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，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到货地点：温州市中医院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5、供应商提供给医院所有设备必须为全新的。供应商提供给医院所有试剂必须为原厂包装完整、未使用过的试剂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，所提供耗材（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试剂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）的剩余有效期不得少于整个产品有效期的2/3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6、付款方式：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6.1 耗材付款：采购人对耗材验收合格后每月按实际使用量乘以成交单价进行计算。中标人开具发票，采购人在收到中标人发票后三个月内支付。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6.2 租赁设备付款：设备租赁费在合作期满后</w:t>
      </w:r>
      <w:r>
        <w:rPr>
          <w:rFonts w:hint="eastAsia" w:ascii="新宋体" w:hAnsi="新宋体" w:eastAsia="新宋体"/>
          <w:color w:val="auto"/>
          <w:sz w:val="22"/>
          <w:highlight w:val="none"/>
          <w:u w:val="single"/>
        </w:rPr>
        <w:t xml:space="preserve">  7  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日内，按实际租赁期限计算租赁费，中标人开具发票，采购人在收到中标人发票后三个月内一次性支付。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7、设备延期交货罚款：延期交货每7天，按合同总价的0.5%支付迟交违约金，不足7天按7天计，依次累计，最高罚款为合同总价的5%。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8、保密：招投标及合同中凡涉及买方项目的有关信息，不得透露给第三方。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 xml:space="preserve">、说明：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1、产品标准和规范应符合最新版本的中华人民共和国国家标准/规范，或相应的国际标准/规范，或厂家标准/规范。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2、</w:t>
      </w:r>
      <w:r>
        <w:rPr>
          <w:rFonts w:ascii="新宋体" w:hAnsi="新宋体" w:eastAsia="新宋体"/>
          <w:color w:val="auto"/>
          <w:sz w:val="22"/>
          <w:highlight w:val="none"/>
        </w:rPr>
        <w:t>本标书中的技术要求不得被认为是详尽无遗的，无论规定与否，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</w:t>
      </w:r>
      <w:r>
        <w:rPr>
          <w:rFonts w:ascii="新宋体" w:hAnsi="新宋体" w:eastAsia="新宋体"/>
          <w:color w:val="auto"/>
          <w:sz w:val="22"/>
          <w:highlight w:val="none"/>
        </w:rPr>
        <w:t>供应商应提供所有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投标文件</w:t>
      </w:r>
      <w:r>
        <w:rPr>
          <w:rFonts w:ascii="新宋体" w:hAnsi="新宋体" w:eastAsia="新宋体"/>
          <w:color w:val="auto"/>
          <w:sz w:val="22"/>
          <w:highlight w:val="none"/>
        </w:rPr>
        <w:t>没有规定但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</w:t>
      </w:r>
      <w:r>
        <w:rPr>
          <w:rFonts w:ascii="新宋体" w:hAnsi="新宋体" w:eastAsia="新宋体"/>
          <w:color w:val="auto"/>
          <w:sz w:val="22"/>
          <w:highlight w:val="none"/>
        </w:rPr>
        <w:t>供应商认为完成本项目必要或必须的设备和材料，应在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技术标</w:t>
      </w:r>
      <w:r>
        <w:rPr>
          <w:rFonts w:ascii="新宋体" w:hAnsi="新宋体" w:eastAsia="新宋体"/>
          <w:color w:val="auto"/>
          <w:sz w:val="22"/>
          <w:highlight w:val="none"/>
        </w:rPr>
        <w:t>表中一一列明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并在商务标分项报价表中列出对应价格。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3、使用单位：温州市中医院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8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37"/>
        <w:gridCol w:w="581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评分内容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评分标准说明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对应于招标文件设备技术规格及配置的偏离度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与招标文件招标内容及要求的设备技术规格及配置对比，实质性条款除外，标注★的技术指标偏离扣2分，一项一般技术指标偏离扣1分，一项功能偏离扣2分，扣完为止。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34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投标设备配套的合理性，技术指标的先进性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评委对投标设备配套的合理性，技术指标的先进性酌情打分。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分；B档：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分 ；C档：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投标设备的档次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评委对投标设备的机型酌情打分（5-0分）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评委对投标设备的品牌酌情打分（5-0分）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耗材试剂配送服务方案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服务期内耗材试剂配送服务方案进行评审，包括服务响应及时性、方案可靠性、人员车辆配置等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运行应急方案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评委对所投工作站的运行故障应急方案等酌情打分（4-0分）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市场占有率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评委以2020年1月1日起至今（以合同签订时间为准）的签订的投标同品牌同型号设备的合同，每个得1分，最多3分（需提供合同复印件并加盖投标人公章），与相同采购人签订的多份合同不重复计分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制造商或代理商在华东地区的售后服务和维修能力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0" w:rightChars="5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评委对制造商或代理商在华东地区的售后服务和维修能力进行评审，酌情打分（5-0分）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投标人提供的超出招标文件的优惠条件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0" w:rightChars="5"/>
              <w:rPr>
                <w:rFonts w:hint="default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评委对投标文件中是否有超出招标文件的优惠条件进行评议，没有实质性优惠条件得0分；有优惠条件的，根据优惠内容得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4-1分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0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4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4"/>
        <w:jc w:val="center"/>
        <w:rPr>
          <w:rFonts w:hint="eastAsia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（一）报价一览表</w:t>
      </w:r>
    </w:p>
    <w:p>
      <w:pPr>
        <w:pStyle w:val="5"/>
        <w:spacing w:line="400" w:lineRule="exact"/>
        <w:ind w:firstLine="0"/>
        <w:rPr>
          <w:rFonts w:hint="eastAsia" w:eastAsia="新宋体"/>
          <w:lang w:val="en-US" w:eastAsia="zh-CN"/>
        </w:rPr>
      </w:pPr>
      <w:r>
        <w:rPr>
          <w:rFonts w:hint="eastAsia" w:ascii="新宋体" w:hAnsi="新宋体" w:eastAsia="新宋体" w:cs="新宋体"/>
          <w:b/>
          <w:bCs w:val="0"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/>
          <w:bCs w:val="0"/>
          <w:color w:val="auto"/>
          <w:sz w:val="22"/>
          <w:highlight w:val="none"/>
          <w:lang w:val="en-US" w:eastAsia="zh-CN"/>
        </w:rPr>
        <w:t>龙湾院区临检三大常规检测项目耗材（试剂）及配套设备租赁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</w:t>
      </w:r>
      <w:r>
        <w:rPr>
          <w:rFonts w:hint="eastAsia" w:ascii="宋体" w:hAnsi="宋体"/>
          <w:sz w:val="22"/>
          <w:szCs w:val="22"/>
        </w:rPr>
        <w:t>（价格单位：人民币元）</w:t>
      </w:r>
    </w:p>
    <w:tbl>
      <w:tblPr>
        <w:tblStyle w:val="18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87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  <w:t>标项</w:t>
            </w:r>
          </w:p>
        </w:tc>
        <w:tc>
          <w:tcPr>
            <w:tcW w:w="4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3913" w:type="dxa"/>
            <w:vAlign w:val="center"/>
          </w:tcPr>
          <w:p>
            <w:pPr>
              <w:tabs>
                <w:tab w:val="left" w:pos="360"/>
              </w:tabs>
              <w:spacing w:line="460" w:lineRule="exact"/>
              <w:jc w:val="center"/>
              <w:rPr>
                <w:rFonts w:hint="eastAsia" w:ascii="宋体" w:hAnsi="宋体" w:eastAsia="新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报价（人民币/元）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龙湾院区临检三大常规检测项目耗材（试剂）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  <w:p>
            <w:pPr>
              <w:tabs>
                <w:tab w:val="left" w:pos="360"/>
              </w:tabs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4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配套设备租赁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  <w:p>
            <w:pPr>
              <w:tabs>
                <w:tab w:val="left" w:pos="360"/>
              </w:tabs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6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  <w:t>总报价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  <w:t>（以上各报价之和）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  <w:t>大写：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  <w:t>小写：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</w:rPr>
      </w:pPr>
    </w:p>
    <w:p>
      <w:pPr>
        <w:spacing w:before="120" w:beforeLines="50" w:line="40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说明：</w:t>
      </w:r>
      <w:r>
        <w:rPr>
          <w:rFonts w:hint="eastAsia" w:ascii="宋体" w:hAnsi="宋体" w:cs="Arial"/>
          <w:b/>
          <w:bCs/>
          <w:sz w:val="22"/>
          <w:szCs w:val="22"/>
        </w:rPr>
        <w:t>1、</w:t>
      </w:r>
      <w:r>
        <w:rPr>
          <w:rFonts w:hint="eastAsia" w:ascii="宋体" w:hAnsi="宋体"/>
          <w:b/>
          <w:bCs/>
          <w:sz w:val="22"/>
          <w:szCs w:val="22"/>
          <w:u w:val="wave"/>
        </w:rPr>
        <w:t>此栏内投标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报价</w:t>
      </w:r>
      <w:r>
        <w:rPr>
          <w:rFonts w:hint="eastAsia" w:ascii="宋体" w:hAnsi="宋体"/>
          <w:b/>
          <w:bCs/>
          <w:sz w:val="22"/>
          <w:szCs w:val="22"/>
          <w:u w:val="wave"/>
        </w:rPr>
        <w:t>应与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下方</w:t>
      </w:r>
      <w:r>
        <w:rPr>
          <w:rFonts w:hint="eastAsia" w:ascii="宋体" w:hAnsi="宋体" w:cs="Arial"/>
          <w:b/>
          <w:bCs/>
          <w:sz w:val="22"/>
          <w:szCs w:val="22"/>
          <w:u w:val="wave"/>
        </w:rPr>
        <w:t>“</w:t>
      </w:r>
      <w:r>
        <w:rPr>
          <w:rFonts w:hint="eastAsia" w:ascii="宋体" w:hAnsi="宋体"/>
          <w:b/>
          <w:bCs/>
          <w:sz w:val="22"/>
          <w:szCs w:val="22"/>
          <w:u w:val="wave"/>
        </w:rPr>
        <w:t>投标分项报价表”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的</w:t>
      </w:r>
      <w:r>
        <w:rPr>
          <w:rFonts w:hint="eastAsia" w:ascii="宋体" w:hAnsi="宋体"/>
          <w:b/>
          <w:bCs/>
          <w:sz w:val="22"/>
          <w:szCs w:val="22"/>
          <w:u w:val="wave"/>
        </w:rPr>
        <w:t>总计价相一致</w:t>
      </w:r>
      <w:r>
        <w:rPr>
          <w:rFonts w:hint="eastAsia" w:ascii="宋体" w:hAnsi="宋体"/>
          <w:b/>
          <w:bCs/>
          <w:sz w:val="22"/>
          <w:szCs w:val="22"/>
        </w:rPr>
        <w:t>。</w:t>
      </w:r>
    </w:p>
    <w:p>
      <w:pPr>
        <w:spacing w:line="400" w:lineRule="exact"/>
        <w:ind w:firstLine="649" w:firstLineChars="294"/>
        <w:rPr>
          <w:rFonts w:hint="eastAsia" w:ascii="宋体" w:hAnsi="宋体" w:cs="Arial"/>
          <w:b/>
          <w:bCs/>
          <w:sz w:val="22"/>
          <w:szCs w:val="22"/>
          <w:u w:val="wave"/>
        </w:rPr>
      </w:pPr>
      <w:r>
        <w:rPr>
          <w:rFonts w:hint="eastAsia" w:ascii="宋体" w:hAnsi="宋体" w:cs="Arial"/>
          <w:b/>
          <w:bCs/>
          <w:sz w:val="22"/>
          <w:szCs w:val="22"/>
        </w:rPr>
        <w:t>2、</w:t>
      </w:r>
      <w:r>
        <w:rPr>
          <w:rFonts w:hint="eastAsia" w:ascii="宋体" w:hAnsi="宋体" w:cs="Arial"/>
          <w:b/>
          <w:bCs/>
          <w:sz w:val="22"/>
          <w:szCs w:val="22"/>
          <w:u w:val="wave"/>
        </w:rPr>
        <w:t>不提供此表格将被视为没有实质性响应招标文件,其投标文件将被拒绝。</w:t>
      </w:r>
    </w:p>
    <w:p>
      <w:pPr>
        <w:spacing w:line="440" w:lineRule="exact"/>
        <w:rPr>
          <w:rFonts w:hint="eastAsia" w:ascii="宋体" w:hAnsi="宋体"/>
          <w:b/>
          <w:bCs/>
          <w:szCs w:val="21"/>
        </w:rPr>
      </w:pPr>
    </w:p>
    <w:p>
      <w:pPr>
        <w:spacing w:before="120" w:beforeLines="50" w:line="400" w:lineRule="exact"/>
        <w:rPr>
          <w:rFonts w:hint="eastAsia" w:ascii="宋体" w:hAnsi="宋体" w:cs="Arial"/>
          <w:bCs/>
          <w:sz w:val="22"/>
          <w:szCs w:val="22"/>
          <w:u w:val="wave"/>
        </w:rPr>
      </w:pPr>
    </w:p>
    <w:p>
      <w:pPr>
        <w:spacing w:before="120" w:beforeLines="50" w:after="120" w:afterLines="50" w:line="360" w:lineRule="auto"/>
        <w:ind w:right="-21" w:rightChars="-10"/>
        <w:rPr>
          <w:rFonts w:hint="eastAsia" w:ascii="宋体" w:hAnsi="宋体"/>
          <w:sz w:val="22"/>
          <w:szCs w:val="22"/>
        </w:rPr>
      </w:pP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投标人全称（盖章）：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日期：  年   月  日</w:t>
      </w: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pStyle w:val="10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spacing w:before="58"/>
        <w:ind w:right="610"/>
        <w:jc w:val="center"/>
        <w:outlineLvl w:val="0"/>
        <w:rPr>
          <w:b/>
          <w:sz w:val="30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sz w:val="32"/>
          <w:szCs w:val="28"/>
        </w:rPr>
        <w:t>投标分项报价表</w:t>
      </w:r>
      <w:r>
        <w:rPr>
          <w:b/>
          <w:w w:val="99"/>
          <w:sz w:val="30"/>
        </w:rPr>
        <w:t xml:space="preserve"> </w:t>
      </w:r>
    </w:p>
    <w:p>
      <w:pPr>
        <w:spacing w:line="46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 w:cs="Arial"/>
          <w:szCs w:val="21"/>
        </w:rPr>
        <w:t>项目名称</w:t>
      </w:r>
      <w:r>
        <w:rPr>
          <w:rFonts w:ascii="宋体" w:hAnsi="宋体" w:cs="Arial"/>
          <w:szCs w:val="21"/>
        </w:rPr>
        <w:t>：</w:t>
      </w:r>
      <w:r>
        <w:rPr>
          <w:rFonts w:hint="eastAsia" w:ascii="宋体" w:hAnsi="宋体" w:cs="Arial"/>
          <w:szCs w:val="21"/>
        </w:rPr>
        <w:t>龙湾院区临检三大常规检测项目耗材（试剂）及配套设备租赁</w:t>
      </w:r>
      <w:r>
        <w:rPr>
          <w:rFonts w:ascii="宋体" w:hAnsi="宋体" w:cs="Arial"/>
          <w:szCs w:val="21"/>
        </w:rPr>
        <w:t xml:space="preserve">   </w:t>
      </w:r>
      <w:r>
        <w:rPr>
          <w:rFonts w:ascii="宋体" w:hAnsi="宋体" w:cs="Arial"/>
          <w:bCs/>
          <w:szCs w:val="21"/>
        </w:rPr>
        <w:t xml:space="preserve">  </w:t>
      </w:r>
      <w:r>
        <w:rPr>
          <w:rFonts w:ascii="宋体" w:hAnsi="宋体" w:cs="Arial"/>
          <w:szCs w:val="21"/>
        </w:rPr>
        <w:t>（价格单位：人民币元）</w:t>
      </w:r>
    </w:p>
    <w:tbl>
      <w:tblPr>
        <w:tblStyle w:val="18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69"/>
        <w:gridCol w:w="1477"/>
        <w:gridCol w:w="1570"/>
        <w:gridCol w:w="708"/>
        <w:gridCol w:w="1419"/>
        <w:gridCol w:w="122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default" w:ascii="新宋体" w:hAnsi="新宋体" w:eastAsia="新宋体" w:cs="新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品牌型号规格、产地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制造厂商名称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出厂单价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（含税）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总价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（含税）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免费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... ...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运杂及保险费（含卸货）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安装调试费（包括设备的测试、调试、验收等费用）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培训费、技术服务费、售后服务费等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税金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总计价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说明：</w:t>
      </w:r>
      <w:r>
        <w:rPr>
          <w:rFonts w:hint="eastAsia" w:ascii="宋体" w:hAnsi="宋体"/>
          <w:sz w:val="22"/>
          <w:szCs w:val="22"/>
        </w:rPr>
        <w:t>1.不提供详细分项报价将视为没有实质性响应招标文件。</w:t>
      </w:r>
    </w:p>
    <w:p>
      <w:pPr>
        <w:spacing w:line="440" w:lineRule="exact"/>
        <w:ind w:firstLine="72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2.此表的总计价应与</w:t>
      </w:r>
      <w:r>
        <w:rPr>
          <w:rFonts w:hint="eastAsia" w:ascii="宋体" w:hAnsi="宋体"/>
          <w:sz w:val="22"/>
          <w:szCs w:val="22"/>
          <w:lang w:val="en-US" w:eastAsia="zh-CN"/>
        </w:rPr>
        <w:t>上方</w:t>
      </w:r>
      <w:r>
        <w:rPr>
          <w:rFonts w:hint="eastAsia" w:ascii="宋体" w:hAnsi="宋体"/>
          <w:sz w:val="22"/>
          <w:szCs w:val="22"/>
        </w:rPr>
        <w:t>“</w:t>
      </w:r>
      <w:r>
        <w:rPr>
          <w:rFonts w:hint="eastAsia" w:ascii="宋体" w:hAnsi="宋体"/>
          <w:sz w:val="22"/>
          <w:szCs w:val="22"/>
          <w:lang w:val="en-US" w:eastAsia="zh-CN"/>
        </w:rPr>
        <w:t>报价</w:t>
      </w:r>
      <w:r>
        <w:rPr>
          <w:rFonts w:hint="eastAsia" w:ascii="宋体" w:hAnsi="宋体"/>
          <w:sz w:val="22"/>
          <w:szCs w:val="22"/>
        </w:rPr>
        <w:t>一览表”的投标报价相一致。</w:t>
      </w:r>
    </w:p>
    <w:p>
      <w:pPr>
        <w:spacing w:line="440" w:lineRule="exact"/>
        <w:ind w:firstLine="72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3.如果免费请在该备注栏内注明“免”，如果含在产品价格中则填“含”，如无此项内容则填“无”，不留空白。</w:t>
      </w:r>
    </w:p>
    <w:p>
      <w:pPr>
        <w:rPr>
          <w:rFonts w:hint="eastAsia" w:ascii="宋体" w:hAnsi="宋体" w:cs="Arial"/>
          <w:b/>
          <w:bCs/>
          <w:szCs w:val="21"/>
        </w:rPr>
      </w:pPr>
    </w:p>
    <w:p>
      <w:pPr>
        <w:rPr>
          <w:rFonts w:hint="eastAsia" w:ascii="宋体" w:hAnsi="宋体" w:cs="Arial"/>
          <w:b/>
          <w:bCs/>
          <w:szCs w:val="21"/>
        </w:rPr>
      </w:pPr>
    </w:p>
    <w:p>
      <w:pPr>
        <w:spacing w:line="440" w:lineRule="exact"/>
        <w:ind w:right="-11" w:firstLine="210" w:firstLineChars="1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投标人全称（盖章）：</w:t>
      </w:r>
    </w:p>
    <w:p>
      <w:pPr>
        <w:spacing w:line="440" w:lineRule="exact"/>
        <w:ind w:right="-11" w:firstLine="210" w:firstLineChars="1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日期：  年   月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F600"/>
    <w:multiLevelType w:val="singleLevel"/>
    <w:tmpl w:val="56D3F6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251DD0"/>
    <w:rsid w:val="084B5379"/>
    <w:rsid w:val="09CB578A"/>
    <w:rsid w:val="0F427144"/>
    <w:rsid w:val="0F9C6A6C"/>
    <w:rsid w:val="0FC24482"/>
    <w:rsid w:val="10AA772B"/>
    <w:rsid w:val="1124087B"/>
    <w:rsid w:val="15F0193F"/>
    <w:rsid w:val="16586A57"/>
    <w:rsid w:val="16EF2001"/>
    <w:rsid w:val="17B96491"/>
    <w:rsid w:val="1B951E05"/>
    <w:rsid w:val="203F5CE6"/>
    <w:rsid w:val="252A6495"/>
    <w:rsid w:val="26614AE7"/>
    <w:rsid w:val="26A36964"/>
    <w:rsid w:val="27DA4178"/>
    <w:rsid w:val="2C0B329E"/>
    <w:rsid w:val="2DCF6290"/>
    <w:rsid w:val="2EE23DA1"/>
    <w:rsid w:val="32E87DD1"/>
    <w:rsid w:val="332031A4"/>
    <w:rsid w:val="33F15215"/>
    <w:rsid w:val="35584BB1"/>
    <w:rsid w:val="36F20F59"/>
    <w:rsid w:val="36FF0897"/>
    <w:rsid w:val="38620F4A"/>
    <w:rsid w:val="3A5C534F"/>
    <w:rsid w:val="3AA307AA"/>
    <w:rsid w:val="3ABA424B"/>
    <w:rsid w:val="3D4A148F"/>
    <w:rsid w:val="3D766728"/>
    <w:rsid w:val="3EEB4785"/>
    <w:rsid w:val="3F351791"/>
    <w:rsid w:val="42417305"/>
    <w:rsid w:val="43F47C2B"/>
    <w:rsid w:val="442D7AA8"/>
    <w:rsid w:val="45B222C8"/>
    <w:rsid w:val="46AB0BAA"/>
    <w:rsid w:val="4B2C08F7"/>
    <w:rsid w:val="4B86017E"/>
    <w:rsid w:val="4BB26B7D"/>
    <w:rsid w:val="4F835253"/>
    <w:rsid w:val="50430A48"/>
    <w:rsid w:val="52957526"/>
    <w:rsid w:val="539C47DE"/>
    <w:rsid w:val="57A36574"/>
    <w:rsid w:val="58D72375"/>
    <w:rsid w:val="5A1D1FAE"/>
    <w:rsid w:val="5DAF6DF6"/>
    <w:rsid w:val="5E407D37"/>
    <w:rsid w:val="5EEC01A1"/>
    <w:rsid w:val="61E865CA"/>
    <w:rsid w:val="63750765"/>
    <w:rsid w:val="64F466B7"/>
    <w:rsid w:val="654C0859"/>
    <w:rsid w:val="65B0017A"/>
    <w:rsid w:val="677734BF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BC653AD"/>
    <w:rsid w:val="7D531607"/>
    <w:rsid w:val="7D7234CD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utoSpaceDE w:val="0"/>
      <w:autoSpaceDN w:val="0"/>
      <w:adjustRightInd w:val="0"/>
      <w:spacing w:after="120" w:line="480" w:lineRule="auto"/>
      <w:jc w:val="left"/>
    </w:pPr>
  </w:style>
  <w:style w:type="paragraph" w:styleId="5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Body Text"/>
    <w:basedOn w:val="1"/>
    <w:next w:val="7"/>
    <w:qFormat/>
    <w:uiPriority w:val="0"/>
    <w:pPr>
      <w:spacing w:after="120" w:afterLines="0"/>
    </w:pPr>
  </w:style>
  <w:style w:type="paragraph" w:styleId="7">
    <w:name w:val="Body Text First Indent"/>
    <w:basedOn w:val="6"/>
    <w:next w:val="8"/>
    <w:qFormat/>
    <w:uiPriority w:val="0"/>
    <w:pPr>
      <w:ind w:firstLine="420" w:firstLineChars="100"/>
    </w:pPr>
    <w:rPr>
      <w:b/>
      <w:bCs/>
      <w:szCs w:val="24"/>
    </w:rPr>
  </w:style>
  <w:style w:type="paragraph" w:styleId="8">
    <w:name w:val="toc 6"/>
    <w:basedOn w:val="1"/>
    <w:next w:val="1"/>
    <w:qFormat/>
    <w:uiPriority w:val="0"/>
    <w:pPr>
      <w:ind w:left="2100" w:leftChars="1000"/>
    </w:pPr>
  </w:style>
  <w:style w:type="paragraph" w:styleId="9">
    <w:name w:val="Body Text Indent"/>
    <w:basedOn w:val="1"/>
    <w:next w:val="10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10">
    <w:name w:val="Body Text First Indent 2"/>
    <w:basedOn w:val="9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1">
    <w:name w:val="Plain Text"/>
    <w:basedOn w:val="1"/>
    <w:next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2">
    <w:name w:val="toc 2"/>
    <w:basedOn w:val="1"/>
    <w:next w:val="1"/>
    <w:qFormat/>
    <w:uiPriority w:val="39"/>
    <w:pPr>
      <w:spacing w:before="240" w:beforeLines="0"/>
      <w:jc w:val="left"/>
    </w:pPr>
    <w:rPr>
      <w:rFonts w:ascii="Times New Roman" w:hAnsi="Times New Roman" w:eastAsia="宋体" w:cs="Times New Roman"/>
      <w:b/>
      <w:bCs/>
      <w:sz w:val="20"/>
      <w:szCs w:val="20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9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qFormat/>
    <w:uiPriority w:val="0"/>
  </w:style>
  <w:style w:type="paragraph" w:customStyle="1" w:styleId="23">
    <w:name w:val="BodyText1I"/>
    <w:basedOn w:val="24"/>
    <w:qFormat/>
    <w:uiPriority w:val="0"/>
    <w:pPr>
      <w:ind w:firstLine="420" w:firstLineChars="100"/>
    </w:pPr>
  </w:style>
  <w:style w:type="paragraph" w:customStyle="1" w:styleId="24">
    <w:name w:val="BodyText"/>
    <w:basedOn w:val="1"/>
    <w:qFormat/>
    <w:uiPriority w:val="0"/>
    <w:pPr>
      <w:spacing w:after="120"/>
    </w:pPr>
  </w:style>
  <w:style w:type="paragraph" w:customStyle="1" w:styleId="25">
    <w:name w:val="表格文字"/>
    <w:basedOn w:val="1"/>
    <w:next w:val="6"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6">
    <w:name w:val="页眉 Char"/>
    <w:basedOn w:val="20"/>
    <w:link w:val="14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20"/>
    <w:link w:val="13"/>
    <w:qFormat/>
    <w:uiPriority w:val="0"/>
    <w:rPr>
      <w:kern w:val="2"/>
      <w:sz w:val="18"/>
      <w:szCs w:val="18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列出段落1"/>
    <w:basedOn w:val="1"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30">
    <w:name w:val="NormalCharacter"/>
    <w:qFormat/>
    <w:uiPriority w:val="0"/>
  </w:style>
  <w:style w:type="character" w:customStyle="1" w:styleId="31">
    <w:name w:val="font21"/>
    <w:basedOn w:val="2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1"/>
    <w:basedOn w:val="20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0</TotalTime>
  <ScaleCrop>false</ScaleCrop>
  <LinksUpToDate>false</LinksUpToDate>
  <CharactersWithSpaces>2342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2023-12-12T08:39:08Z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BDC350B777C44DFDACB8FBB696258D1E</vt:lpwstr>
  </property>
</Properties>
</file>