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</w:t>
      </w:r>
      <w:r>
        <w:rPr>
          <w:rFonts w:hint="eastAsia" w:hAnsi="宋体" w:cs="宋体"/>
          <w:color w:val="000000"/>
          <w:sz w:val="44"/>
          <w:szCs w:val="44"/>
          <w:lang w:val="en-US" w:eastAsia="zh-CN"/>
        </w:rPr>
        <w:t>刮板球形浓缩器组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刮板球形浓缩器组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000元</w:t>
      </w: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tbl>
      <w:tblPr>
        <w:tblStyle w:val="1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35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3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技术要求</w:t>
            </w:r>
          </w:p>
        </w:tc>
        <w:tc>
          <w:tcPr>
            <w:tcW w:w="11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一</w:t>
            </w:r>
          </w:p>
        </w:tc>
        <w:tc>
          <w:tcPr>
            <w:tcW w:w="735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总体要求：</w:t>
            </w:r>
          </w:p>
        </w:tc>
        <w:tc>
          <w:tcPr>
            <w:tcW w:w="11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1.1.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刮板球形浓缩器组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套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1.2.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设备用途：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煎膏剂从提取到浓缩的生产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功能要求及技术参数：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工作原理：采用蒸汽加热和真空蒸发结合的方式，列管冷凝系统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2.2.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设备组成：球形浓缩罐、汽液分离器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冷凝器、回收罐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内部连接管道等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>▲2.3.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球形浓缩器有效容积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200L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2.4.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生产煎膏浓缩浓度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1.2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搅拌系统：电机功率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1.1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KW，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防爆；转速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28r/min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锚式搅拌带刮板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设备材质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304不锈钢，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内表面镜面抛光，外表面磨砂处理，符合GMP要求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843" w:firstLineChars="400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球形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浓缩罐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外包（保温层）厚度≥3mm，中间层厚度≥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4mm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夹套（内层）厚度≥3mm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冷凝器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：厚度≥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3mm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，内部列管厚度≥1.5mm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回收罐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：厚度≥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4mm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工作压力：加热蒸汽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0.09Mpa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真空度：-0.06～-0.08Mpa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整套设备配置有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清洗球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真空表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温度表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放空阀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视镜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视灯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快开式人孔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设备设置有投料口，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生产浓缩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过程中可通过该投料口进行投料，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需要投料方便（投阿胶粉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黄酒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冰糖等）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与现有400L提取罐、300L单效浓缩罐兼容，可连接上成一体生产线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三</w:t>
            </w:r>
          </w:p>
        </w:tc>
        <w:tc>
          <w:tcPr>
            <w:tcW w:w="7350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安装验收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3.1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安装地点：医院指定科室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3.2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安装完成时间：合同签订后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20个工作日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完成安装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验收交付甲方使用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3.3</w:t>
            </w:r>
          </w:p>
        </w:tc>
        <w:tc>
          <w:tcPr>
            <w:tcW w:w="73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安装标准：符合我国国家有关技术规范和技术标准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3.4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验收标准：符合我国国家有关技术规范和技术标准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3.5</w:t>
            </w:r>
          </w:p>
        </w:tc>
        <w:tc>
          <w:tcPr>
            <w:tcW w:w="735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安装、验收合格前所产生的一切费用（包括卸货、搬运、必要时的安全性能检测费等）由供方负责提供。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3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四</w:t>
            </w:r>
          </w:p>
        </w:tc>
        <w:tc>
          <w:tcPr>
            <w:tcW w:w="7350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162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4.1</w:t>
            </w:r>
          </w:p>
        </w:tc>
        <w:tc>
          <w:tcPr>
            <w:tcW w:w="73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免费保修：设备验收合格后保修≥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年，期间免一切维修费用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五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厂家承诺过保后先维修再付款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提供操作手册、维修手册各一套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培训：提供临床应用操作培训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并提供临床资料(培训ppt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)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付款方式:验收合格后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付款，投标商开具单张发票限额必须大于投标单台设备价格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3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350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投标商提供的设备必须在距投标当日10个月内生产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pStyle w:val="6"/>
        <w:spacing w:line="360" w:lineRule="auto"/>
        <w:ind w:left="0" w:leftChars="0" w:firstLine="480" w:firstLineChars="20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验收合格后3个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一次性支付合同款项</w:t>
      </w:r>
      <w:r>
        <w:rPr>
          <w:rFonts w:hint="eastAsia" w:ascii="宋体" w:hAnsi="宋体" w:eastAsia="宋体" w:cs="黑体"/>
          <w:b w:val="0"/>
          <w:bCs w:val="0"/>
          <w:sz w:val="24"/>
          <w:szCs w:val="24"/>
          <w:lang w:val="en-US" w:eastAsia="zh-CN"/>
        </w:rPr>
        <w:t>，投标商开具单张发票限额必须大于投标单台设备价格</w:t>
      </w:r>
      <w: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19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6"/>
        <w:tblW w:w="9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639"/>
        <w:gridCol w:w="997"/>
        <w:gridCol w:w="5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对应于招标文件设备技术规格及配置的偏离度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与招标文件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货物技术规格及配置、商务要求对比，一项指标负偏离扣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分，标注★的指标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偏离每项扣4分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扣完为止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投标设备配套的合理性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评委对投标设备配套的合理性、功能实现程度进行评价：投标设备配套合理、功能实现程度高的，得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6-8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分；配套较合理、功能实现程度较高的，得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分；配套合理性一般、不能完全达到临床要求功能的，得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投标设备技术指标的先进性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评委对投标设备技术指标的先进性进行评价：技术指标高于招标要求且具有较高临床使用价值的，每项得1分；最高得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运行成本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包括保修价格、售后服务方案、年运行费用和消耗品或易耗品价格等综合运行成本进行评价。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保修服务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保修期超过招标文件要求的，每增加1年加1分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市场占有率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年1月1日起至今与最终用户签订的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同类项目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合同复印件，每份有效合同得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制造商或代理商的售后服务和维修能力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制造商或代理商的售后服务和维修能力，服务响应速度、服务人员水平、备品备件配置等综合评价。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0-3分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5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温州市中医院刮板球形浓缩器组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 </w:t>
      </w:r>
    </w:p>
    <w:tbl>
      <w:tblPr>
        <w:tblStyle w:val="16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1037"/>
        <w:gridCol w:w="1023"/>
        <w:gridCol w:w="322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型号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人民币元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刮板球形浓缩器组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8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/>
          <w:b/>
          <w:bCs w:val="0"/>
          <w:sz w:val="28"/>
          <w:szCs w:val="28"/>
        </w:rPr>
        <w:t>设备配置清单</w:t>
      </w:r>
    </w:p>
    <w:tbl>
      <w:tblPr>
        <w:tblStyle w:val="16"/>
        <w:tblpPr w:leftFromText="180" w:rightFromText="180" w:vertAnchor="text" w:horzAnchor="margin" w:tblpXSpec="center" w:tblpY="357"/>
        <w:tblOverlap w:val="never"/>
        <w:tblW w:w="9500" w:type="dxa"/>
        <w:tblInd w:w="-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88"/>
        <w:gridCol w:w="1950"/>
        <w:gridCol w:w="1725"/>
        <w:gridCol w:w="1203"/>
        <w:gridCol w:w="1529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5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品牌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规格型号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金额（元）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20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pStyle w:val="13"/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5E24F4D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B951E05"/>
    <w:rsid w:val="203F5CE6"/>
    <w:rsid w:val="252A6495"/>
    <w:rsid w:val="26614AE7"/>
    <w:rsid w:val="26A36964"/>
    <w:rsid w:val="2C0B329E"/>
    <w:rsid w:val="2DCF6290"/>
    <w:rsid w:val="2EE23DA1"/>
    <w:rsid w:val="32E87DD1"/>
    <w:rsid w:val="33F15215"/>
    <w:rsid w:val="35584BB1"/>
    <w:rsid w:val="36F20F59"/>
    <w:rsid w:val="36FF0897"/>
    <w:rsid w:val="38620F4A"/>
    <w:rsid w:val="3A5C534F"/>
    <w:rsid w:val="3AA307AA"/>
    <w:rsid w:val="3D4A148F"/>
    <w:rsid w:val="3D766728"/>
    <w:rsid w:val="3F351791"/>
    <w:rsid w:val="42417305"/>
    <w:rsid w:val="43F47C2B"/>
    <w:rsid w:val="440C080C"/>
    <w:rsid w:val="442D7AA8"/>
    <w:rsid w:val="45B222C8"/>
    <w:rsid w:val="46AB0BAA"/>
    <w:rsid w:val="4B2C08F7"/>
    <w:rsid w:val="4B86017E"/>
    <w:rsid w:val="4BB26B7D"/>
    <w:rsid w:val="4F835253"/>
    <w:rsid w:val="50430A48"/>
    <w:rsid w:val="522C26E8"/>
    <w:rsid w:val="52957526"/>
    <w:rsid w:val="539C47DE"/>
    <w:rsid w:val="57A36574"/>
    <w:rsid w:val="58D72375"/>
    <w:rsid w:val="5A1D1FAE"/>
    <w:rsid w:val="5DAF6DF6"/>
    <w:rsid w:val="5EEC01A1"/>
    <w:rsid w:val="61E865CA"/>
    <w:rsid w:val="63750765"/>
    <w:rsid w:val="64F466B7"/>
    <w:rsid w:val="654C0859"/>
    <w:rsid w:val="65B0017A"/>
    <w:rsid w:val="677734BF"/>
    <w:rsid w:val="6AD77E43"/>
    <w:rsid w:val="6B3E535F"/>
    <w:rsid w:val="6E872974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qFormat/>
    <w:uiPriority w:val="0"/>
    <w:pPr>
      <w:spacing w:after="120" w:afterLines="0"/>
    </w:pPr>
  </w:style>
  <w:style w:type="paragraph" w:styleId="8">
    <w:name w:val="Body Text First Indent"/>
    <w:basedOn w:val="7"/>
    <w:next w:val="9"/>
    <w:qFormat/>
    <w:uiPriority w:val="0"/>
    <w:pPr>
      <w:ind w:firstLine="420" w:firstLineChars="100"/>
    </w:pPr>
    <w:rPr>
      <w:b/>
      <w:bCs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</w:style>
  <w:style w:type="paragraph" w:styleId="10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7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qFormat/>
    <w:uiPriority w:val="0"/>
  </w:style>
  <w:style w:type="paragraph" w:customStyle="1" w:styleId="21">
    <w:name w:val="BodyText1I"/>
    <w:basedOn w:val="22"/>
    <w:qFormat/>
    <w:uiPriority w:val="0"/>
    <w:pPr>
      <w:ind w:firstLine="420" w:firstLineChars="100"/>
    </w:p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表格文字"/>
    <w:basedOn w:val="1"/>
    <w:next w:val="7"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4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qFormat/>
    <w:uiPriority w:val="0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14</TotalTime>
  <ScaleCrop>false</ScaleCrop>
  <LinksUpToDate>false</LinksUpToDate>
  <CharactersWithSpaces>2342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2023-11-24T02:18:54Z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BDC350B777C44DFDACB8FBB696258D1E</vt:lpwstr>
  </property>
</Properties>
</file>