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1100"/>
        <w:rPr>
          <w:rFonts w:hint="eastAsia"/>
          <w:b/>
          <w:bCs/>
          <w:sz w:val="32"/>
          <w:szCs w:val="32"/>
          <w:lang w:val="en-US" w:eastAsia="zh-CN"/>
        </w:rPr>
      </w:pPr>
      <w:r>
        <w:rPr>
          <w:rFonts w:hint="eastAsia"/>
          <w:b/>
          <w:bCs/>
          <w:sz w:val="32"/>
          <w:szCs w:val="32"/>
          <w:lang w:val="en-US" w:eastAsia="zh-CN"/>
        </w:rPr>
        <w:t>采购内容及要求</w:t>
      </w:r>
    </w:p>
    <w:p>
      <w:pPr>
        <w:pStyle w:val="10"/>
        <w:numPr>
          <w:ilvl w:val="0"/>
          <w:numId w:val="0"/>
        </w:numPr>
        <w:spacing w:line="360" w:lineRule="auto"/>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一、项目名称：备份软件升级</w:t>
      </w:r>
    </w:p>
    <w:p>
      <w:pPr>
        <w:pStyle w:val="10"/>
        <w:numPr>
          <w:ilvl w:val="0"/>
          <w:numId w:val="0"/>
        </w:numPr>
        <w:spacing w:line="360" w:lineRule="auto"/>
        <w:ind w:leftChars="0"/>
        <w:rPr>
          <w:rFonts w:hint="eastAsia" w:ascii="宋体" w:hAnsi="宋体" w:cs="宋体"/>
          <w:b w:val="0"/>
          <w:bCs w:val="0"/>
          <w:sz w:val="21"/>
          <w:szCs w:val="21"/>
          <w:lang w:val="en-US" w:eastAsia="zh-CN"/>
        </w:rPr>
      </w:pPr>
      <w:r>
        <w:rPr>
          <w:rFonts w:hint="eastAsia" w:ascii="宋体" w:hAnsi="宋体" w:eastAsia="宋体" w:cs="宋体"/>
          <w:b w:val="0"/>
          <w:bCs w:val="0"/>
          <w:sz w:val="21"/>
          <w:szCs w:val="21"/>
          <w:lang w:val="en-US" w:eastAsia="zh-CN"/>
        </w:rPr>
        <w:t>二、预算金额：</w:t>
      </w:r>
      <w:r>
        <w:rPr>
          <w:rFonts w:hint="eastAsia" w:ascii="宋体" w:hAnsi="宋体" w:cs="宋体"/>
          <w:b w:val="0"/>
          <w:bCs w:val="0"/>
          <w:sz w:val="21"/>
          <w:szCs w:val="21"/>
          <w:lang w:val="en-US" w:eastAsia="zh-CN"/>
        </w:rPr>
        <w:t>60000元</w:t>
      </w:r>
    </w:p>
    <w:p>
      <w:pPr>
        <w:spacing w:line="360" w:lineRule="auto"/>
        <w:rPr>
          <w:rFonts w:hint="default" w:ascii="宋体" w:hAnsi="宋体" w:cs="宋体"/>
          <w:b w:val="0"/>
          <w:bCs w:val="0"/>
          <w:sz w:val="21"/>
          <w:szCs w:val="21"/>
          <w:lang w:val="en-US" w:eastAsia="zh-CN"/>
        </w:rPr>
      </w:pPr>
      <w:r>
        <w:rPr>
          <w:rFonts w:hint="eastAsia"/>
          <w:lang w:val="en-US" w:eastAsia="zh-CN"/>
        </w:rPr>
        <w:t>三、采购方式：询价</w:t>
      </w:r>
    </w:p>
    <w:p>
      <w:pPr>
        <w:pStyle w:val="1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cs="宋体"/>
          <w:sz w:val="21"/>
          <w:szCs w:val="21"/>
          <w:lang w:val="en-US" w:eastAsia="zh-CN"/>
        </w:rPr>
        <w:t>四</w:t>
      </w:r>
      <w:r>
        <w:rPr>
          <w:rFonts w:hint="eastAsia" w:ascii="宋体" w:hAnsi="宋体" w:eastAsia="宋体" w:cs="宋体"/>
          <w:sz w:val="21"/>
          <w:szCs w:val="21"/>
          <w:lang w:val="en-US" w:eastAsia="zh-CN"/>
        </w:rPr>
        <w:t>、项目背景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由于现版本Commvault 10.0是2013年开始发布使用的版本，该版本</w:t>
      </w:r>
      <w:r>
        <w:rPr>
          <w:rFonts w:hint="eastAsia" w:ascii="宋体" w:hAnsi="宋体" w:eastAsia="宋体" w:cs="宋体"/>
          <w:sz w:val="21"/>
          <w:szCs w:val="21"/>
          <w:lang w:val="en-US" w:eastAsia="zh-CN"/>
        </w:rPr>
        <w:t>公司</w:t>
      </w:r>
      <w:r>
        <w:rPr>
          <w:rFonts w:hint="eastAsia" w:ascii="宋体" w:hAnsi="宋体" w:eastAsia="宋体" w:cs="宋体"/>
          <w:sz w:val="21"/>
          <w:szCs w:val="21"/>
        </w:rPr>
        <w:t>于2016年已升级为Commvault 11.0，对于现有生产环境支持性较落后。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Commvault10.0升级Commvault 11.0能够改进灾备系统以下功能、性能和安全性：</w:t>
      </w:r>
    </w:p>
    <w:p>
      <w:pPr>
        <w:pStyle w:val="12"/>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修复漏洞和错误：新版本修复了已知的漏洞和错误，提升软件的稳定性和可靠性。</w:t>
      </w:r>
    </w:p>
    <w:p>
      <w:pPr>
        <w:pStyle w:val="12"/>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改进功能和性能：Commvault 11.0提供了更高级的数据保护功能，包括增强的备份和还原功能，支持更广泛的数据源和应用程序。添加新的功能和改进现有功能，优化软件的性能，提升运行速度和效率。</w:t>
      </w:r>
    </w:p>
    <w:p>
      <w:pPr>
        <w:pStyle w:val="12"/>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适应新的需求和环境：随着技术的不断发展和用户需求的变化，需要不断适应新的环境和需求。新版本可以使软件与新的硬件、应用系统、操作系统或网络环境兼容，同时满足用户的新需求。</w:t>
      </w:r>
    </w:p>
    <w:p>
      <w:pPr>
        <w:pStyle w:val="12"/>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提升安全性：Commvault 11.0提供了更强大的数据安全和合规性功能，包括加密和访问控制，以确保数据的安全性和合规性。修复安全漏洞和强化软件的安全防护机制，保护用户的数据和隐私安全。特别是针对于防勒索病毒，升级是保持安全性的重要手段。</w:t>
      </w:r>
    </w:p>
    <w:p>
      <w:pPr>
        <w:pStyle w:val="12"/>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新的标准和协议：随着技术标准和协议的更新，需要升级以支持新的标准和协议，以便与其他软件和系统进行兼容和互操作。</w:t>
      </w:r>
    </w:p>
    <w:p>
      <w:pPr>
        <w:pStyle w:val="12"/>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简化的管理界面：新版本具有改进的用户界面，使用户更容易使用和管理Commvault软件。它提供了直观的仪表板和工具，帮助用户更好地了解其数据环境并采取必要的操作。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Commvault版本升级是为了改进功能、性能和安全性，并适应新的技术环境和标准。通过升级，可以获得更好的软件体验和更高的数据安全保障。</w:t>
      </w:r>
    </w:p>
    <w:p>
      <w:pPr>
        <w:spacing w:line="360" w:lineRule="auto"/>
        <w:rPr>
          <w:rFonts w:hint="eastAsia" w:ascii="宋体" w:hAnsi="宋体" w:eastAsia="宋体" w:cs="宋体"/>
          <w:sz w:val="21"/>
          <w:szCs w:val="21"/>
        </w:rPr>
      </w:pPr>
    </w:p>
    <w:p>
      <w:pPr>
        <w:pStyle w:val="10"/>
        <w:spacing w:line="360" w:lineRule="auto"/>
        <w:ind w:left="0" w:leftChars="0" w:firstLine="0" w:firstLineChars="0"/>
        <w:rPr>
          <w:rFonts w:hint="eastAsia" w:ascii="宋体" w:hAnsi="宋体" w:cs="宋体"/>
          <w:sz w:val="21"/>
          <w:szCs w:val="21"/>
          <w:lang w:val="en-US" w:eastAsia="zh-CN"/>
        </w:rPr>
      </w:pPr>
    </w:p>
    <w:p>
      <w:pPr>
        <w:pStyle w:val="10"/>
        <w:spacing w:line="360" w:lineRule="auto"/>
        <w:ind w:left="0" w:leftChars="0" w:firstLine="0" w:firstLineChars="0"/>
        <w:rPr>
          <w:rFonts w:hint="eastAsia" w:ascii="宋体" w:hAnsi="宋体" w:cs="宋体"/>
          <w:sz w:val="21"/>
          <w:szCs w:val="21"/>
          <w:lang w:val="en-US" w:eastAsia="zh-CN"/>
        </w:rPr>
      </w:pPr>
    </w:p>
    <w:p>
      <w:pPr>
        <w:pStyle w:val="10"/>
        <w:spacing w:line="360" w:lineRule="auto"/>
        <w:ind w:left="0" w:leftChars="0" w:firstLine="0" w:firstLineChars="0"/>
        <w:rPr>
          <w:rFonts w:hint="eastAsia" w:ascii="宋体" w:hAnsi="宋体" w:cs="宋体"/>
          <w:sz w:val="21"/>
          <w:szCs w:val="21"/>
          <w:lang w:val="en-US" w:eastAsia="zh-CN"/>
        </w:rPr>
      </w:pPr>
    </w:p>
    <w:p>
      <w:pPr>
        <w:pStyle w:val="10"/>
        <w:spacing w:line="360" w:lineRule="auto"/>
        <w:ind w:left="0" w:leftChars="0" w:firstLine="0" w:firstLineChars="0"/>
        <w:rPr>
          <w:rFonts w:hint="eastAsia" w:ascii="宋体" w:hAnsi="宋体" w:cs="宋体"/>
          <w:sz w:val="21"/>
          <w:szCs w:val="21"/>
          <w:lang w:val="en-US" w:eastAsia="zh-CN"/>
        </w:rPr>
      </w:pPr>
    </w:p>
    <w:p>
      <w:pPr>
        <w:pStyle w:val="10"/>
        <w:numPr>
          <w:ilvl w:val="0"/>
          <w:numId w:val="1"/>
        </w:num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cs="宋体"/>
          <w:sz w:val="21"/>
          <w:szCs w:val="21"/>
          <w:lang w:val="en-US" w:eastAsia="zh-CN"/>
        </w:rPr>
        <w:t>项目</w:t>
      </w:r>
      <w:r>
        <w:rPr>
          <w:rFonts w:hint="eastAsia" w:ascii="宋体" w:hAnsi="宋体" w:eastAsia="宋体" w:cs="宋体"/>
          <w:sz w:val="21"/>
          <w:szCs w:val="21"/>
          <w:lang w:val="en-US" w:eastAsia="zh-CN"/>
        </w:rPr>
        <w:t>内容</w:t>
      </w:r>
    </w:p>
    <w:tbl>
      <w:tblPr>
        <w:tblStyle w:val="7"/>
        <w:tblW w:w="833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675"/>
        <w:gridCol w:w="1904"/>
        <w:gridCol w:w="575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cantSplit/>
          <w:jc w:val="center"/>
        </w:trPr>
        <w:tc>
          <w:tcPr>
            <w:tcW w:w="675" w:type="dxa"/>
            <w:shd w:val="clear" w:color="auto" w:fill="auto"/>
            <w:noWrap w:val="0"/>
            <w:vAlign w:val="center"/>
          </w:tcPr>
          <w:p>
            <w:pPr>
              <w:spacing w:line="360" w:lineRule="auto"/>
              <w:jc w:val="center"/>
            </w:pPr>
            <w:r>
              <w:rPr>
                <w:rFonts w:hint="eastAsia"/>
              </w:rPr>
              <w:t>序号</w:t>
            </w:r>
          </w:p>
        </w:tc>
        <w:tc>
          <w:tcPr>
            <w:tcW w:w="1904" w:type="dxa"/>
            <w:shd w:val="clear" w:color="auto" w:fill="auto"/>
            <w:noWrap w:val="0"/>
            <w:vAlign w:val="center"/>
          </w:tcPr>
          <w:p>
            <w:pPr>
              <w:spacing w:line="360" w:lineRule="auto"/>
              <w:jc w:val="center"/>
            </w:pPr>
            <w:r>
              <w:rPr>
                <w:rFonts w:hint="eastAsia"/>
              </w:rPr>
              <w:t>指标项</w:t>
            </w:r>
          </w:p>
        </w:tc>
        <w:tc>
          <w:tcPr>
            <w:tcW w:w="5758" w:type="dxa"/>
            <w:shd w:val="clear" w:color="auto" w:fill="auto"/>
            <w:noWrap w:val="0"/>
            <w:vAlign w:val="center"/>
          </w:tcPr>
          <w:p>
            <w:pPr>
              <w:spacing w:line="360" w:lineRule="auto"/>
              <w:jc w:val="center"/>
            </w:pPr>
            <w:r>
              <w:rPr>
                <w:rFonts w:hint="eastAsia"/>
              </w:rPr>
              <w:t>技术性能要求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cantSplit/>
          <w:jc w:val="center"/>
        </w:trPr>
        <w:tc>
          <w:tcPr>
            <w:tcW w:w="675" w:type="dxa"/>
            <w:shd w:val="clear" w:color="auto" w:fill="auto"/>
            <w:noWrap w:val="0"/>
            <w:vAlign w:val="center"/>
          </w:tcPr>
          <w:p>
            <w:pPr>
              <w:spacing w:line="360" w:lineRule="auto"/>
              <w:rPr>
                <w:rFonts w:hint="default" w:eastAsia="宋体"/>
                <w:lang w:val="en-US" w:eastAsia="zh-CN"/>
              </w:rPr>
            </w:pPr>
            <w:r>
              <w:rPr>
                <w:rFonts w:hint="eastAsia"/>
                <w:lang w:val="en-US" w:eastAsia="zh-CN"/>
              </w:rPr>
              <w:t>1</w:t>
            </w:r>
          </w:p>
        </w:tc>
        <w:tc>
          <w:tcPr>
            <w:tcW w:w="1904" w:type="dxa"/>
            <w:shd w:val="clear" w:color="auto" w:fill="auto"/>
            <w:noWrap w:val="0"/>
            <w:vAlign w:val="center"/>
          </w:tcPr>
          <w:p>
            <w:pPr>
              <w:spacing w:line="360" w:lineRule="auto"/>
              <w:rPr>
                <w:rFonts w:hint="default" w:eastAsia="宋体"/>
                <w:lang w:val="en-US" w:eastAsia="zh-CN"/>
              </w:rPr>
            </w:pPr>
            <w:r>
              <w:rPr>
                <w:rFonts w:hint="eastAsia"/>
                <w:lang w:val="en-US" w:eastAsia="zh-CN"/>
              </w:rPr>
              <w:t>版本升级</w:t>
            </w:r>
          </w:p>
        </w:tc>
        <w:tc>
          <w:tcPr>
            <w:tcW w:w="5758" w:type="dxa"/>
            <w:shd w:val="clear" w:color="auto" w:fill="auto"/>
            <w:noWrap w:val="0"/>
            <w:vAlign w:val="center"/>
          </w:tcPr>
          <w:p>
            <w:pPr>
              <w:spacing w:line="360" w:lineRule="auto"/>
              <w:rPr>
                <w:rFonts w:hint="eastAsia" w:ascii="宋体" w:hAnsi="宋体" w:cs="宋体"/>
                <w:szCs w:val="21"/>
              </w:rPr>
            </w:pPr>
            <w:r>
              <w:rPr>
                <w:rFonts w:hint="eastAsia" w:ascii="宋体" w:hAnsi="宋体" w:eastAsia="宋体" w:cs="宋体"/>
                <w:sz w:val="21"/>
                <w:szCs w:val="21"/>
                <w:lang w:val="en-US" w:eastAsia="zh-CN"/>
              </w:rPr>
              <w:t>Commvault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10.0版本升级Commvault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11.0</w:t>
            </w:r>
            <w:r>
              <w:rPr>
                <w:rFonts w:hint="eastAsia" w:ascii="宋体" w:hAnsi="宋体" w:cs="宋体"/>
                <w:sz w:val="21"/>
                <w:szCs w:val="21"/>
                <w:lang w:val="en-US" w:eastAsia="zh-CN"/>
              </w:rPr>
              <w:t>版本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cantSplit/>
          <w:jc w:val="center"/>
        </w:trPr>
        <w:tc>
          <w:tcPr>
            <w:tcW w:w="675" w:type="dxa"/>
            <w:shd w:val="clear" w:color="auto" w:fill="auto"/>
            <w:noWrap w:val="0"/>
            <w:vAlign w:val="center"/>
          </w:tcPr>
          <w:p>
            <w:pPr>
              <w:spacing w:line="360" w:lineRule="auto"/>
              <w:rPr>
                <w:rFonts w:hint="eastAsia" w:eastAsia="宋体"/>
                <w:lang w:eastAsia="zh-CN"/>
              </w:rPr>
            </w:pPr>
            <w:r>
              <w:rPr>
                <w:rFonts w:hint="eastAsia"/>
                <w:lang w:val="en-US" w:eastAsia="zh-CN"/>
              </w:rPr>
              <w:t>2</w:t>
            </w:r>
          </w:p>
        </w:tc>
        <w:tc>
          <w:tcPr>
            <w:tcW w:w="1904" w:type="dxa"/>
            <w:shd w:val="clear" w:color="auto" w:fill="auto"/>
            <w:noWrap w:val="0"/>
            <w:vAlign w:val="center"/>
          </w:tcPr>
          <w:p>
            <w:pPr>
              <w:spacing w:line="360" w:lineRule="auto"/>
            </w:pPr>
            <w:r>
              <w:t>Commvault</w:t>
            </w:r>
            <w:r>
              <w:rPr>
                <w:rFonts w:hint="eastAsia"/>
              </w:rPr>
              <w:t>备份软件</w:t>
            </w:r>
            <w:r>
              <w:rPr>
                <w:rFonts w:hint="eastAsia"/>
                <w:lang w:val="en-US" w:eastAsia="zh-CN"/>
              </w:rPr>
              <w:t>维保</w:t>
            </w:r>
            <w:r>
              <w:rPr>
                <w:rFonts w:hint="eastAsia"/>
              </w:rPr>
              <w:t>服务</w:t>
            </w:r>
          </w:p>
        </w:tc>
        <w:tc>
          <w:tcPr>
            <w:tcW w:w="5758" w:type="dxa"/>
            <w:shd w:val="clear" w:color="auto" w:fill="auto"/>
            <w:noWrap w:val="0"/>
            <w:vAlign w:val="center"/>
          </w:tcPr>
          <w:p>
            <w:pPr>
              <w:spacing w:line="360" w:lineRule="auto"/>
              <w:rPr>
                <w:rFonts w:ascii="宋体" w:hAnsi="宋体" w:cs="宋体"/>
                <w:szCs w:val="21"/>
              </w:rPr>
            </w:pPr>
            <w:r>
              <w:rPr>
                <w:rFonts w:hint="eastAsia" w:ascii="宋体" w:hAnsi="宋体" w:cs="宋体"/>
                <w:szCs w:val="21"/>
              </w:rPr>
              <w:t xml:space="preserve">提供如下服务： </w:t>
            </w:r>
          </w:p>
          <w:p>
            <w:pPr>
              <w:spacing w:line="360" w:lineRule="auto"/>
              <w:rPr>
                <w:rFonts w:ascii="宋体" w:hAnsi="宋体" w:cs="宋体"/>
                <w:szCs w:val="21"/>
              </w:rPr>
            </w:pPr>
            <w:r>
              <w:rPr>
                <w:rFonts w:hint="eastAsia" w:ascii="宋体" w:hAnsi="宋体" w:cs="宋体"/>
                <w:szCs w:val="21"/>
              </w:rPr>
              <w:t>1.提供1年技术服务，包括日常作业报告的主动跟踪处理、基本故障的诊断与排除、故障的排除总结与报告的提交（电话、远程服务及现场服务）；</w:t>
            </w:r>
          </w:p>
          <w:p>
            <w:pPr>
              <w:spacing w:line="360" w:lineRule="auto"/>
              <w:rPr>
                <w:rFonts w:ascii="宋体" w:hAnsi="宋体" w:cs="宋体"/>
                <w:szCs w:val="21"/>
              </w:rPr>
            </w:pPr>
            <w:r>
              <w:rPr>
                <w:rFonts w:hint="eastAsia" w:ascii="宋体" w:hAnsi="宋体" w:cs="宋体"/>
                <w:szCs w:val="21"/>
              </w:rPr>
              <w:t>2.至少提供1年4人天的现场技术服务（包括日常巡检服务）；</w:t>
            </w:r>
          </w:p>
          <w:p>
            <w:pPr>
              <w:spacing w:line="360" w:lineRule="auto"/>
              <w:rPr>
                <w:rFonts w:ascii="宋体" w:hAnsi="宋体" w:cs="宋体"/>
                <w:szCs w:val="21"/>
              </w:rPr>
            </w:pPr>
            <w:r>
              <w:rPr>
                <w:rFonts w:hint="eastAsia" w:ascii="宋体" w:hAnsi="宋体" w:cs="宋体"/>
                <w:szCs w:val="21"/>
              </w:rPr>
              <w:t>3.提供半年一次的备份系统健康度分析报告及服务维护总结汇报；</w:t>
            </w:r>
          </w:p>
          <w:p>
            <w:pPr>
              <w:spacing w:line="360" w:lineRule="auto"/>
              <w:rPr>
                <w:rFonts w:hint="eastAsia" w:ascii="宋体" w:hAnsi="宋体" w:eastAsia="宋体" w:cs="宋体"/>
                <w:szCs w:val="21"/>
                <w:lang w:eastAsia="zh-CN"/>
              </w:rPr>
            </w:pPr>
            <w:r>
              <w:rPr>
                <w:rFonts w:hint="eastAsia" w:ascii="宋体" w:hAnsi="宋体" w:cs="宋体"/>
                <w:szCs w:val="21"/>
              </w:rPr>
              <w:t>4.至少提供为期2人天的工程师运维操作培训</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5.服务形式：电话及远程服务、邮件、现场支持</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6.运维服务响应：在出现备份系统重大故障时，如需工程师现场服务时，在接到甲方现场服务通知后，半小时内响应，8小时内到达用户现场，做好重大故障应急处理</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7．甲方每年如需做年度备份应急演练，乙方应负责组织工作，并做好相应记录</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lang w:val="en-US" w:eastAsia="zh-CN"/>
              </w:rPr>
              <w:t>8.</w:t>
            </w:r>
            <w:r>
              <w:rPr>
                <w:rFonts w:hint="eastAsia" w:ascii="宋体" w:hAnsi="宋体" w:eastAsia="宋体" w:cs="宋体"/>
                <w:sz w:val="21"/>
                <w:szCs w:val="21"/>
                <w:lang w:val="en-US" w:eastAsia="zh-CN"/>
              </w:rPr>
              <w:t>提供备份系统补丁升级服务，根据厂家发布的的最新补丁，定期对备份系统进行补丁更新。</w:t>
            </w:r>
            <w:r>
              <w:rPr>
                <w:rFonts w:hint="eastAsia" w:ascii="宋体" w:hAnsi="宋体" w:cs="宋体"/>
                <w:szCs w:val="21"/>
              </w:rPr>
              <w:t xml:space="preserve">   </w:t>
            </w:r>
          </w:p>
        </w:tc>
      </w:tr>
    </w:tbl>
    <w:p>
      <w:pPr>
        <w:pStyle w:val="11"/>
        <w:numPr>
          <w:ilvl w:val="0"/>
          <w:numId w:val="0"/>
        </w:numPr>
        <w:bidi w:val="0"/>
        <w:spacing w:line="360" w:lineRule="auto"/>
        <w:rPr>
          <w:rStyle w:val="9"/>
          <w:rFonts w:hint="eastAsia" w:ascii="宋体" w:hAnsi="宋体" w:cs="宋体"/>
          <w:kern w:val="2"/>
          <w:sz w:val="21"/>
          <w:szCs w:val="21"/>
          <w:lang w:val="en-US" w:eastAsia="zh-CN" w:bidi="ar-SA"/>
        </w:rPr>
      </w:pPr>
    </w:p>
    <w:p>
      <w:pPr>
        <w:pStyle w:val="11"/>
        <w:numPr>
          <w:ilvl w:val="0"/>
          <w:numId w:val="0"/>
        </w:numPr>
        <w:bidi w:val="0"/>
        <w:spacing w:line="360" w:lineRule="auto"/>
        <w:rPr>
          <w:rStyle w:val="9"/>
          <w:rFonts w:hint="eastAsia" w:ascii="宋体" w:hAnsi="宋体" w:eastAsia="宋体" w:cs="宋体"/>
          <w:kern w:val="2"/>
          <w:sz w:val="21"/>
          <w:szCs w:val="21"/>
          <w:lang w:val="en-US" w:eastAsia="zh-CN" w:bidi="ar-SA"/>
        </w:rPr>
      </w:pPr>
      <w:r>
        <w:rPr>
          <w:rStyle w:val="9"/>
          <w:rFonts w:hint="eastAsia" w:ascii="宋体" w:hAnsi="宋体" w:cs="宋体"/>
          <w:kern w:val="2"/>
          <w:sz w:val="21"/>
          <w:szCs w:val="21"/>
          <w:lang w:val="en-US" w:eastAsia="zh-CN" w:bidi="ar-SA"/>
        </w:rPr>
        <w:t>六</w:t>
      </w:r>
      <w:r>
        <w:rPr>
          <w:rStyle w:val="9"/>
          <w:rFonts w:hint="eastAsia" w:ascii="宋体" w:hAnsi="宋体" w:eastAsia="宋体" w:cs="宋体"/>
          <w:kern w:val="2"/>
          <w:sz w:val="21"/>
          <w:szCs w:val="21"/>
          <w:lang w:val="en-US" w:eastAsia="zh-CN" w:bidi="ar-SA"/>
        </w:rPr>
        <w:t>、投标人资格要求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sz w:val="21"/>
          <w:szCs w:val="21"/>
          <w:lang w:val="en-US" w:eastAsia="zh-CN"/>
        </w:rPr>
      </w:pPr>
      <w:r>
        <w:rPr>
          <w:rStyle w:val="9"/>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投标</w:t>
      </w:r>
      <w:r>
        <w:rPr>
          <w:rStyle w:val="9"/>
          <w:rFonts w:hint="eastAsia" w:ascii="宋体" w:hAnsi="宋体" w:eastAsia="宋体" w:cs="宋体"/>
          <w:kern w:val="2"/>
          <w:sz w:val="21"/>
          <w:szCs w:val="21"/>
          <w:lang w:val="en-US" w:eastAsia="zh-CN" w:bidi="ar-SA"/>
        </w:rPr>
        <w:t>人需</w:t>
      </w:r>
      <w:r>
        <w:rPr>
          <w:rFonts w:hint="eastAsia" w:ascii="宋体" w:hAnsi="宋体" w:eastAsia="宋体" w:cs="宋体"/>
          <w:sz w:val="21"/>
          <w:szCs w:val="21"/>
          <w:lang w:val="en-US" w:eastAsia="zh-CN"/>
        </w:rPr>
        <w:t>提供</w:t>
      </w:r>
      <w:r>
        <w:rPr>
          <w:rFonts w:hint="eastAsia" w:ascii="宋体" w:hAnsi="宋体" w:eastAsia="宋体" w:cs="宋体"/>
          <w:sz w:val="21"/>
          <w:szCs w:val="21"/>
        </w:rPr>
        <w:t>Commvault</w:t>
      </w:r>
      <w:r>
        <w:rPr>
          <w:rFonts w:hint="eastAsia" w:ascii="宋体" w:hAnsi="宋体" w:eastAsia="宋体" w:cs="宋体"/>
          <w:sz w:val="21"/>
          <w:szCs w:val="21"/>
          <w:lang w:val="en-US" w:eastAsia="zh-CN"/>
        </w:rPr>
        <w:t>代理资质证书</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2、投标人需提供</w:t>
      </w:r>
      <w:r>
        <w:rPr>
          <w:rFonts w:hint="eastAsia" w:ascii="宋体" w:hAnsi="宋体" w:eastAsia="宋体" w:cs="宋体"/>
          <w:sz w:val="21"/>
          <w:szCs w:val="21"/>
        </w:rPr>
        <w:t>Commvault</w:t>
      </w:r>
      <w:r>
        <w:rPr>
          <w:rFonts w:hint="eastAsia" w:ascii="宋体" w:hAnsi="宋体" w:eastAsia="宋体" w:cs="宋体"/>
          <w:sz w:val="21"/>
          <w:szCs w:val="21"/>
          <w:lang w:val="en-US" w:eastAsia="zh-CN"/>
        </w:rPr>
        <w:t>工程师认证证书</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w:t>
      </w:r>
    </w:p>
    <w:p>
      <w:pPr>
        <w:numPr>
          <w:ilvl w:val="0"/>
          <w:numId w:val="0"/>
        </w:numPr>
        <w:bidi w:val="0"/>
        <w:spacing w:line="360" w:lineRule="auto"/>
        <w:ind w:firstLine="420" w:firstLineChars="200"/>
        <w:rPr>
          <w:rFonts w:hint="eastAsia" w:ascii="宋体" w:hAnsi="宋体" w:eastAsia="宋体" w:cs="宋体"/>
          <w:sz w:val="21"/>
          <w:szCs w:val="21"/>
          <w:lang w:val="en-US" w:eastAsia="zh-CN"/>
        </w:rPr>
      </w:pPr>
      <w:r>
        <w:rPr>
          <w:rStyle w:val="9"/>
          <w:rFonts w:hint="eastAsia" w:ascii="宋体" w:hAnsi="宋体" w:eastAsia="宋体" w:cs="宋体"/>
          <w:kern w:val="2"/>
          <w:sz w:val="21"/>
          <w:szCs w:val="21"/>
          <w:lang w:val="en-US" w:eastAsia="zh-CN" w:bidi="ar-SA"/>
        </w:rPr>
        <w:t>3、</w:t>
      </w:r>
      <w:r>
        <w:rPr>
          <w:rFonts w:hint="eastAsia" w:ascii="宋体" w:hAnsi="宋体" w:eastAsia="宋体" w:cs="宋体"/>
          <w:sz w:val="21"/>
          <w:szCs w:val="21"/>
          <w:lang w:val="en-US" w:eastAsia="zh-CN"/>
        </w:rPr>
        <w:t>投标人需提供</w:t>
      </w:r>
      <w:r>
        <w:rPr>
          <w:rFonts w:hint="eastAsia" w:ascii="宋体" w:hAnsi="宋体" w:eastAsia="宋体" w:cs="宋体"/>
          <w:sz w:val="21"/>
          <w:szCs w:val="21"/>
        </w:rPr>
        <w:t>Commvault</w:t>
      </w:r>
      <w:r>
        <w:rPr>
          <w:rFonts w:hint="eastAsia" w:ascii="宋体" w:hAnsi="宋体" w:eastAsia="宋体" w:cs="宋体"/>
          <w:sz w:val="21"/>
          <w:szCs w:val="21"/>
          <w:lang w:val="en-US" w:eastAsia="zh-CN"/>
        </w:rPr>
        <w:t>原厂授权函</w:t>
      </w:r>
      <w:r>
        <w:rPr>
          <w:rFonts w:hint="eastAsia" w:ascii="宋体" w:hAnsi="宋体" w:cs="宋体"/>
          <w:sz w:val="21"/>
          <w:szCs w:val="21"/>
          <w:lang w:val="en-US" w:eastAsia="zh-CN"/>
        </w:rPr>
        <w:t>；</w:t>
      </w:r>
    </w:p>
    <w:p>
      <w:pPr>
        <w:pStyle w:val="10"/>
        <w:spacing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kern w:val="2"/>
          <w:sz w:val="21"/>
          <w:szCs w:val="21"/>
          <w:lang w:val="en-US" w:eastAsia="zh-CN" w:bidi="ar-SA"/>
        </w:rPr>
        <w:t>投标人应为中华人民共和国境内（不含香港、澳门、台湾地区）法律上和财务上独立的法人或依法登记注册的组织，合法运作并独立于招标人和采购代理机构。投标人应具有合法有效的登记（或注册）证明文件；</w:t>
      </w:r>
    </w:p>
    <w:p>
      <w:pPr>
        <w:pStyle w:val="1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5、投标人的法定代表人或负责人为同一人或者存在控股、管理关系的不同投标人，不得参加同一项目投标；</w:t>
      </w:r>
    </w:p>
    <w:p>
      <w:pPr>
        <w:pStyle w:val="1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6、投标人应能开具增值税专用发票并承诺中标后向招标人开具增值税专用发票；</w:t>
      </w:r>
    </w:p>
    <w:p>
      <w:pPr>
        <w:pStyle w:val="1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7、投标人须遵守国家法律、法规，具备良好商业信誉，</w:t>
      </w:r>
      <w:r>
        <w:rPr>
          <w:rFonts w:hint="eastAsia" w:ascii="宋体" w:hAnsi="宋体" w:cs="宋体"/>
          <w:sz w:val="21"/>
          <w:szCs w:val="21"/>
          <w:highlight w:val="none"/>
          <w:lang w:val="en-US" w:eastAsia="zh-CN"/>
        </w:rPr>
        <w:t>2020</w:t>
      </w:r>
      <w:r>
        <w:rPr>
          <w:rFonts w:hint="eastAsia" w:ascii="宋体" w:hAnsi="宋体" w:eastAsia="宋体" w:cs="宋体"/>
          <w:sz w:val="21"/>
          <w:szCs w:val="21"/>
          <w:highlight w:val="none"/>
          <w:lang w:val="en-US" w:eastAsia="zh-CN"/>
        </w:rPr>
        <w:t>年1月1日</w:t>
      </w:r>
      <w:r>
        <w:rPr>
          <w:rFonts w:hint="eastAsia" w:ascii="宋体" w:hAnsi="宋体" w:eastAsia="宋体" w:cs="宋体"/>
          <w:sz w:val="21"/>
          <w:szCs w:val="21"/>
          <w:lang w:val="en-US" w:eastAsia="zh-CN"/>
        </w:rPr>
        <w:t>至投标文件递交截止日期间没有被列入“信用中国”（网址：www.creditchina.gov.cn）“失信被执行人”、“重大税收违法案件”和中国政府采购网（网址：www.ccgp.gov.cn）“政府采购严重违法失信名单” 的记录，失信问题已处理、整改完成的除外；</w:t>
      </w:r>
    </w:p>
    <w:p>
      <w:pPr>
        <w:pStyle w:val="1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8、投标人不得存在下列情形之一</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（1）为招标人不具有独立法人资格的附属机构（单位）；</w:t>
      </w:r>
    </w:p>
    <w:p>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（2）被责令停业或破产状态的；</w:t>
      </w:r>
    </w:p>
    <w:p>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（3）财产被重组、接管、查封、扣押或冻结的；</w:t>
      </w:r>
    </w:p>
    <w:p>
      <w:pPr>
        <w:pStyle w:val="1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（4）存在串通投标情形；</w:t>
      </w:r>
    </w:p>
    <w:p>
      <w:pPr>
        <w:pStyle w:val="1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（5）存在弄虚作假情形；</w:t>
      </w:r>
    </w:p>
    <w:p>
      <w:pPr>
        <w:pStyle w:val="1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（6）投标人以他人名义投标。</w:t>
      </w:r>
    </w:p>
    <w:p>
      <w:pPr>
        <w:pStyle w:val="1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（7）本项目不允许联合体投标。</w:t>
      </w:r>
    </w:p>
    <w:p>
      <w:pPr>
        <w:shd w:val="clear"/>
        <w:spacing w:line="360" w:lineRule="auto"/>
        <w:rPr>
          <w:rFonts w:hint="eastAsia"/>
          <w:color w:val="auto"/>
          <w:lang w:val="en-US" w:eastAsia="zh-CN"/>
        </w:rPr>
      </w:pPr>
    </w:p>
    <w:p>
      <w:pPr>
        <w:shd w:val="clear"/>
        <w:spacing w:line="360" w:lineRule="auto"/>
        <w:rPr>
          <w:rFonts w:hint="eastAsia"/>
          <w:color w:val="auto"/>
        </w:rPr>
      </w:pPr>
      <w:r>
        <w:rPr>
          <w:rFonts w:hint="eastAsia"/>
          <w:color w:val="auto"/>
          <w:lang w:val="en-US" w:eastAsia="zh-CN"/>
        </w:rPr>
        <w:t>七</w:t>
      </w:r>
      <w:r>
        <w:rPr>
          <w:rFonts w:hint="eastAsia"/>
          <w:color w:val="auto"/>
        </w:rPr>
        <w:t>、付款方式：</w:t>
      </w:r>
    </w:p>
    <w:p>
      <w:pPr>
        <w:shd w:val="clear"/>
        <w:spacing w:line="360" w:lineRule="auto"/>
        <w:ind w:firstLine="420" w:firstLineChars="200"/>
        <w:rPr>
          <w:rFonts w:hint="eastAsia" w:eastAsia="宋体"/>
          <w:color w:val="auto"/>
          <w:lang w:eastAsia="zh-CN"/>
        </w:rPr>
      </w:pPr>
      <w:r>
        <w:rPr>
          <w:rFonts w:hint="eastAsia"/>
          <w:color w:val="auto"/>
        </w:rPr>
        <w:t>完成整体项目的升级</w:t>
      </w:r>
      <w:r>
        <w:rPr>
          <w:rFonts w:hint="eastAsia"/>
          <w:color w:val="auto"/>
          <w:lang w:val="en-US" w:eastAsia="zh-CN"/>
        </w:rPr>
        <w:t>并通过采购人</w:t>
      </w:r>
      <w:r>
        <w:rPr>
          <w:rFonts w:hint="eastAsia"/>
          <w:color w:val="auto"/>
        </w:rPr>
        <w:t>验收</w:t>
      </w:r>
      <w:r>
        <w:rPr>
          <w:rFonts w:hint="eastAsia"/>
          <w:color w:val="auto"/>
          <w:lang w:eastAsia="zh-CN"/>
        </w:rPr>
        <w:t>后，中标人开具与合同金额相等的发票，采购人在收到发票之日起三个月内一次性付款。</w:t>
      </w:r>
    </w:p>
    <w:p>
      <w:pPr>
        <w:pStyle w:val="10"/>
        <w:spacing w:line="360" w:lineRule="auto"/>
        <w:ind w:left="0" w:leftChars="0" w:firstLine="0" w:firstLineChars="0"/>
        <w:rPr>
          <w:rFonts w:hint="eastAsia" w:ascii="宋体" w:hAnsi="宋体" w:eastAsia="宋体" w:cs="宋体"/>
          <w:sz w:val="21"/>
          <w:szCs w:val="21"/>
          <w:lang w:val="en-US" w:eastAsia="zh-CN"/>
        </w:rPr>
      </w:pPr>
    </w:p>
    <w:p>
      <w:pPr>
        <w:keepNext w:val="0"/>
        <w:keepLines w:val="0"/>
        <w:pageBreakBefore w:val="0"/>
        <w:widowControl/>
        <w:shd w:val="clear"/>
        <w:tabs>
          <w:tab w:val="left" w:pos="495"/>
        </w:tabs>
        <w:kinsoku/>
        <w:wordWrap/>
        <w:overflowPunct/>
        <w:topLinePunct w:val="0"/>
        <w:autoSpaceDE/>
        <w:autoSpaceDN/>
        <w:bidi w:val="0"/>
        <w:adjustRightInd/>
        <w:snapToGrid w:val="0"/>
        <w:spacing w:line="360" w:lineRule="auto"/>
        <w:jc w:val="left"/>
        <w:textAlignment w:val="auto"/>
        <w:outlineLvl w:val="1"/>
        <w:rPr>
          <w:rFonts w:hint="eastAsia" w:ascii="新宋体" w:hAnsi="新宋体" w:eastAsia="新宋体" w:cs="黑体"/>
          <w:b w:val="0"/>
          <w:bCs w:val="0"/>
          <w:color w:val="auto"/>
          <w:kern w:val="0"/>
          <w:sz w:val="22"/>
          <w:szCs w:val="22"/>
          <w:highlight w:val="none"/>
          <w:lang w:eastAsia="zh-CN"/>
        </w:rPr>
      </w:pPr>
      <w:r>
        <w:rPr>
          <w:rFonts w:hint="eastAsia" w:ascii="新宋体" w:hAnsi="新宋体" w:eastAsia="新宋体" w:cs="黑体"/>
          <w:b w:val="0"/>
          <w:bCs w:val="0"/>
          <w:color w:val="auto"/>
          <w:kern w:val="0"/>
          <w:sz w:val="22"/>
          <w:szCs w:val="22"/>
          <w:highlight w:val="none"/>
          <w:lang w:val="en-US" w:eastAsia="zh-CN"/>
        </w:rPr>
        <w:t>八、</w:t>
      </w:r>
      <w:r>
        <w:rPr>
          <w:rFonts w:hint="eastAsia" w:ascii="新宋体" w:hAnsi="新宋体" w:eastAsia="新宋体" w:cs="黑体"/>
          <w:b w:val="0"/>
          <w:bCs w:val="0"/>
          <w:color w:val="auto"/>
          <w:kern w:val="0"/>
          <w:sz w:val="22"/>
          <w:szCs w:val="22"/>
          <w:highlight w:val="none"/>
        </w:rPr>
        <w:t>项目工期</w:t>
      </w:r>
      <w:r>
        <w:rPr>
          <w:rFonts w:hint="eastAsia" w:ascii="新宋体" w:hAnsi="新宋体" w:eastAsia="新宋体" w:cs="黑体"/>
          <w:b w:val="0"/>
          <w:bCs w:val="0"/>
          <w:color w:val="auto"/>
          <w:kern w:val="0"/>
          <w:sz w:val="22"/>
          <w:szCs w:val="22"/>
          <w:highlight w:val="none"/>
          <w:lang w:eastAsia="zh-CN"/>
        </w:rPr>
        <w:t>：</w:t>
      </w:r>
    </w:p>
    <w:p>
      <w:pPr>
        <w:pStyle w:val="2"/>
        <w:shd w:val="clear"/>
        <w:rPr>
          <w:rFonts w:hint="eastAsia" w:ascii="宋体" w:hAnsi="宋体" w:cs="宋体"/>
          <w:color w:val="auto"/>
          <w:sz w:val="22"/>
          <w:szCs w:val="22"/>
          <w:highlight w:val="none"/>
        </w:rPr>
      </w:pPr>
      <w:r>
        <w:rPr>
          <w:rFonts w:hint="eastAsia" w:ascii="宋体" w:hAnsi="宋体" w:cs="宋体"/>
          <w:color w:val="auto"/>
          <w:sz w:val="22"/>
          <w:szCs w:val="22"/>
          <w:highlight w:val="none"/>
        </w:rPr>
        <w:t>中标人需在合同签订之日起</w:t>
      </w:r>
      <w:r>
        <w:rPr>
          <w:rFonts w:hint="eastAsia" w:ascii="宋体" w:hAnsi="宋体" w:cs="宋体"/>
          <w:color w:val="auto"/>
          <w:sz w:val="22"/>
          <w:szCs w:val="22"/>
          <w:highlight w:val="none"/>
          <w:u w:val="single"/>
          <w:lang w:val="en-US" w:eastAsia="zh-CN"/>
        </w:rPr>
        <w:t xml:space="preserve"> </w:t>
      </w:r>
      <w:r>
        <w:rPr>
          <w:rFonts w:hint="eastAsia" w:ascii="宋体" w:hAnsi="宋体" w:cs="宋体"/>
          <w:b/>
          <w:bCs/>
          <w:color w:val="auto"/>
          <w:sz w:val="22"/>
          <w:szCs w:val="22"/>
          <w:highlight w:val="none"/>
          <w:u w:val="single"/>
        </w:rPr>
        <w:t>30日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内完成整体项目的</w:t>
      </w:r>
      <w:r>
        <w:rPr>
          <w:rFonts w:hint="eastAsia" w:ascii="宋体" w:hAnsi="宋体" w:cs="宋体"/>
          <w:color w:val="auto"/>
          <w:sz w:val="22"/>
          <w:szCs w:val="22"/>
          <w:highlight w:val="none"/>
          <w:lang w:val="en-US" w:eastAsia="zh-CN"/>
        </w:rPr>
        <w:t>升级</w:t>
      </w:r>
      <w:r>
        <w:rPr>
          <w:rFonts w:hint="eastAsia" w:ascii="宋体" w:hAnsi="宋体" w:cs="宋体"/>
          <w:color w:val="auto"/>
          <w:sz w:val="22"/>
          <w:szCs w:val="22"/>
          <w:highlight w:val="none"/>
        </w:rPr>
        <w:t>验收并交付甲方使用。</w:t>
      </w:r>
    </w:p>
    <w:p>
      <w:pPr>
        <w:pStyle w:val="10"/>
        <w:spacing w:line="360" w:lineRule="auto"/>
        <w:ind w:left="0" w:leftChars="0" w:firstLine="0" w:firstLineChars="0"/>
        <w:rPr>
          <w:rFonts w:hint="eastAsia" w:ascii="宋体" w:hAnsi="宋体" w:eastAsia="宋体" w:cs="宋体"/>
          <w:sz w:val="21"/>
          <w:szCs w:val="21"/>
          <w:lang w:val="en-US" w:eastAsia="zh-CN"/>
        </w:rPr>
      </w:pPr>
    </w:p>
    <w:p>
      <w:pPr>
        <w:pStyle w:val="2"/>
        <w:keepNext w:val="0"/>
        <w:keepLines w:val="0"/>
        <w:pageBreakBefore w:val="0"/>
        <w:numPr>
          <w:ilvl w:val="0"/>
          <w:numId w:val="2"/>
        </w:numPr>
        <w:kinsoku/>
        <w:wordWrap/>
        <w:overflowPunct/>
        <w:topLinePunct w:val="0"/>
        <w:autoSpaceDE/>
        <w:autoSpaceDN/>
        <w:bidi w:val="0"/>
        <w:adjustRightInd/>
        <w:spacing w:line="360" w:lineRule="auto"/>
        <w:ind w:left="0" w:leftChars="0" w:firstLine="0" w:firstLineChars="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免费维保期：</w:t>
      </w:r>
    </w:p>
    <w:p>
      <w:pPr>
        <w:pStyle w:val="2"/>
        <w:keepNext w:val="0"/>
        <w:keepLines w:val="0"/>
        <w:pageBreakBefore w:val="0"/>
        <w:numPr>
          <w:numId w:val="0"/>
        </w:numPr>
        <w:kinsoku/>
        <w:wordWrap/>
        <w:overflowPunct/>
        <w:topLinePunct w:val="0"/>
        <w:autoSpaceDE/>
        <w:autoSpaceDN/>
        <w:bidi w:val="0"/>
        <w:adjustRightInd/>
        <w:spacing w:line="360" w:lineRule="auto"/>
        <w:ind w:leftChars="0" w:firstLine="440" w:firstLineChars="200"/>
        <w:textAlignment w:val="auto"/>
        <w:rPr>
          <w:rFonts w:hint="default" w:eastAsia="宋体"/>
          <w:color w:val="auto"/>
          <w:highlight w:val="none"/>
          <w:lang w:val="en-US" w:eastAsia="zh-CN"/>
        </w:rPr>
      </w:pPr>
      <w:r>
        <w:rPr>
          <w:rFonts w:hint="eastAsia" w:ascii="宋体" w:hAnsi="宋体" w:cs="宋体"/>
          <w:color w:val="auto"/>
          <w:sz w:val="22"/>
          <w:szCs w:val="22"/>
          <w:highlight w:val="none"/>
          <w:lang w:val="en-US" w:eastAsia="zh-CN"/>
        </w:rPr>
        <w:t>提供</w:t>
      </w:r>
      <w:r>
        <w:rPr>
          <w:color w:val="auto"/>
          <w:highlight w:val="none"/>
        </w:rPr>
        <w:t>Commvault</w:t>
      </w:r>
      <w:r>
        <w:rPr>
          <w:rFonts w:hint="eastAsia"/>
          <w:color w:val="auto"/>
          <w:highlight w:val="none"/>
        </w:rPr>
        <w:t>备份软件</w:t>
      </w:r>
      <w:r>
        <w:rPr>
          <w:rFonts w:hint="eastAsia"/>
          <w:color w:val="auto"/>
          <w:highlight w:val="none"/>
          <w:lang w:val="en-US" w:eastAsia="zh-CN"/>
        </w:rPr>
        <w:t>免费</w:t>
      </w:r>
      <w:bookmarkStart w:id="0" w:name="_GoBack"/>
      <w:bookmarkEnd w:id="0"/>
      <w:r>
        <w:rPr>
          <w:rFonts w:hint="eastAsia"/>
          <w:color w:val="auto"/>
          <w:highlight w:val="none"/>
          <w:lang w:val="en-US" w:eastAsia="zh-CN"/>
        </w:rPr>
        <w:t>维保</w:t>
      </w:r>
      <w:r>
        <w:rPr>
          <w:rFonts w:hint="eastAsia"/>
          <w:color w:val="auto"/>
          <w:highlight w:val="none"/>
        </w:rPr>
        <w:t>服务</w:t>
      </w:r>
      <w:r>
        <w:rPr>
          <w:rFonts w:hint="eastAsia"/>
          <w:color w:val="auto"/>
          <w:highlight w:val="none"/>
          <w:lang w:val="en-US" w:eastAsia="zh-CN"/>
        </w:rPr>
        <w:t>≥</w:t>
      </w:r>
      <w:r>
        <w:rPr>
          <w:rFonts w:hint="eastAsia" w:ascii="宋体" w:hAnsi="宋体" w:cs="宋体"/>
          <w:color w:val="auto"/>
          <w:sz w:val="22"/>
          <w:szCs w:val="22"/>
          <w:highlight w:val="none"/>
          <w:lang w:val="en-US" w:eastAsia="zh-CN"/>
        </w:rPr>
        <w:t>1年，自</w:t>
      </w:r>
      <w:r>
        <w:rPr>
          <w:rFonts w:hint="eastAsia" w:ascii="宋体" w:hAnsi="宋体" w:cs="宋体"/>
          <w:color w:val="auto"/>
          <w:sz w:val="22"/>
          <w:szCs w:val="22"/>
          <w:highlight w:val="none"/>
        </w:rPr>
        <w:t>整体项目的</w:t>
      </w:r>
      <w:r>
        <w:rPr>
          <w:rFonts w:hint="eastAsia" w:ascii="宋体" w:hAnsi="宋体" w:cs="宋体"/>
          <w:color w:val="auto"/>
          <w:sz w:val="22"/>
          <w:szCs w:val="22"/>
          <w:highlight w:val="none"/>
          <w:lang w:val="en-US" w:eastAsia="zh-CN"/>
        </w:rPr>
        <w:t>升级</w:t>
      </w:r>
      <w:r>
        <w:rPr>
          <w:rFonts w:hint="eastAsia" w:ascii="宋体" w:hAnsi="宋体" w:cs="宋体"/>
          <w:color w:val="auto"/>
          <w:sz w:val="22"/>
          <w:szCs w:val="22"/>
          <w:highlight w:val="none"/>
        </w:rPr>
        <w:t>验收并交付甲方使用</w:t>
      </w:r>
      <w:r>
        <w:rPr>
          <w:rFonts w:hint="eastAsia" w:ascii="宋体" w:hAnsi="宋体" w:cs="宋体"/>
          <w:color w:val="auto"/>
          <w:sz w:val="22"/>
          <w:szCs w:val="22"/>
          <w:highlight w:val="none"/>
          <w:lang w:val="en-US" w:eastAsia="zh-CN"/>
        </w:rPr>
        <w:t>之日起计。</w:t>
      </w:r>
    </w:p>
    <w:p>
      <w:pPr>
        <w:pStyle w:val="10"/>
        <w:spacing w:line="360" w:lineRule="auto"/>
        <w:ind w:left="0" w:leftChars="0" w:firstLine="0" w:firstLineChars="0"/>
        <w:rPr>
          <w:rFonts w:hint="eastAsia" w:ascii="宋体" w:hAnsi="宋体" w:eastAsia="宋体" w:cs="宋体"/>
          <w:sz w:val="21"/>
          <w:szCs w:val="21"/>
          <w:lang w:val="en-US" w:eastAsia="zh-CN"/>
        </w:rPr>
      </w:pPr>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4643C"/>
    <w:multiLevelType w:val="singleLevel"/>
    <w:tmpl w:val="8634643C"/>
    <w:lvl w:ilvl="0" w:tentative="0">
      <w:start w:val="5"/>
      <w:numFmt w:val="chineseCounting"/>
      <w:suff w:val="nothing"/>
      <w:lvlText w:val="%1、"/>
      <w:lvlJc w:val="left"/>
      <w:rPr>
        <w:rFonts w:hint="eastAsia"/>
      </w:rPr>
    </w:lvl>
  </w:abstractNum>
  <w:abstractNum w:abstractNumId="1">
    <w:nsid w:val="7FFF23B9"/>
    <w:multiLevelType w:val="singleLevel"/>
    <w:tmpl w:val="7FFF23B9"/>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000000"/>
    <w:rsid w:val="0EA93157"/>
    <w:rsid w:val="10A65B52"/>
    <w:rsid w:val="1DEF6191"/>
    <w:rsid w:val="1EF967AA"/>
    <w:rsid w:val="20541126"/>
    <w:rsid w:val="24A361D8"/>
    <w:rsid w:val="3833269C"/>
    <w:rsid w:val="3EDC25BB"/>
    <w:rsid w:val="481760FD"/>
    <w:rsid w:val="59E40736"/>
    <w:rsid w:val="5D516581"/>
    <w:rsid w:val="6C633AD1"/>
    <w:rsid w:val="6D7620C8"/>
    <w:rsid w:val="76A9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ind w:firstLine="420" w:firstLineChars="200"/>
    </w:pPr>
  </w:style>
  <w:style w:type="character" w:styleId="9">
    <w:name w:val="page number"/>
    <w:basedOn w:val="8"/>
    <w:qFormat/>
    <w:uiPriority w:val="0"/>
  </w:style>
  <w:style w:type="paragraph" w:customStyle="1" w:styleId="10">
    <w:name w:val="正文首行缩进 21"/>
    <w:basedOn w:val="11"/>
    <w:qFormat/>
    <w:uiPriority w:val="0"/>
    <w:pPr>
      <w:ind w:firstLine="420"/>
    </w:pPr>
    <w:rPr>
      <w:szCs w:val="22"/>
    </w:rPr>
  </w:style>
  <w:style w:type="paragraph" w:customStyle="1" w:styleId="11">
    <w:name w:val="正文文本缩进1"/>
    <w:basedOn w:val="1"/>
    <w:qFormat/>
    <w:uiPriority w:val="0"/>
    <w:pPr>
      <w:spacing w:line="500" w:lineRule="exact"/>
      <w:ind w:firstLine="880" w:firstLineChars="200"/>
    </w:pPr>
  </w:style>
  <w:style w:type="paragraph" w:styleId="12">
    <w:name w:val="List Paragraph"/>
    <w:basedOn w:val="1"/>
    <w:qFormat/>
    <w:uiPriority w:val="34"/>
    <w:pPr>
      <w:ind w:firstLine="420" w:firstLineChars="20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2023-09-21T06:16:00Z</dcterms:created>
  <dc:creator>Lenovo</dc:creator>
  <cp:lastModifiedBy>天津卫</cp:lastModifiedBy>
  <dcterms:modified xsi:type="dcterms:W3CDTF">2023-10-09T03:20:53Z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E6C14E01D5CE4B74AD590CB34E064B52_12</vt:lpwstr>
  </property>
</Properties>
</file>