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宋体" w:hAnsi="宋体" w:eastAsia="宋体" w:cs="宋体"/>
          <w:b/>
          <w:bCs/>
          <w:color w:val="auto"/>
          <w:sz w:val="52"/>
          <w:szCs w:val="52"/>
          <w:highlight w:val="none"/>
          <w:lang w:eastAsia="zh-CN"/>
        </w:rPr>
      </w:pPr>
      <w:bookmarkStart w:id="0" w:name="_Toc1813"/>
      <w:bookmarkStart w:id="1" w:name="_Toc20071"/>
      <w:bookmarkStart w:id="2" w:name="_Toc17690"/>
      <w:bookmarkStart w:id="3" w:name="_Toc3940"/>
      <w:bookmarkStart w:id="4" w:name="_Toc15950"/>
      <w:r>
        <w:rPr>
          <w:rFonts w:hint="eastAsia" w:ascii="宋体" w:hAnsi="宋体" w:cs="宋体"/>
          <w:color w:val="auto"/>
          <w:spacing w:val="20"/>
          <w:sz w:val="84"/>
          <w:highlight w:val="none"/>
          <w:lang w:eastAsia="zh-CN"/>
        </w:rPr>
        <w:t>温州市中医院</w:t>
      </w:r>
    </w:p>
    <w:p>
      <w:pPr>
        <w:jc w:val="center"/>
        <w:rPr>
          <w:rFonts w:hint="eastAsia" w:ascii="宋体" w:hAnsi="宋体" w:eastAsia="宋体" w:cs="宋体"/>
          <w:b/>
          <w:bCs/>
          <w:color w:val="auto"/>
          <w:spacing w:val="26"/>
          <w:sz w:val="52"/>
          <w:highlight w:val="none"/>
        </w:rPr>
      </w:pPr>
    </w:p>
    <w:p>
      <w:pPr>
        <w:ind w:firstLine="2357" w:firstLineChars="235"/>
        <w:rPr>
          <w:rFonts w:hint="eastAsia" w:ascii="宋体" w:hAnsi="宋体" w:eastAsia="宋体" w:cs="宋体"/>
          <w:b/>
          <w:bCs/>
          <w:color w:val="auto"/>
          <w:spacing w:val="140"/>
          <w:sz w:val="72"/>
          <w:highlight w:val="none"/>
        </w:rPr>
      </w:pPr>
    </w:p>
    <w:p>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cs="宋体"/>
          <w:b w:val="0"/>
          <w:bCs w:val="0"/>
          <w:color w:val="auto"/>
          <w:sz w:val="72"/>
          <w:szCs w:val="72"/>
          <w:highlight w:val="none"/>
          <w:lang w:val="en-US" w:eastAsia="zh-CN"/>
        </w:rPr>
        <w:t>遴 选</w:t>
      </w:r>
      <w:r>
        <w:rPr>
          <w:rFonts w:hint="eastAsia" w:ascii="宋体" w:hAnsi="宋体" w:eastAsia="宋体" w:cs="宋体"/>
          <w:b w:val="0"/>
          <w:bCs w:val="0"/>
          <w:color w:val="auto"/>
          <w:sz w:val="72"/>
          <w:szCs w:val="72"/>
          <w:highlight w:val="none"/>
        </w:rPr>
        <w:t xml:space="preserve"> 文 件</w:t>
      </w:r>
    </w:p>
    <w:tbl>
      <w:tblPr>
        <w:tblStyle w:val="10"/>
        <w:tblW w:w="0" w:type="auto"/>
        <w:tblInd w:w="4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59"/>
        <w:gridCol w:w="6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9" w:type="dxa"/>
            <w:noWrap w:val="0"/>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6311" w:type="dxa"/>
            <w:noWrap w:val="0"/>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温州市中医院</w:t>
            </w:r>
            <w:r>
              <w:rPr>
                <w:rFonts w:hint="eastAsia" w:ascii="宋体" w:hAnsi="宋体" w:cs="宋体"/>
                <w:b w:val="0"/>
                <w:bCs w:val="0"/>
                <w:color w:val="auto"/>
                <w:sz w:val="30"/>
                <w:szCs w:val="30"/>
                <w:highlight w:val="none"/>
                <w:lang w:val="en-US" w:eastAsia="zh-CN"/>
              </w:rPr>
              <w:t>0号柴油</w:t>
            </w:r>
            <w:r>
              <w:rPr>
                <w:rFonts w:hint="eastAsia" w:ascii="宋体" w:hAnsi="宋体" w:cs="宋体"/>
                <w:b w:val="0"/>
                <w:bCs w:val="0"/>
                <w:color w:val="auto"/>
                <w:sz w:val="30"/>
                <w:szCs w:val="30"/>
                <w:highlight w:val="none"/>
                <w:lang w:eastAsia="zh-CN"/>
              </w:rPr>
              <w:t xml:space="preserve">采购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9" w:type="dxa"/>
            <w:noWrap w:val="0"/>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6311" w:type="dxa"/>
            <w:noWrap w:val="0"/>
            <w:vAlign w:val="center"/>
          </w:tcPr>
          <w:p>
            <w:pPr>
              <w:spacing w:line="700" w:lineRule="exact"/>
              <w:jc w:val="center"/>
              <w:rPr>
                <w:rFonts w:hint="default" w:ascii="宋体" w:hAnsi="宋体" w:eastAsia="宋体" w:cs="宋体"/>
                <w:b w:val="0"/>
                <w:bCs w:val="0"/>
                <w:color w:val="auto"/>
                <w:sz w:val="24"/>
                <w:highlight w:val="none"/>
                <w:vertAlign w:val="baseline"/>
                <w:lang w:val="en-US" w:eastAsia="zh-CN"/>
              </w:rPr>
            </w:pPr>
            <w:r>
              <w:rPr>
                <w:rFonts w:hint="eastAsia" w:ascii="宋体" w:hAnsi="宋体" w:cs="宋体"/>
                <w:b w:val="0"/>
                <w:bCs w:val="0"/>
                <w:color w:val="auto"/>
                <w:sz w:val="30"/>
                <w:szCs w:val="30"/>
                <w:highlight w:val="none"/>
                <w:vertAlign w:val="baseline"/>
                <w:lang w:val="en-US" w:eastAsia="zh-CN"/>
              </w:rPr>
              <w:t>公开遴选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9" w:type="dxa"/>
            <w:noWrap w:val="0"/>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6311" w:type="dxa"/>
            <w:noWrap w:val="0"/>
            <w:vAlign w:val="center"/>
          </w:tcPr>
          <w:p>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pacing w:val="40"/>
                <w:sz w:val="30"/>
                <w:szCs w:val="30"/>
                <w:highlight w:val="none"/>
                <w:lang w:val="en-US" w:eastAsia="zh-CN"/>
              </w:rPr>
              <w:t>院内</w:t>
            </w:r>
            <w:r>
              <w:rPr>
                <w:rFonts w:hint="eastAsia" w:ascii="宋体" w:hAnsi="宋体" w:eastAsia="宋体" w:cs="宋体"/>
                <w:b w:val="0"/>
                <w:bCs w:val="0"/>
                <w:color w:val="auto"/>
                <w:spacing w:val="40"/>
                <w:sz w:val="30"/>
                <w:szCs w:val="30"/>
                <w:highlight w:val="none"/>
              </w:rPr>
              <w:t>线</w:t>
            </w:r>
            <w:r>
              <w:rPr>
                <w:rFonts w:hint="eastAsia" w:ascii="宋体" w:hAnsi="宋体" w:cs="宋体"/>
                <w:b w:val="0"/>
                <w:bCs w:val="0"/>
                <w:color w:val="auto"/>
                <w:spacing w:val="40"/>
                <w:sz w:val="30"/>
                <w:szCs w:val="30"/>
                <w:highlight w:val="none"/>
                <w:lang w:val="en-US" w:eastAsia="zh-CN"/>
              </w:rPr>
              <w:t>下遴选</w:t>
            </w:r>
          </w:p>
        </w:tc>
      </w:tr>
    </w:tbl>
    <w:p>
      <w:pPr>
        <w:spacing w:line="700" w:lineRule="exact"/>
        <w:ind w:firstLine="723" w:firstLineChars="300"/>
        <w:jc w:val="left"/>
        <w:rPr>
          <w:rFonts w:hint="eastAsia" w:ascii="宋体" w:hAnsi="宋体" w:eastAsia="宋体" w:cs="宋体"/>
          <w:b/>
          <w:bCs/>
          <w:color w:val="auto"/>
          <w:sz w:val="24"/>
          <w:highlight w:val="none"/>
        </w:rPr>
      </w:pPr>
    </w:p>
    <w:p>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pPr>
        <w:pStyle w:val="2"/>
        <w:rPr>
          <w:rFonts w:hint="eastAsia" w:ascii="宋体" w:hAnsi="宋体" w:eastAsia="宋体" w:cs="宋体"/>
          <w:b/>
          <w:color w:val="auto"/>
          <w:spacing w:val="40"/>
          <w:sz w:val="30"/>
          <w:szCs w:val="30"/>
          <w:highlight w:val="none"/>
        </w:rPr>
      </w:pPr>
    </w:p>
    <w:p>
      <w:pPr>
        <w:rPr>
          <w:rFonts w:hint="eastAsia" w:ascii="宋体" w:hAnsi="宋体" w:eastAsia="宋体" w:cs="宋体"/>
          <w:b/>
          <w:color w:val="auto"/>
          <w:spacing w:val="40"/>
          <w:sz w:val="30"/>
          <w:szCs w:val="30"/>
          <w:highlight w:val="none"/>
        </w:rPr>
      </w:pPr>
    </w:p>
    <w:p>
      <w:pPr>
        <w:pStyle w:val="2"/>
        <w:rPr>
          <w:rFonts w:hint="eastAsia"/>
        </w:rPr>
      </w:pPr>
    </w:p>
    <w:p>
      <w:pPr>
        <w:rPr>
          <w:rFonts w:hint="eastAsia"/>
        </w:rPr>
      </w:pPr>
    </w:p>
    <w:p>
      <w:pPr>
        <w:pStyle w:val="8"/>
        <w:rPr>
          <w:rFonts w:hint="eastAsia"/>
        </w:rPr>
      </w:pPr>
    </w:p>
    <w:p>
      <w:pPr>
        <w:pStyle w:val="8"/>
        <w:rPr>
          <w:rFonts w:hint="eastAsia"/>
        </w:rPr>
      </w:pPr>
    </w:p>
    <w:p>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温州市中医院</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三</w:t>
      </w:r>
      <w:r>
        <w:rPr>
          <w:rFonts w:hint="eastAsia" w:ascii="宋体" w:hAnsi="宋体" w:eastAsia="宋体" w:cs="宋体"/>
          <w:color w:val="auto"/>
          <w:spacing w:val="30"/>
          <w:sz w:val="30"/>
          <w:highlight w:val="none"/>
        </w:rPr>
        <w:t>年</w:t>
      </w:r>
      <w:r>
        <w:rPr>
          <w:rFonts w:hint="eastAsia" w:ascii="宋体" w:hAnsi="宋体" w:cs="宋体"/>
          <w:color w:val="auto"/>
          <w:spacing w:val="30"/>
          <w:sz w:val="30"/>
          <w:highlight w:val="none"/>
          <w:lang w:val="en-US" w:eastAsia="zh-CN"/>
        </w:rPr>
        <w:t>九</w:t>
      </w:r>
      <w:r>
        <w:rPr>
          <w:rFonts w:hint="eastAsia" w:ascii="宋体" w:hAnsi="宋体" w:eastAsia="宋体" w:cs="宋体"/>
          <w:color w:val="auto"/>
          <w:spacing w:val="30"/>
          <w:sz w:val="30"/>
          <w:highlight w:val="none"/>
        </w:rPr>
        <w:t>月</w:t>
      </w:r>
    </w:p>
    <w:p>
      <w:pPr>
        <w:rPr>
          <w:rFonts w:hint="eastAsia"/>
        </w:rPr>
      </w:pPr>
      <w:r>
        <w:rPr>
          <w:rFonts w:hint="eastAsia" w:ascii="宋体" w:hAnsi="宋体" w:eastAsia="宋体" w:cs="宋体"/>
          <w:b/>
          <w:color w:val="auto"/>
          <w:sz w:val="36"/>
          <w:szCs w:val="36"/>
          <w:highlight w:val="none"/>
        </w:rPr>
        <w:br w:type="page"/>
      </w:r>
    </w:p>
    <w:bookmarkEnd w:id="0"/>
    <w:bookmarkEnd w:id="1"/>
    <w:bookmarkEnd w:id="2"/>
    <w:p>
      <w:pPr>
        <w:pStyle w:val="3"/>
        <w:numPr>
          <w:ilvl w:val="0"/>
          <w:numId w:val="0"/>
        </w:numPr>
        <w:bidi w:val="0"/>
        <w:ind w:leftChars="0"/>
        <w:jc w:val="center"/>
        <w:rPr>
          <w:rFonts w:hint="eastAsia" w:ascii="宋体" w:hAnsi="宋体" w:eastAsia="宋体" w:cs="宋体"/>
          <w:color w:val="auto"/>
        </w:rPr>
      </w:pPr>
      <w:bookmarkStart w:id="5" w:name="_Toc13311"/>
      <w:r>
        <w:rPr>
          <w:rFonts w:hint="eastAsia" w:ascii="宋体" w:hAnsi="宋体" w:eastAsia="宋体" w:cs="宋体"/>
          <w:color w:val="auto"/>
          <w:lang w:val="en-US" w:eastAsia="zh-CN"/>
        </w:rPr>
        <w:t xml:space="preserve">第一部分 </w:t>
      </w:r>
      <w:r>
        <w:rPr>
          <w:rFonts w:hint="eastAsia" w:ascii="宋体" w:hAnsi="宋体" w:eastAsia="宋体" w:cs="宋体"/>
          <w:color w:val="auto"/>
        </w:rPr>
        <w:t>项目技术规范和服务要求</w:t>
      </w:r>
      <w:bookmarkEnd w:id="3"/>
      <w:bookmarkEnd w:id="4"/>
      <w:bookmarkEnd w:id="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2"/>
          <w:szCs w:val="22"/>
        </w:rPr>
      </w:pPr>
      <w:r>
        <w:rPr>
          <w:rFonts w:hint="eastAsia"/>
          <w:b/>
          <w:bCs/>
          <w:sz w:val="22"/>
          <w:szCs w:val="22"/>
        </w:rPr>
        <w:t>一、采购总说明</w:t>
      </w:r>
    </w:p>
    <w:p>
      <w:pPr>
        <w:autoSpaceDE w:val="0"/>
        <w:autoSpaceDN w:val="0"/>
        <w:adjustRightInd w:val="0"/>
        <w:snapToGrid w:val="0"/>
        <w:spacing w:line="460" w:lineRule="exact"/>
        <w:ind w:firstLine="440" w:firstLineChars="200"/>
        <w:textAlignment w:val="bottom"/>
        <w:outlineLvl w:val="1"/>
        <w:rPr>
          <w:rFonts w:ascii="宋体" w:eastAsia="宋体" w:cs="Arial"/>
          <w:b w:val="0"/>
          <w:color w:val="auto"/>
          <w:sz w:val="22"/>
          <w:szCs w:val="22"/>
        </w:rPr>
      </w:pPr>
      <w:r>
        <w:rPr>
          <w:rFonts w:ascii="宋体" w:eastAsia="宋体" w:cs="Arial"/>
          <w:b w:val="0"/>
          <w:color w:val="auto"/>
          <w:sz w:val="22"/>
          <w:szCs w:val="22"/>
        </w:rPr>
        <w:t>1、本技术规范要求提出的</w:t>
      </w:r>
      <w:r>
        <w:rPr>
          <w:rFonts w:hint="eastAsia" w:ascii="宋体" w:eastAsia="宋体" w:cs="Arial"/>
          <w:b w:val="0"/>
          <w:color w:val="auto"/>
          <w:sz w:val="22"/>
          <w:szCs w:val="22"/>
        </w:rPr>
        <w:t>是</w:t>
      </w:r>
      <w:r>
        <w:rPr>
          <w:rFonts w:ascii="宋体" w:eastAsia="宋体" w:cs="Arial"/>
          <w:b w:val="0"/>
          <w:color w:val="auto"/>
          <w:sz w:val="22"/>
          <w:szCs w:val="22"/>
        </w:rPr>
        <w:t>基本技术要求，并未对所有技术细节作出规定，供应商应提供符合本技术要求和国家标准、行业标准的优质产品。</w:t>
      </w:r>
    </w:p>
    <w:p>
      <w:pPr>
        <w:autoSpaceDE w:val="0"/>
        <w:autoSpaceDN w:val="0"/>
        <w:adjustRightInd w:val="0"/>
        <w:snapToGrid w:val="0"/>
        <w:spacing w:line="460" w:lineRule="exact"/>
        <w:ind w:firstLine="440" w:firstLineChars="200"/>
        <w:textAlignment w:val="bottom"/>
        <w:outlineLvl w:val="1"/>
        <w:rPr>
          <w:rFonts w:ascii="宋体" w:eastAsia="宋体" w:cs="Arial"/>
          <w:b w:val="0"/>
          <w:color w:val="auto"/>
          <w:sz w:val="22"/>
          <w:szCs w:val="22"/>
        </w:rPr>
      </w:pPr>
      <w:r>
        <w:rPr>
          <w:rFonts w:ascii="宋体" w:eastAsia="宋体" w:cs="Arial"/>
          <w:b w:val="0"/>
          <w:color w:val="auto"/>
          <w:sz w:val="22"/>
          <w:szCs w:val="22"/>
        </w:rPr>
        <w:t>2、供应商</w:t>
      </w:r>
      <w:r>
        <w:rPr>
          <w:rFonts w:hint="eastAsia" w:ascii="宋体" w:eastAsia="宋体" w:cs="Arial"/>
          <w:b w:val="0"/>
          <w:color w:val="auto"/>
          <w:sz w:val="22"/>
          <w:szCs w:val="22"/>
        </w:rPr>
        <w:t>提供的</w:t>
      </w:r>
      <w:r>
        <w:rPr>
          <w:rFonts w:ascii="宋体" w:eastAsia="宋体" w:cs="Arial"/>
          <w:b w:val="0"/>
          <w:color w:val="auto"/>
          <w:sz w:val="22"/>
          <w:szCs w:val="22"/>
        </w:rPr>
        <w:t>产品与本技术要求不一致时，供应商应在投标文件中予以说明，并由评标委员会鉴定供应商产品能否达到要求。如供应商没有在投标文件中提出异议，则视为供应商提供的产品完全按照本</w:t>
      </w:r>
      <w:r>
        <w:rPr>
          <w:rFonts w:hint="eastAsia" w:ascii="宋体" w:cs="Arial"/>
          <w:b w:val="0"/>
          <w:color w:val="auto"/>
          <w:sz w:val="22"/>
          <w:szCs w:val="22"/>
          <w:lang w:val="en-US" w:eastAsia="zh-CN"/>
        </w:rPr>
        <w:t>遴选</w:t>
      </w:r>
      <w:r>
        <w:rPr>
          <w:rFonts w:ascii="宋体" w:eastAsia="宋体" w:cs="Arial"/>
          <w:b w:val="0"/>
          <w:color w:val="auto"/>
          <w:sz w:val="22"/>
          <w:szCs w:val="22"/>
        </w:rPr>
        <w:t>文件要求。</w:t>
      </w:r>
    </w:p>
    <w:p>
      <w:pPr>
        <w:autoSpaceDE w:val="0"/>
        <w:autoSpaceDN w:val="0"/>
        <w:adjustRightInd w:val="0"/>
        <w:snapToGrid w:val="0"/>
        <w:spacing w:line="460" w:lineRule="exact"/>
        <w:ind w:firstLine="440" w:firstLineChars="200"/>
        <w:textAlignment w:val="bottom"/>
        <w:outlineLvl w:val="1"/>
        <w:rPr>
          <w:rFonts w:ascii="宋体" w:eastAsia="宋体" w:cs="Arial"/>
          <w:b w:val="0"/>
          <w:color w:val="auto"/>
          <w:sz w:val="22"/>
          <w:szCs w:val="22"/>
        </w:rPr>
      </w:pPr>
      <w:r>
        <w:rPr>
          <w:rFonts w:hint="eastAsia" w:ascii="宋体" w:eastAsia="宋体" w:cs="Arial"/>
          <w:b w:val="0"/>
          <w:color w:val="auto"/>
          <w:sz w:val="22"/>
          <w:szCs w:val="22"/>
        </w:rPr>
        <w:t>3</w:t>
      </w:r>
      <w:r>
        <w:rPr>
          <w:rFonts w:ascii="宋体" w:eastAsia="宋体" w:cs="Arial"/>
          <w:b w:val="0"/>
          <w:color w:val="auto"/>
          <w:sz w:val="22"/>
          <w:szCs w:val="22"/>
        </w:rPr>
        <w:t>、技术要求及标准的执行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textAlignment w:val="bottom"/>
        <w:outlineLvl w:val="9"/>
        <w:rPr>
          <w:rFonts w:ascii="宋体" w:eastAsia="宋体" w:cs="Arial"/>
          <w:b w:val="0"/>
          <w:color w:val="auto"/>
          <w:sz w:val="22"/>
          <w:szCs w:val="22"/>
        </w:rPr>
      </w:pPr>
      <w:r>
        <w:rPr>
          <w:rFonts w:hint="eastAsia" w:ascii="宋体" w:cs="Arial"/>
          <w:b w:val="0"/>
          <w:color w:val="auto"/>
          <w:sz w:val="22"/>
          <w:szCs w:val="22"/>
          <w:lang w:val="en-US" w:eastAsia="zh-CN"/>
        </w:rPr>
        <w:t>遴选</w:t>
      </w:r>
      <w:r>
        <w:rPr>
          <w:rFonts w:hint="eastAsia" w:ascii="宋体" w:eastAsia="宋体" w:cs="Arial"/>
          <w:b w:val="0"/>
          <w:color w:val="auto"/>
          <w:sz w:val="22"/>
          <w:szCs w:val="22"/>
          <w:lang w:eastAsia="zh-CN"/>
        </w:rPr>
        <w:t>申请人</w:t>
      </w:r>
      <w:r>
        <w:rPr>
          <w:rFonts w:ascii="宋体" w:eastAsia="宋体" w:cs="Arial"/>
          <w:b w:val="0"/>
          <w:color w:val="auto"/>
          <w:sz w:val="22"/>
          <w:szCs w:val="22"/>
        </w:rPr>
        <w:t>提供的产品应标明所执行的质量标准，若同一标准已颁发新标准，则按最新标准执行。若同一产品同时有几个标准（国际标准、国家标准、行业标准、企业标准等），则按最高层次的标准执行。</w:t>
      </w:r>
    </w:p>
    <w:p>
      <w:pPr>
        <w:pStyle w:val="12"/>
        <w:spacing w:line="360" w:lineRule="auto"/>
        <w:rPr>
          <w:rFonts w:hint="eastAsia" w:ascii="宋体" w:hAnsi="宋体" w:cs="宋体"/>
          <w:b/>
          <w:bCs/>
          <w:sz w:val="22"/>
          <w:szCs w:val="22"/>
        </w:rPr>
      </w:pPr>
      <w:r>
        <w:rPr>
          <w:rFonts w:hint="eastAsia" w:ascii="宋体" w:hAnsi="宋体" w:cs="宋体"/>
          <w:b/>
          <w:bCs/>
          <w:sz w:val="22"/>
          <w:szCs w:val="22"/>
          <w:lang w:val="en-US" w:eastAsia="zh-CN"/>
        </w:rPr>
        <w:t>二</w:t>
      </w:r>
      <w:r>
        <w:rPr>
          <w:rFonts w:hint="eastAsia" w:ascii="宋体" w:hAnsi="宋体" w:eastAsia="宋体" w:cs="宋体"/>
          <w:b/>
          <w:bCs/>
          <w:sz w:val="22"/>
          <w:szCs w:val="22"/>
          <w:lang w:val="en-US" w:eastAsia="zh-CN"/>
        </w:rPr>
        <w:t>、</w:t>
      </w:r>
      <w:r>
        <w:rPr>
          <w:rFonts w:hint="eastAsia" w:ascii="宋体" w:hAnsi="宋体" w:cs="宋体"/>
          <w:b/>
          <w:bCs/>
          <w:sz w:val="22"/>
          <w:szCs w:val="22"/>
          <w:lang w:val="en-US" w:eastAsia="zh-CN"/>
        </w:rPr>
        <w:t>投标</w:t>
      </w:r>
      <w:r>
        <w:rPr>
          <w:rFonts w:hint="eastAsia" w:ascii="宋体" w:hAnsi="宋体" w:cs="宋体"/>
          <w:b/>
          <w:bCs/>
          <w:sz w:val="22"/>
          <w:szCs w:val="22"/>
        </w:rPr>
        <w:t>人的资格要求</w:t>
      </w:r>
    </w:p>
    <w:p>
      <w:pPr>
        <w:pStyle w:val="12"/>
        <w:spacing w:line="360" w:lineRule="auto"/>
        <w:ind w:firstLine="440" w:firstLineChars="200"/>
        <w:rPr>
          <w:rFonts w:hint="eastAsia" w:ascii="宋体" w:hAnsi="宋体" w:cs="宋体"/>
          <w:sz w:val="22"/>
          <w:szCs w:val="22"/>
        </w:rPr>
      </w:pPr>
      <w:r>
        <w:rPr>
          <w:rFonts w:hint="eastAsia" w:ascii="宋体" w:hAnsi="宋体" w:cs="宋体"/>
          <w:sz w:val="22"/>
          <w:szCs w:val="22"/>
        </w:rPr>
        <w:t>1.满足《中华人民共和国政府采购法》第二十二条规定，未被“信用中国”(www.creditchinagovcn)、中国政府采购网(wrw.ccapgovcn)列入失信被执行人、重大税收违法案件当事人名单、政府采购严重违法失信行为记录名单;</w:t>
      </w:r>
    </w:p>
    <w:p>
      <w:pPr>
        <w:pStyle w:val="12"/>
        <w:spacing w:line="360" w:lineRule="auto"/>
        <w:ind w:firstLine="440" w:firstLineChars="200"/>
        <w:rPr>
          <w:rFonts w:hint="eastAsia" w:ascii="宋体" w:hAnsi="宋体" w:cs="宋体"/>
          <w:sz w:val="22"/>
          <w:szCs w:val="22"/>
        </w:rPr>
      </w:pPr>
      <w:r>
        <w:rPr>
          <w:rFonts w:hint="eastAsia" w:ascii="宋体" w:hAnsi="宋体" w:eastAsia="宋体" w:cs="宋体"/>
          <w:sz w:val="22"/>
          <w:szCs w:val="22"/>
          <w:lang w:eastAsia="zh-CN"/>
        </w:rPr>
        <w:t>2</w:t>
      </w:r>
      <w:r>
        <w:rPr>
          <w:rFonts w:hint="eastAsia" w:ascii="宋体" w:hAnsi="宋体" w:cs="宋体"/>
          <w:sz w:val="22"/>
          <w:szCs w:val="22"/>
        </w:rPr>
        <w:t>.本项目的特定资格要求:</w:t>
      </w:r>
    </w:p>
    <w:p>
      <w:pPr>
        <w:pStyle w:val="1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cs="宋体"/>
          <w:sz w:val="22"/>
          <w:szCs w:val="22"/>
        </w:rPr>
        <w:t>营业执照具备柴油《或成品油)销售相关经营范围;</w:t>
      </w:r>
    </w:p>
    <w:p>
      <w:pPr>
        <w:pStyle w:val="1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w:t>
      </w:r>
      <w:r>
        <w:rPr>
          <w:rFonts w:hint="eastAsia" w:ascii="宋体" w:hAnsi="宋体" w:cs="宋体"/>
          <w:sz w:val="22"/>
          <w:szCs w:val="22"/>
        </w:rPr>
        <w:t>具有有效的&lt;道路危险货物运输许可证》或《道路运输经营许可证》(涵盖危险货物运输)</w:t>
      </w:r>
    </w:p>
    <w:p>
      <w:pPr>
        <w:pStyle w:val="12"/>
        <w:spacing w:line="360" w:lineRule="auto"/>
        <w:ind w:firstLine="440" w:firstLineChars="200"/>
        <w:rPr>
          <w:rFonts w:hint="eastAsia" w:ascii="宋体" w:hAnsi="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3）</w:t>
      </w:r>
      <w:r>
        <w:rPr>
          <w:rFonts w:hint="eastAsia" w:ascii="宋体" w:hAnsi="宋体" w:cs="宋体"/>
          <w:sz w:val="22"/>
          <w:szCs w:val="22"/>
        </w:rPr>
        <w:t>具有&lt;危险化学品经营许可证》;</w:t>
      </w:r>
    </w:p>
    <w:p>
      <w:pPr>
        <w:pStyle w:val="12"/>
        <w:spacing w:line="360" w:lineRule="auto"/>
        <w:ind w:firstLine="440" w:firstLineChars="200"/>
        <w:rPr>
          <w:rFonts w:hint="eastAsia" w:ascii="宋体" w:hAnsi="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4）</w:t>
      </w:r>
      <w:r>
        <w:rPr>
          <w:rFonts w:hint="eastAsia" w:ascii="宋体" w:hAnsi="宋体" w:cs="宋体"/>
          <w:sz w:val="22"/>
          <w:szCs w:val="22"/>
        </w:rPr>
        <w:t>具有《成品油批发经营批准证书》或《成品油零售经营批准证书》。</w:t>
      </w:r>
    </w:p>
    <w:p>
      <w:pPr>
        <w:pStyle w:val="4"/>
        <w:pageBreakBefore w:val="0"/>
        <w:widowControl w:val="0"/>
        <w:kinsoku/>
        <w:wordWrap/>
        <w:overflowPunct/>
        <w:topLinePunct w:val="0"/>
        <w:autoSpaceDE/>
        <w:autoSpaceDN/>
        <w:bidi w:val="0"/>
        <w:adjustRightInd/>
        <w:snapToGrid/>
        <w:spacing w:line="360" w:lineRule="auto"/>
        <w:textAlignment w:val="auto"/>
        <w:rPr>
          <w:rFonts w:hint="eastAsia" w:hAnsi="宋体" w:cs="宋体"/>
          <w:b/>
          <w:bCs/>
          <w:sz w:val="22"/>
          <w:szCs w:val="22"/>
        </w:rPr>
      </w:pPr>
      <w:r>
        <w:rPr>
          <w:rFonts w:hint="eastAsia"/>
          <w:b/>
          <w:bCs/>
          <w:sz w:val="22"/>
          <w:szCs w:val="22"/>
          <w:lang w:val="en-US" w:eastAsia="zh-CN"/>
        </w:rPr>
        <w:t xml:space="preserve">三、主要采购内容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default" w:hAnsi="宋体" w:eastAsia="宋体" w:cs="宋体"/>
          <w:color w:val="FF0000"/>
          <w:sz w:val="22"/>
          <w:szCs w:val="22"/>
          <w:highlight w:val="yellow"/>
          <w:lang w:val="en-US" w:eastAsia="zh-CN"/>
        </w:rPr>
      </w:pPr>
      <w:r>
        <w:rPr>
          <w:rFonts w:hint="eastAsia" w:hAnsi="宋体" w:cs="宋体"/>
          <w:color w:val="FF0000"/>
          <w:sz w:val="22"/>
          <w:szCs w:val="22"/>
          <w:highlight w:val="yellow"/>
          <w:lang w:val="en-US" w:eastAsia="zh-CN"/>
        </w:rPr>
        <w:t>1、合同期限：</w:t>
      </w:r>
      <w:r>
        <w:rPr>
          <w:rFonts w:hint="eastAsia" w:ascii="宋体" w:hAnsi="宋体" w:eastAsia="宋体" w:cs="宋体"/>
          <w:b w:val="0"/>
          <w:bCs w:val="0"/>
          <w:color w:val="FF0000"/>
          <w:sz w:val="22"/>
          <w:szCs w:val="22"/>
          <w:highlight w:val="yellow"/>
          <w:lang w:val="en-US"/>
        </w:rPr>
        <w:t>服务</w:t>
      </w:r>
      <w:r>
        <w:rPr>
          <w:rFonts w:hint="eastAsia" w:ascii="宋体" w:hAnsi="宋体" w:eastAsia="宋体" w:cs="宋体"/>
          <w:b w:val="0"/>
          <w:bCs w:val="0"/>
          <w:color w:val="FF0000"/>
          <w:sz w:val="22"/>
          <w:szCs w:val="22"/>
          <w:highlight w:val="yellow"/>
        </w:rPr>
        <w:t>期限</w:t>
      </w:r>
      <w:r>
        <w:rPr>
          <w:rFonts w:hint="eastAsia" w:ascii="宋体" w:hAnsi="宋体" w:eastAsia="宋体" w:cs="宋体"/>
          <w:b w:val="0"/>
          <w:bCs w:val="0"/>
          <w:color w:val="FF0000"/>
          <w:sz w:val="22"/>
          <w:szCs w:val="22"/>
          <w:highlight w:val="yellow"/>
          <w:lang w:val="en-US" w:eastAsia="zh-Hans"/>
        </w:rPr>
        <w:t>自本合同生效之日起计算</w:t>
      </w:r>
      <w:r>
        <w:rPr>
          <w:rFonts w:hint="eastAsia" w:ascii="宋体" w:hAnsi="宋体" w:eastAsia="宋体" w:cs="宋体"/>
          <w:b w:val="0"/>
          <w:bCs w:val="0"/>
          <w:color w:val="FF0000"/>
          <w:sz w:val="22"/>
          <w:szCs w:val="22"/>
          <w:highlight w:val="yellow"/>
        </w:rPr>
        <w:t>，</w:t>
      </w:r>
      <w:r>
        <w:rPr>
          <w:rFonts w:hint="eastAsia" w:ascii="宋体" w:hAnsi="宋体" w:eastAsia="宋体" w:cs="宋体"/>
          <w:b w:val="0"/>
          <w:bCs w:val="0"/>
          <w:color w:val="FF0000"/>
          <w:sz w:val="22"/>
          <w:szCs w:val="22"/>
          <w:highlight w:val="yellow"/>
          <w:lang w:val="en-US" w:eastAsia="zh-Hans"/>
        </w:rPr>
        <w:t>至甲乙双方一致同意不再合作之日止，</w:t>
      </w:r>
      <w:r>
        <w:rPr>
          <w:rFonts w:hint="eastAsia" w:ascii="宋体" w:hAnsi="宋体" w:eastAsia="宋体" w:cs="宋体"/>
          <w:b w:val="0"/>
          <w:bCs w:val="0"/>
          <w:color w:val="FF0000"/>
          <w:sz w:val="22"/>
          <w:szCs w:val="22"/>
          <w:highlight w:val="yellow"/>
          <w:lang w:val="en-US" w:eastAsia="zh-CN"/>
        </w:rPr>
        <w:t>最终解释权归属甲方。</w:t>
      </w:r>
    </w:p>
    <w:p>
      <w:pPr>
        <w:pStyle w:val="8"/>
        <w:keepNext w:val="0"/>
        <w:keepLines w:val="0"/>
        <w:pageBreakBefore w:val="0"/>
        <w:widowControl w:val="0"/>
        <w:kinsoku/>
        <w:wordWrap/>
        <w:overflowPunct/>
        <w:topLinePunct w:val="0"/>
        <w:autoSpaceDE/>
        <w:autoSpaceDN/>
        <w:bidi w:val="0"/>
        <w:adjustRightInd/>
        <w:snapToGrid/>
        <w:spacing w:line="0" w:lineRule="atLeast"/>
        <w:ind w:left="0" w:leftChars="0" w:firstLine="440" w:firstLineChars="200"/>
        <w:textAlignment w:val="auto"/>
        <w:rPr>
          <w:rFonts w:hint="eastAsia" w:hAnsi="宋体" w:cs="宋体"/>
          <w:sz w:val="22"/>
          <w:szCs w:val="22"/>
          <w:lang w:val="en-US" w:eastAsia="zh-CN"/>
        </w:rPr>
      </w:pPr>
      <w:r>
        <w:rPr>
          <w:rFonts w:hint="eastAsia" w:hAnsi="宋体" w:cs="宋体"/>
          <w:sz w:val="22"/>
          <w:szCs w:val="22"/>
          <w:lang w:val="en-US" w:eastAsia="zh-CN"/>
        </w:rPr>
        <w:t>2、采购内容：</w:t>
      </w:r>
    </w:p>
    <w:tbl>
      <w:tblPr>
        <w:tblStyle w:val="9"/>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840"/>
        <w:gridCol w:w="1815"/>
        <w:gridCol w:w="1665"/>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1323" w:type="dxa"/>
            <w:noWrap w:val="0"/>
            <w:vAlign w:val="center"/>
          </w:tcPr>
          <w:p>
            <w:pPr>
              <w:spacing w:line="44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序号</w:t>
            </w:r>
          </w:p>
        </w:tc>
        <w:tc>
          <w:tcPr>
            <w:tcW w:w="1840" w:type="dxa"/>
            <w:noWrap w:val="0"/>
            <w:vAlign w:val="center"/>
          </w:tcPr>
          <w:p>
            <w:pPr>
              <w:spacing w:line="44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采购内容</w:t>
            </w:r>
          </w:p>
        </w:tc>
        <w:tc>
          <w:tcPr>
            <w:tcW w:w="1815" w:type="dxa"/>
            <w:noWrap w:val="0"/>
            <w:vAlign w:val="center"/>
          </w:tcPr>
          <w:p>
            <w:pPr>
              <w:spacing w:line="440" w:lineRule="exact"/>
              <w:jc w:val="center"/>
              <w:rPr>
                <w:rFonts w:hint="default" w:ascii="宋体" w:hAnsi="宋体" w:eastAsia="宋体" w:cs="宋体"/>
                <w:b w:val="0"/>
                <w:bCs w:val="0"/>
                <w:sz w:val="22"/>
                <w:szCs w:val="22"/>
                <w:highlight w:val="none"/>
                <w:lang w:val="en-US" w:eastAsia="zh-CN"/>
              </w:rPr>
            </w:pPr>
            <w:r>
              <w:rPr>
                <w:rFonts w:hint="eastAsia" w:ascii="宋体" w:hAnsi="宋体" w:cs="宋体"/>
                <w:b w:val="0"/>
                <w:bCs w:val="0"/>
                <w:sz w:val="22"/>
                <w:szCs w:val="22"/>
                <w:highlight w:val="none"/>
                <w:lang w:val="en-US" w:eastAsia="zh-CN"/>
              </w:rPr>
              <w:t>年预算量</w:t>
            </w:r>
          </w:p>
        </w:tc>
        <w:tc>
          <w:tcPr>
            <w:tcW w:w="1665" w:type="dxa"/>
            <w:noWrap w:val="0"/>
            <w:vAlign w:val="center"/>
          </w:tcPr>
          <w:p>
            <w:pPr>
              <w:spacing w:line="44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品质要求</w:t>
            </w:r>
          </w:p>
        </w:tc>
        <w:tc>
          <w:tcPr>
            <w:tcW w:w="2655" w:type="dxa"/>
            <w:noWrap w:val="0"/>
            <w:vAlign w:val="center"/>
          </w:tcPr>
          <w:p>
            <w:pPr>
              <w:spacing w:line="44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1323" w:type="dxa"/>
            <w:noWrap w:val="0"/>
            <w:vAlign w:val="center"/>
          </w:tcPr>
          <w:p>
            <w:pPr>
              <w:spacing w:line="440" w:lineRule="exact"/>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1</w:t>
            </w:r>
          </w:p>
        </w:tc>
        <w:tc>
          <w:tcPr>
            <w:tcW w:w="1840" w:type="dxa"/>
            <w:noWrap w:val="0"/>
            <w:vAlign w:val="center"/>
          </w:tcPr>
          <w:p>
            <w:pPr>
              <w:spacing w:line="440" w:lineRule="exact"/>
              <w:jc w:val="center"/>
              <w:rPr>
                <w:rFonts w:hint="eastAsia" w:ascii="宋体" w:hAnsi="宋体" w:eastAsia="宋体" w:cs="宋体"/>
                <w:b w:val="0"/>
                <w:bCs w:val="0"/>
                <w:sz w:val="22"/>
                <w:szCs w:val="22"/>
                <w:highlight w:val="none"/>
              </w:rPr>
            </w:pPr>
            <w:r>
              <w:rPr>
                <w:rFonts w:hint="eastAsia" w:ascii="宋体" w:hAnsi="宋体" w:cs="宋体"/>
                <w:b w:val="0"/>
                <w:bCs w:val="0"/>
                <w:sz w:val="22"/>
                <w:szCs w:val="22"/>
                <w:highlight w:val="none"/>
                <w:lang w:val="en-US" w:eastAsia="zh-CN"/>
              </w:rPr>
              <w:t>0号</w:t>
            </w:r>
            <w:r>
              <w:rPr>
                <w:rFonts w:hint="eastAsia" w:ascii="宋体" w:hAnsi="宋体" w:eastAsia="宋体" w:cs="宋体"/>
                <w:b w:val="0"/>
                <w:bCs w:val="0"/>
                <w:sz w:val="22"/>
                <w:szCs w:val="22"/>
                <w:highlight w:val="none"/>
                <w:lang w:eastAsia="zh-CN"/>
              </w:rPr>
              <w:t>柴油</w:t>
            </w:r>
          </w:p>
        </w:tc>
        <w:tc>
          <w:tcPr>
            <w:tcW w:w="1815" w:type="dxa"/>
            <w:noWrap w:val="0"/>
            <w:vAlign w:val="center"/>
          </w:tcPr>
          <w:p>
            <w:pPr>
              <w:spacing w:line="440" w:lineRule="exact"/>
              <w:jc w:val="center"/>
              <w:rPr>
                <w:rFonts w:hint="default" w:ascii="宋体" w:hAnsi="宋体" w:eastAsia="宋体" w:cs="宋体"/>
                <w:b w:val="0"/>
                <w:bCs w:val="0"/>
                <w:sz w:val="22"/>
                <w:szCs w:val="22"/>
                <w:highlight w:val="none"/>
                <w:lang w:val="en-US" w:eastAsia="zh-CN"/>
              </w:rPr>
            </w:pPr>
            <w:r>
              <w:rPr>
                <w:rFonts w:hint="eastAsia" w:ascii="宋体" w:hAnsi="宋体" w:cs="宋体"/>
                <w:b w:val="0"/>
                <w:bCs w:val="0"/>
                <w:sz w:val="22"/>
                <w:szCs w:val="22"/>
                <w:highlight w:val="none"/>
                <w:lang w:val="en-US" w:eastAsia="zh-CN"/>
              </w:rPr>
              <w:t>15吨/年</w:t>
            </w:r>
          </w:p>
        </w:tc>
        <w:tc>
          <w:tcPr>
            <w:tcW w:w="1665" w:type="dxa"/>
            <w:noWrap w:val="0"/>
            <w:vAlign w:val="center"/>
          </w:tcPr>
          <w:p>
            <w:pPr>
              <w:spacing w:line="440" w:lineRule="exact"/>
              <w:jc w:val="center"/>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u w:val="single"/>
              </w:rPr>
              <w:t>▲</w:t>
            </w:r>
            <w:r>
              <w:rPr>
                <w:rFonts w:hint="eastAsia" w:ascii="宋体" w:hAnsi="宋体" w:eastAsia="宋体" w:cs="宋体"/>
                <w:b w:val="0"/>
                <w:bCs w:val="0"/>
                <w:sz w:val="22"/>
                <w:szCs w:val="22"/>
                <w:highlight w:val="none"/>
                <w:u w:val="single"/>
                <w:lang w:eastAsia="zh-CN"/>
              </w:rPr>
              <w:t>0号柴油(</w:t>
            </w:r>
            <w:r>
              <w:rPr>
                <w:rFonts w:hint="eastAsia" w:ascii="宋体" w:hAnsi="宋体" w:cs="宋体"/>
                <w:b w:val="0"/>
                <w:bCs w:val="0"/>
                <w:sz w:val="22"/>
                <w:szCs w:val="22"/>
                <w:highlight w:val="none"/>
                <w:u w:val="single"/>
                <w:lang w:val="en-US" w:eastAsia="zh-CN"/>
              </w:rPr>
              <w:t>国六标准</w:t>
            </w:r>
            <w:r>
              <w:rPr>
                <w:rFonts w:hint="eastAsia" w:ascii="宋体" w:hAnsi="宋体" w:eastAsia="宋体" w:cs="宋体"/>
                <w:b w:val="0"/>
                <w:bCs w:val="0"/>
                <w:sz w:val="22"/>
                <w:szCs w:val="22"/>
                <w:highlight w:val="none"/>
                <w:u w:val="single"/>
                <w:lang w:eastAsia="zh-CN"/>
              </w:rPr>
              <w:t>)</w:t>
            </w:r>
          </w:p>
        </w:tc>
        <w:tc>
          <w:tcPr>
            <w:tcW w:w="2655" w:type="dxa"/>
            <w:noWrap w:val="0"/>
            <w:vAlign w:val="center"/>
          </w:tcPr>
          <w:p>
            <w:pPr>
              <w:spacing w:line="440" w:lineRule="exact"/>
              <w:jc w:val="both"/>
              <w:rPr>
                <w:rFonts w:hint="eastAsia" w:ascii="宋体" w:hAnsi="宋体" w:cs="宋体"/>
                <w:b/>
                <w:bCs/>
                <w:sz w:val="22"/>
                <w:szCs w:val="22"/>
                <w:highlight w:val="none"/>
                <w:u w:val="single"/>
                <w:lang w:eastAsia="zh-CN"/>
              </w:rPr>
            </w:pPr>
            <w:r>
              <w:rPr>
                <w:rFonts w:hint="eastAsia" w:ascii="宋体" w:hAnsi="宋体" w:eastAsia="宋体" w:cs="宋体"/>
                <w:b w:val="0"/>
                <w:bCs w:val="0"/>
                <w:sz w:val="22"/>
                <w:szCs w:val="22"/>
                <w:highlight w:val="none"/>
              </w:rPr>
              <w:t>▲</w:t>
            </w:r>
            <w:r>
              <w:rPr>
                <w:rFonts w:hint="eastAsia" w:ascii="宋体" w:hAnsi="宋体" w:cs="宋体"/>
                <w:b/>
                <w:bCs/>
                <w:sz w:val="22"/>
                <w:szCs w:val="22"/>
                <w:highlight w:val="none"/>
                <w:u w:val="single"/>
                <w:lang w:val="en-US" w:eastAsia="zh-CN"/>
              </w:rPr>
              <w:t>1、</w:t>
            </w:r>
            <w:r>
              <w:rPr>
                <w:rFonts w:hint="eastAsia" w:ascii="宋体" w:hAnsi="宋体" w:eastAsia="宋体" w:cs="宋体"/>
                <w:b/>
                <w:bCs/>
                <w:sz w:val="22"/>
                <w:szCs w:val="22"/>
                <w:highlight w:val="none"/>
                <w:u w:val="single"/>
              </w:rPr>
              <w:t>投标人投标时需带所投</w:t>
            </w:r>
            <w:r>
              <w:rPr>
                <w:rFonts w:hint="eastAsia" w:ascii="宋体" w:hAnsi="宋体" w:cs="宋体"/>
                <w:b/>
                <w:bCs/>
                <w:sz w:val="22"/>
                <w:szCs w:val="22"/>
                <w:highlight w:val="none"/>
                <w:u w:val="single"/>
                <w:lang w:val="en-US" w:eastAsia="zh-CN"/>
              </w:rPr>
              <w:t>柴</w:t>
            </w:r>
            <w:r>
              <w:rPr>
                <w:rFonts w:hint="eastAsia" w:ascii="宋体" w:hAnsi="宋体" w:eastAsia="宋体" w:cs="宋体"/>
                <w:b/>
                <w:bCs/>
                <w:sz w:val="22"/>
                <w:szCs w:val="22"/>
                <w:highlight w:val="none"/>
                <w:u w:val="single"/>
              </w:rPr>
              <w:t>油样品一</w:t>
            </w:r>
            <w:r>
              <w:rPr>
                <w:rFonts w:hint="eastAsia" w:ascii="宋体" w:hAnsi="宋体" w:cs="宋体"/>
                <w:b/>
                <w:bCs/>
                <w:sz w:val="22"/>
                <w:szCs w:val="22"/>
                <w:highlight w:val="none"/>
                <w:u w:val="single"/>
                <w:lang w:val="en-US" w:eastAsia="zh-CN"/>
              </w:rPr>
              <w:t>瓶（容量：1L）</w:t>
            </w:r>
            <w:r>
              <w:rPr>
                <w:rFonts w:hint="eastAsia" w:ascii="宋体" w:hAnsi="宋体" w:eastAsia="宋体" w:cs="宋体"/>
                <w:b/>
                <w:bCs/>
                <w:sz w:val="22"/>
                <w:szCs w:val="22"/>
                <w:highlight w:val="none"/>
                <w:u w:val="single"/>
              </w:rPr>
              <w:t>，中标人的样品将封存作为今后验收的依据</w:t>
            </w:r>
            <w:r>
              <w:rPr>
                <w:rFonts w:hint="eastAsia" w:ascii="宋体" w:hAnsi="宋体" w:cs="宋体"/>
                <w:b/>
                <w:bCs/>
                <w:sz w:val="22"/>
                <w:szCs w:val="22"/>
                <w:highlight w:val="none"/>
                <w:u w:val="single"/>
                <w:lang w:eastAsia="zh-CN"/>
              </w:rPr>
              <w:t>；</w:t>
            </w:r>
          </w:p>
          <w:p>
            <w:pPr>
              <w:spacing w:line="440" w:lineRule="exact"/>
              <w:jc w:val="both"/>
              <w:rPr>
                <w:rFonts w:hint="eastAsia" w:ascii="宋体" w:hAnsi="宋体" w:eastAsia="新宋体" w:cs="宋体"/>
                <w:b w:val="0"/>
                <w:bCs w:val="0"/>
                <w:sz w:val="22"/>
                <w:szCs w:val="22"/>
                <w:highlight w:val="none"/>
                <w:lang w:eastAsia="zh-CN"/>
              </w:rPr>
            </w:pPr>
            <w:r>
              <w:rPr>
                <w:rFonts w:hint="eastAsia" w:ascii="新宋体" w:hAnsi="新宋体" w:eastAsia="新宋体"/>
                <w:b/>
                <w:color w:val="auto"/>
                <w:sz w:val="22"/>
                <w:u w:val="single"/>
                <w:lang w:val="en-US" w:eastAsia="zh-CN"/>
              </w:rPr>
              <w:t>2、</w:t>
            </w:r>
            <w:r>
              <w:rPr>
                <w:rFonts w:hint="eastAsia" w:ascii="新宋体" w:hAnsi="新宋体" w:eastAsia="新宋体"/>
                <w:b/>
                <w:color w:val="auto"/>
                <w:sz w:val="22"/>
                <w:u w:val="single"/>
              </w:rPr>
              <w:t>产品包装：包装容器必须密封、无毒</w:t>
            </w:r>
            <w:r>
              <w:rPr>
                <w:rFonts w:hint="eastAsia" w:ascii="新宋体" w:hAnsi="新宋体" w:eastAsia="新宋体"/>
                <w:b/>
                <w:color w:val="auto"/>
                <w:sz w:val="22"/>
                <w:u w:val="single"/>
                <w:lang w:eastAsia="zh-CN"/>
              </w:rPr>
              <w:t>。</w:t>
            </w:r>
          </w:p>
        </w:tc>
      </w:tr>
    </w:tbl>
    <w:p>
      <w:pPr>
        <w:spacing w:line="360" w:lineRule="auto"/>
        <w:ind w:firstLine="440" w:firstLineChars="200"/>
        <w:rPr>
          <w:rFonts w:hint="eastAsia" w:ascii="宋体" w:hAnsi="宋体" w:cs="Times New Roman"/>
          <w:sz w:val="22"/>
          <w:szCs w:val="22"/>
          <w:highlight w:val="none"/>
          <w:lang w:val="en-US" w:eastAsia="zh-CN"/>
        </w:rPr>
      </w:pPr>
      <w:r>
        <w:rPr>
          <w:rFonts w:hint="eastAsia" w:ascii="宋体" w:hAnsi="宋体" w:cs="Times New Roman"/>
          <w:sz w:val="22"/>
          <w:szCs w:val="22"/>
          <w:highlight w:val="none"/>
          <w:lang w:val="en-US" w:eastAsia="zh-CN"/>
        </w:rPr>
        <w:t xml:space="preserve">  </w:t>
      </w:r>
    </w:p>
    <w:p>
      <w:pPr>
        <w:pStyle w:val="2"/>
        <w:rPr>
          <w:rFonts w:hint="default"/>
          <w:lang w:val="en-US" w:eastAsia="zh-CN"/>
        </w:rPr>
      </w:pPr>
    </w:p>
    <w:p>
      <w:pPr>
        <w:pStyle w:val="12"/>
        <w:ind w:firstLine="660" w:firstLineChars="300"/>
        <w:rPr>
          <w:rFonts w:hint="default"/>
          <w:lang w:val="en-US" w:eastAsia="zh-CN"/>
        </w:rPr>
      </w:pPr>
      <w:r>
        <w:rPr>
          <w:rFonts w:hint="eastAsia" w:ascii="宋体" w:hAnsi="宋体" w:cs="Times New Roman"/>
          <w:sz w:val="22"/>
          <w:szCs w:val="22"/>
          <w:highlight w:val="none"/>
          <w:lang w:val="en-US" w:eastAsia="zh-CN"/>
        </w:rPr>
        <w:t>具体品质要求</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1"/>
        <w:gridCol w:w="2760"/>
        <w:gridCol w:w="3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1" w:type="dxa"/>
          </w:tcPr>
          <w:p>
            <w:pPr>
              <w:pStyle w:val="12"/>
              <w:jc w:val="left"/>
              <w:rPr>
                <w:rFonts w:hint="default" w:ascii="宋体" w:hAnsi="宋体" w:cs="Times New Roman"/>
                <w:b/>
                <w:bCs/>
                <w:sz w:val="22"/>
                <w:szCs w:val="22"/>
                <w:highlight w:val="none"/>
                <w:vertAlign w:val="baseline"/>
                <w:lang w:val="en-US" w:eastAsia="zh-CN"/>
              </w:rPr>
            </w:pPr>
            <w:r>
              <w:rPr>
                <w:rFonts w:hint="eastAsia" w:ascii="宋体" w:hAnsi="宋体" w:cs="Times New Roman"/>
                <w:b/>
                <w:bCs/>
                <w:sz w:val="22"/>
                <w:szCs w:val="22"/>
                <w:highlight w:val="none"/>
                <w:vertAlign w:val="baseline"/>
                <w:lang w:val="en-US" w:eastAsia="zh-CN"/>
              </w:rPr>
              <w:t>项目</w:t>
            </w:r>
          </w:p>
        </w:tc>
        <w:tc>
          <w:tcPr>
            <w:tcW w:w="2760" w:type="dxa"/>
          </w:tcPr>
          <w:p>
            <w:pPr>
              <w:pStyle w:val="12"/>
              <w:jc w:val="left"/>
              <w:rPr>
                <w:rFonts w:hint="default" w:ascii="宋体" w:hAnsi="宋体" w:cs="Times New Roman"/>
                <w:b/>
                <w:bCs/>
                <w:sz w:val="22"/>
                <w:szCs w:val="22"/>
                <w:highlight w:val="none"/>
                <w:vertAlign w:val="baseline"/>
                <w:lang w:val="en-US" w:eastAsia="zh-CN"/>
              </w:rPr>
            </w:pPr>
            <w:r>
              <w:rPr>
                <w:rFonts w:hint="eastAsia" w:ascii="宋体" w:hAnsi="宋体" w:cs="Times New Roman"/>
                <w:b/>
                <w:bCs/>
                <w:sz w:val="22"/>
                <w:szCs w:val="22"/>
                <w:highlight w:val="none"/>
                <w:vertAlign w:val="baseline"/>
                <w:lang w:val="en-US" w:eastAsia="zh-CN"/>
              </w:rPr>
              <w:t>标准</w:t>
            </w:r>
          </w:p>
        </w:tc>
        <w:tc>
          <w:tcPr>
            <w:tcW w:w="3403" w:type="dxa"/>
          </w:tcPr>
          <w:p>
            <w:pPr>
              <w:pStyle w:val="12"/>
              <w:rPr>
                <w:rFonts w:hint="default" w:ascii="宋体" w:hAnsi="宋体" w:cs="Times New Roman"/>
                <w:b/>
                <w:bCs/>
                <w:sz w:val="22"/>
                <w:szCs w:val="22"/>
                <w:highlight w:val="none"/>
                <w:vertAlign w:val="baseline"/>
                <w:lang w:val="en-US" w:eastAsia="zh-CN"/>
              </w:rPr>
            </w:pPr>
            <w:r>
              <w:rPr>
                <w:rFonts w:hint="eastAsia" w:ascii="宋体" w:hAnsi="宋体" w:cs="Times New Roman"/>
                <w:b/>
                <w:bCs/>
                <w:sz w:val="22"/>
                <w:szCs w:val="22"/>
                <w:highlight w:val="none"/>
                <w:vertAlign w:val="baseline"/>
                <w:lang w:val="en-US" w:eastAsia="zh-CN"/>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1"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外观</w:t>
            </w:r>
          </w:p>
        </w:tc>
        <w:tc>
          <w:tcPr>
            <w:tcW w:w="2760" w:type="dxa"/>
          </w:tcPr>
          <w:p>
            <w:pPr>
              <w:pStyle w:val="12"/>
              <w:jc w:val="left"/>
              <w:rPr>
                <w:rFonts w:hint="default"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正常</w:t>
            </w:r>
          </w:p>
        </w:tc>
        <w:tc>
          <w:tcPr>
            <w:tcW w:w="3403" w:type="dxa"/>
          </w:tcPr>
          <w:p>
            <w:pPr>
              <w:pStyle w:val="12"/>
              <w:rPr>
                <w:rFonts w:hint="default"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1"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密度 (20°C)，kg/m3</w:t>
            </w:r>
          </w:p>
        </w:tc>
        <w:tc>
          <w:tcPr>
            <w:tcW w:w="2760"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810-845</w:t>
            </w:r>
          </w:p>
        </w:tc>
        <w:tc>
          <w:tcPr>
            <w:tcW w:w="3403" w:type="dxa"/>
          </w:tcPr>
          <w:p>
            <w:pPr>
              <w:pStyle w:val="12"/>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GB/T 1884；</w:t>
            </w:r>
          </w:p>
          <w:p>
            <w:pPr>
              <w:pStyle w:val="12"/>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GB/T 1885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1"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着火性</w:t>
            </w:r>
          </w:p>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十六烷值</w:t>
            </w:r>
          </w:p>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十六烷指数</w:t>
            </w:r>
          </w:p>
        </w:tc>
        <w:tc>
          <w:tcPr>
            <w:tcW w:w="2760" w:type="dxa"/>
          </w:tcPr>
          <w:p>
            <w:pPr>
              <w:pStyle w:val="12"/>
              <w:jc w:val="left"/>
              <w:rPr>
                <w:rFonts w:hint="eastAsia" w:ascii="宋体" w:hAnsi="宋体" w:cs="Times New Roman"/>
                <w:sz w:val="22"/>
                <w:szCs w:val="22"/>
                <w:highlight w:val="none"/>
                <w:vertAlign w:val="baseline"/>
                <w:lang w:val="en-US" w:eastAsia="zh-CN"/>
              </w:rPr>
            </w:pPr>
          </w:p>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不小于51</w:t>
            </w:r>
          </w:p>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不小于46</w:t>
            </w:r>
          </w:p>
        </w:tc>
        <w:tc>
          <w:tcPr>
            <w:tcW w:w="3403" w:type="dxa"/>
          </w:tcPr>
          <w:p>
            <w:pPr>
              <w:pStyle w:val="12"/>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GB/T 386；</w:t>
            </w:r>
          </w:p>
          <w:p>
            <w:pPr>
              <w:pStyle w:val="12"/>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SH/T 0694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1"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馏程:</w:t>
            </w:r>
          </w:p>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10%回收温度</w:t>
            </w:r>
          </w:p>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50%回收温度/°C</w:t>
            </w:r>
          </w:p>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90%回收温度/°C</w:t>
            </w:r>
          </w:p>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95%回收温度/°C</w:t>
            </w:r>
          </w:p>
        </w:tc>
        <w:tc>
          <w:tcPr>
            <w:tcW w:w="2760" w:type="dxa"/>
          </w:tcPr>
          <w:p>
            <w:pPr>
              <w:pStyle w:val="12"/>
              <w:jc w:val="left"/>
              <w:rPr>
                <w:rFonts w:hint="eastAsia" w:ascii="宋体" w:hAnsi="宋体" w:cs="Times New Roman"/>
                <w:sz w:val="22"/>
                <w:szCs w:val="22"/>
                <w:highlight w:val="none"/>
                <w:vertAlign w:val="baseline"/>
                <w:lang w:val="en-US" w:eastAsia="zh-CN"/>
              </w:rPr>
            </w:pPr>
          </w:p>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不高于300</w:t>
            </w:r>
          </w:p>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不高于355</w:t>
            </w:r>
          </w:p>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不高于365</w:t>
            </w:r>
          </w:p>
        </w:tc>
        <w:tc>
          <w:tcPr>
            <w:tcW w:w="3403" w:type="dxa"/>
          </w:tcPr>
          <w:p>
            <w:pPr>
              <w:pStyle w:val="12"/>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GB/T 6536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1"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硫含量/ (mg/kg)</w:t>
            </w:r>
          </w:p>
        </w:tc>
        <w:tc>
          <w:tcPr>
            <w:tcW w:w="2760"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不大于 10</w:t>
            </w:r>
          </w:p>
        </w:tc>
        <w:tc>
          <w:tcPr>
            <w:tcW w:w="3403" w:type="dxa"/>
          </w:tcPr>
          <w:p>
            <w:pPr>
              <w:pStyle w:val="12"/>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SH/T 0689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1"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铜片腐蚀(50°C,3h)/级</w:t>
            </w:r>
          </w:p>
        </w:tc>
        <w:tc>
          <w:tcPr>
            <w:tcW w:w="2760"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不大于1</w:t>
            </w:r>
          </w:p>
        </w:tc>
        <w:tc>
          <w:tcPr>
            <w:tcW w:w="3403" w:type="dxa"/>
          </w:tcPr>
          <w:p>
            <w:pPr>
              <w:pStyle w:val="12"/>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GB/T 5096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1"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凝点/°C</w:t>
            </w:r>
          </w:p>
        </w:tc>
        <w:tc>
          <w:tcPr>
            <w:tcW w:w="2760"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不高于0</w:t>
            </w:r>
          </w:p>
        </w:tc>
        <w:tc>
          <w:tcPr>
            <w:tcW w:w="3403" w:type="dxa"/>
          </w:tcPr>
          <w:p>
            <w:pPr>
              <w:pStyle w:val="12"/>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GB/T 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1"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冷滤点/°C</w:t>
            </w:r>
          </w:p>
        </w:tc>
        <w:tc>
          <w:tcPr>
            <w:tcW w:w="2760"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不高于4</w:t>
            </w:r>
          </w:p>
        </w:tc>
        <w:tc>
          <w:tcPr>
            <w:tcW w:w="3403" w:type="dxa"/>
          </w:tcPr>
          <w:p>
            <w:pPr>
              <w:pStyle w:val="12"/>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SH/T 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1"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闭口闪点°C</w:t>
            </w:r>
          </w:p>
        </w:tc>
        <w:tc>
          <w:tcPr>
            <w:tcW w:w="2760"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不低于 60</w:t>
            </w:r>
          </w:p>
        </w:tc>
        <w:tc>
          <w:tcPr>
            <w:tcW w:w="3403" w:type="dxa"/>
          </w:tcPr>
          <w:p>
            <w:pPr>
              <w:pStyle w:val="12"/>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GB/T 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1"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酸度/(mgKOH/100mL)</w:t>
            </w:r>
          </w:p>
        </w:tc>
        <w:tc>
          <w:tcPr>
            <w:tcW w:w="2760"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不大于7</w:t>
            </w:r>
          </w:p>
        </w:tc>
        <w:tc>
          <w:tcPr>
            <w:tcW w:w="3403" w:type="dxa"/>
          </w:tcPr>
          <w:p>
            <w:pPr>
              <w:pStyle w:val="12"/>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GB/T 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1"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总污染物含量/(mg/kg)</w:t>
            </w:r>
          </w:p>
        </w:tc>
        <w:tc>
          <w:tcPr>
            <w:tcW w:w="2760" w:type="dxa"/>
          </w:tcPr>
          <w:p>
            <w:pPr>
              <w:pStyle w:val="12"/>
              <w:jc w:val="left"/>
              <w:rPr>
                <w:rFonts w:hint="default"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不大于24</w:t>
            </w:r>
          </w:p>
        </w:tc>
        <w:tc>
          <w:tcPr>
            <w:tcW w:w="3403" w:type="dxa"/>
          </w:tcPr>
          <w:p>
            <w:pPr>
              <w:pStyle w:val="12"/>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GB/T 33400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1"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色度/号</w:t>
            </w:r>
          </w:p>
        </w:tc>
        <w:tc>
          <w:tcPr>
            <w:tcW w:w="2760"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w:t>
            </w:r>
          </w:p>
        </w:tc>
        <w:tc>
          <w:tcPr>
            <w:tcW w:w="3403" w:type="dxa"/>
          </w:tcPr>
          <w:p>
            <w:pPr>
              <w:pStyle w:val="12"/>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GB/T 6540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1"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润滑性</w:t>
            </w:r>
          </w:p>
        </w:tc>
        <w:tc>
          <w:tcPr>
            <w:tcW w:w="2760"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不大于 460</w:t>
            </w:r>
          </w:p>
        </w:tc>
        <w:tc>
          <w:tcPr>
            <w:tcW w:w="3403" w:type="dxa"/>
          </w:tcPr>
          <w:p>
            <w:pPr>
              <w:pStyle w:val="12"/>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SH/T 0765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1" w:type="dxa"/>
          </w:tcPr>
          <w:p>
            <w:pPr>
              <w:pStyle w:val="12"/>
              <w:jc w:val="left"/>
              <w:rPr>
                <w:rFonts w:hint="default"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脂肪酸甲酯</w:t>
            </w:r>
          </w:p>
        </w:tc>
        <w:tc>
          <w:tcPr>
            <w:tcW w:w="2760"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不大于 1.0</w:t>
            </w:r>
          </w:p>
        </w:tc>
        <w:tc>
          <w:tcPr>
            <w:tcW w:w="3403" w:type="dxa"/>
          </w:tcPr>
          <w:p>
            <w:pPr>
              <w:pStyle w:val="12"/>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GB/T 23801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1"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运动粘度</w:t>
            </w:r>
          </w:p>
        </w:tc>
        <w:tc>
          <w:tcPr>
            <w:tcW w:w="2760"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3.0---8.0</w:t>
            </w:r>
          </w:p>
        </w:tc>
        <w:tc>
          <w:tcPr>
            <w:tcW w:w="3403" w:type="dxa"/>
          </w:tcPr>
          <w:p>
            <w:pPr>
              <w:pStyle w:val="12"/>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GB/T 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1"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灰分</w:t>
            </w:r>
          </w:p>
        </w:tc>
        <w:tc>
          <w:tcPr>
            <w:tcW w:w="2760" w:type="dxa"/>
          </w:tcPr>
          <w:p>
            <w:pPr>
              <w:pStyle w:val="12"/>
              <w:jc w:val="left"/>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不大于 0.01</w:t>
            </w:r>
          </w:p>
        </w:tc>
        <w:tc>
          <w:tcPr>
            <w:tcW w:w="3403" w:type="dxa"/>
          </w:tcPr>
          <w:p>
            <w:pPr>
              <w:pStyle w:val="12"/>
              <w:rPr>
                <w:rFonts w:hint="eastAsia" w:ascii="宋体" w:hAnsi="宋体" w:cs="Times New Roman"/>
                <w:sz w:val="22"/>
                <w:szCs w:val="22"/>
                <w:highlight w:val="none"/>
                <w:vertAlign w:val="baseline"/>
                <w:lang w:val="en-US" w:eastAsia="zh-CN"/>
              </w:rPr>
            </w:pPr>
            <w:r>
              <w:rPr>
                <w:rFonts w:hint="eastAsia" w:ascii="宋体" w:hAnsi="宋体" w:cs="Times New Roman"/>
                <w:sz w:val="22"/>
                <w:szCs w:val="22"/>
                <w:highlight w:val="none"/>
                <w:vertAlign w:val="baseline"/>
                <w:lang w:val="en-US" w:eastAsia="zh-CN"/>
              </w:rPr>
              <w:t>GB/T 508</w:t>
            </w:r>
          </w:p>
        </w:tc>
      </w:tr>
    </w:tbl>
    <w:p>
      <w:pPr>
        <w:numPr>
          <w:ilvl w:val="-1"/>
          <w:numId w:val="0"/>
        </w:numPr>
        <w:spacing w:line="360" w:lineRule="auto"/>
        <w:ind w:firstLine="0" w:firstLineChars="0"/>
        <w:rPr>
          <w:rFonts w:hint="eastAsia" w:ascii="宋体" w:hAnsi="宋体" w:cs="宋体"/>
          <w:sz w:val="22"/>
          <w:szCs w:val="22"/>
          <w:highlight w:val="none"/>
          <w:lang w:val="en-US" w:eastAsia="zh-CN"/>
        </w:rPr>
      </w:pPr>
    </w:p>
    <w:p>
      <w:pPr>
        <w:numPr>
          <w:ilvl w:val="0"/>
          <w:numId w:val="2"/>
        </w:numPr>
        <w:spacing w:line="360" w:lineRule="auto"/>
        <w:ind w:firstLine="440" w:firstLineChars="200"/>
        <w:rPr>
          <w:rFonts w:hint="eastAsia" w:ascii="宋体" w:hAnsi="宋体" w:cs="宋体"/>
          <w:sz w:val="22"/>
          <w:szCs w:val="22"/>
          <w:lang w:val="en-US" w:eastAsia="zh-CN"/>
        </w:rPr>
      </w:pPr>
      <w:r>
        <w:rPr>
          <w:rFonts w:hint="eastAsia" w:ascii="宋体" w:hAnsi="宋体" w:cs="宋体"/>
          <w:sz w:val="22"/>
          <w:szCs w:val="22"/>
          <w:lang w:val="en-US" w:eastAsia="zh-CN"/>
        </w:rPr>
        <w:t>本项目采购柴油为0#柴油(国6)、CB17930-2016</w:t>
      </w:r>
    </w:p>
    <w:p>
      <w:pPr>
        <w:numPr>
          <w:ilvl w:val="0"/>
          <w:numId w:val="2"/>
        </w:numPr>
        <w:spacing w:line="360" w:lineRule="auto"/>
        <w:ind w:firstLine="440" w:firstLineChars="200"/>
        <w:rPr>
          <w:rFonts w:hint="eastAsia" w:ascii="宋体" w:hAnsi="宋体" w:cs="宋体"/>
          <w:sz w:val="22"/>
          <w:szCs w:val="22"/>
          <w:lang w:val="en-US" w:eastAsia="zh-CN"/>
        </w:rPr>
      </w:pPr>
      <w:r>
        <w:rPr>
          <w:rFonts w:hint="eastAsia" w:ascii="宋体" w:hAnsi="宋体" w:cs="宋体"/>
          <w:sz w:val="22"/>
          <w:szCs w:val="22"/>
          <w:lang w:val="en-US" w:eastAsia="zh-CN"/>
        </w:rPr>
        <w:t>本项目报价为0#柴油(国6)基准价的折扣率。</w:t>
      </w:r>
    </w:p>
    <w:p>
      <w:pPr>
        <w:numPr>
          <w:ilvl w:val="0"/>
          <w:numId w:val="2"/>
        </w:numPr>
        <w:spacing w:line="360" w:lineRule="auto"/>
        <w:ind w:firstLine="440" w:firstLineChars="200"/>
        <w:rPr>
          <w:rFonts w:hint="eastAsia" w:ascii="宋体" w:hAnsi="宋体" w:cs="宋体"/>
          <w:sz w:val="22"/>
          <w:szCs w:val="22"/>
          <w:lang w:val="en-US" w:eastAsia="zh-CN"/>
        </w:rPr>
      </w:pPr>
      <w:r>
        <w:rPr>
          <w:rFonts w:hint="eastAsia" w:ascii="宋体" w:hAnsi="宋体" w:cs="宋体"/>
          <w:sz w:val="22"/>
          <w:szCs w:val="22"/>
          <w:lang w:val="en-US" w:eastAsia="zh-CN"/>
        </w:rPr>
        <w:t>基准价为每次结算当期中华人民共和国国家发展和改革委员会对外公布的0#柴油(国6》的价格为准。</w:t>
      </w:r>
    </w:p>
    <w:p>
      <w:pPr>
        <w:numPr>
          <w:ilvl w:val="0"/>
          <w:numId w:val="2"/>
        </w:numPr>
        <w:spacing w:line="360" w:lineRule="auto"/>
        <w:ind w:firstLine="440" w:firstLineChars="200"/>
        <w:rPr>
          <w:rFonts w:hint="eastAsia" w:ascii="宋体" w:hAnsi="宋体" w:cs="宋体"/>
          <w:sz w:val="22"/>
          <w:szCs w:val="22"/>
          <w:lang w:val="en-US" w:eastAsia="zh-CN"/>
        </w:rPr>
      </w:pPr>
      <w:r>
        <w:rPr>
          <w:rFonts w:hint="eastAsia" w:ascii="宋体" w:hAnsi="宋体" w:cs="宋体"/>
          <w:sz w:val="22"/>
          <w:szCs w:val="22"/>
          <w:lang w:val="en-US" w:eastAsia="zh-CN"/>
        </w:rPr>
        <w:t>供应价是指考虑折扣率后供应商送货到指定地点最终价。</w:t>
      </w:r>
    </w:p>
    <w:p>
      <w:pPr>
        <w:numPr>
          <w:ilvl w:val="0"/>
          <w:numId w:val="2"/>
        </w:numPr>
        <w:spacing w:line="360" w:lineRule="auto"/>
        <w:ind w:firstLine="440" w:firstLineChars="200"/>
        <w:rPr>
          <w:rFonts w:hint="eastAsia" w:ascii="宋体" w:hAnsi="宋体" w:cs="宋体"/>
          <w:sz w:val="22"/>
          <w:szCs w:val="22"/>
          <w:lang w:val="en-US" w:eastAsia="zh-CN"/>
        </w:rPr>
      </w:pPr>
      <w:r>
        <w:rPr>
          <w:rFonts w:hint="eastAsia" w:ascii="宋体" w:hAnsi="宋体" w:cs="宋体"/>
          <w:sz w:val="22"/>
          <w:szCs w:val="22"/>
          <w:lang w:val="en-US" w:eastAsia="zh-CN"/>
        </w:rPr>
        <w:t>报价供应商在报价文件中所报折扣率作为本次采购最终结算依据，供应价=基准价*折扣率，供应价四舍五入到元。</w:t>
      </w:r>
    </w:p>
    <w:p>
      <w:pPr>
        <w:numPr>
          <w:ilvl w:val="0"/>
          <w:numId w:val="2"/>
        </w:numPr>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质量标准:柴油标准号:GB19147-2016，如国家已现行最新标准，则按照国家现行最新柴油产品标准执行。</w:t>
      </w:r>
    </w:p>
    <w:p>
      <w:pPr>
        <w:spacing w:line="360" w:lineRule="auto"/>
        <w:ind w:firstLine="440" w:firstLineChars="200"/>
        <w:rPr>
          <w:rFonts w:hint="eastAsia" w:ascii="宋体" w:hAnsi="宋体" w:cs="宋体"/>
          <w:sz w:val="22"/>
          <w:szCs w:val="22"/>
          <w:highlight w:val="none"/>
          <w:lang w:val="en-US" w:eastAsia="zh-CN"/>
        </w:rPr>
      </w:pPr>
      <w:r>
        <w:rPr>
          <w:rFonts w:hint="eastAsia" w:ascii="宋体" w:hAnsi="宋体" w:eastAsia="宋体" w:cs="宋体"/>
          <w:sz w:val="22"/>
          <w:szCs w:val="22"/>
          <w:highlight w:val="none"/>
          <w:lang w:val="en-US" w:eastAsia="zh-CN"/>
        </w:rPr>
        <w:t>9</w:t>
      </w:r>
      <w:r>
        <w:rPr>
          <w:rFonts w:hint="eastAsia" w:ascii="宋体" w:hAnsi="宋体" w:cs="宋体"/>
          <w:sz w:val="22"/>
          <w:szCs w:val="22"/>
          <w:highlight w:val="none"/>
          <w:lang w:val="en-US" w:eastAsia="zh-CN"/>
        </w:rPr>
        <w:t>.</w:t>
      </w:r>
      <w:r>
        <w:rPr>
          <w:rFonts w:hint="eastAsia" w:ascii="宋体" w:hAnsi="宋体" w:eastAsia="宋体" w:cs="宋体"/>
          <w:sz w:val="22"/>
          <w:szCs w:val="22"/>
          <w:highlight w:val="none"/>
          <w:lang w:val="en-US" w:eastAsia="zh-CN"/>
        </w:rPr>
        <w:t xml:space="preserve">  </w:t>
      </w:r>
      <w:r>
        <w:rPr>
          <w:rFonts w:hint="eastAsia" w:ascii="宋体" w:hAnsi="宋体" w:cs="宋体"/>
          <w:sz w:val="22"/>
          <w:szCs w:val="22"/>
          <w:highlight w:val="none"/>
          <w:lang w:val="zh-CN" w:eastAsia="zh-CN"/>
        </w:rPr>
        <w:t>以实际使用量进行配送并结算。</w:t>
      </w:r>
    </w:p>
    <w:p>
      <w:pPr>
        <w:spacing w:line="360" w:lineRule="auto"/>
        <w:ind w:firstLine="440" w:firstLineChars="200"/>
        <w:rPr>
          <w:rFonts w:hint="eastAsia" w:ascii="宋体" w:hAnsi="宋体" w:cs="Times New Roman"/>
          <w:sz w:val="22"/>
          <w:szCs w:val="22"/>
          <w:highlight w:val="none"/>
          <w:lang w:val="en-US" w:eastAsia="zh-CN"/>
        </w:rPr>
      </w:pPr>
      <w:r>
        <w:rPr>
          <w:rFonts w:hint="eastAsia" w:ascii="宋体" w:hAnsi="宋体" w:cs="Times New Roman"/>
          <w:sz w:val="22"/>
          <w:szCs w:val="22"/>
          <w:highlight w:val="none"/>
          <w:lang w:val="en-US" w:eastAsia="zh-CN"/>
        </w:rPr>
        <w:t>10. 本项目预算使用量仅作为本次招标采购的参考量，采购人不保证本次采购周期内能达到或超过该参考量，</w:t>
      </w:r>
      <w:r>
        <w:rPr>
          <w:rFonts w:hint="eastAsia" w:ascii="宋体" w:hAnsi="宋体" w:cs="Times New Roman"/>
          <w:sz w:val="22"/>
          <w:szCs w:val="22"/>
          <w:highlight w:val="none"/>
          <w:lang w:val="zh-CN" w:eastAsia="zh-CN"/>
        </w:rPr>
        <w:t>由此产生的风险由供应商自行承担。</w:t>
      </w:r>
    </w:p>
    <w:p>
      <w:pPr>
        <w:pStyle w:val="8"/>
        <w:keepNext w:val="0"/>
        <w:keepLines w:val="0"/>
        <w:pageBreakBefore w:val="0"/>
        <w:widowControl w:val="0"/>
        <w:kinsoku/>
        <w:wordWrap/>
        <w:overflowPunct/>
        <w:topLinePunct w:val="0"/>
        <w:autoSpaceDE/>
        <w:autoSpaceDN/>
        <w:bidi w:val="0"/>
        <w:adjustRightInd/>
        <w:snapToGrid/>
        <w:spacing w:line="0" w:lineRule="atLeast"/>
        <w:ind w:left="0" w:leftChars="0" w:firstLine="440" w:firstLineChars="200"/>
        <w:textAlignment w:val="auto"/>
        <w:rPr>
          <w:rFonts w:hint="default" w:ascii="宋体" w:hAnsi="宋体" w:cs="Times New Roman"/>
          <w:b/>
          <w:sz w:val="22"/>
          <w:szCs w:val="22"/>
          <w:lang w:val="en-US" w:eastAsia="zh-CN"/>
        </w:rPr>
      </w:pPr>
      <w:r>
        <w:rPr>
          <w:rFonts w:hint="eastAsia" w:ascii="宋体" w:hAnsi="宋体" w:cs="Times New Roman"/>
          <w:sz w:val="22"/>
          <w:szCs w:val="22"/>
          <w:highlight w:val="none"/>
          <w:lang w:val="en-US" w:eastAsia="zh-CN"/>
        </w:rPr>
        <w:t>11. 投标人必须完成招标内容和合同（基本要求、价格和服务）规定义务，不允许只对部分内容进行报价。</w:t>
      </w:r>
    </w:p>
    <w:p>
      <w:pPr>
        <w:keepNext w:val="0"/>
        <w:keepLines w:val="0"/>
        <w:pageBreakBefore w:val="0"/>
        <w:widowControl w:val="0"/>
        <w:tabs>
          <w:tab w:val="center" w:pos="4153"/>
        </w:tabs>
        <w:kinsoku/>
        <w:wordWrap/>
        <w:overflowPunct/>
        <w:topLinePunct w:val="0"/>
        <w:autoSpaceDE/>
        <w:autoSpaceDN/>
        <w:bidi w:val="0"/>
        <w:adjustRightInd/>
        <w:snapToGrid/>
        <w:spacing w:line="360" w:lineRule="auto"/>
        <w:textAlignment w:val="auto"/>
        <w:outlineLvl w:val="1"/>
        <w:rPr>
          <w:rFonts w:hint="eastAsia" w:ascii="宋体" w:hAnsi="宋体" w:eastAsia="宋体" w:cs="Times New Roman"/>
          <w:b/>
          <w:sz w:val="22"/>
          <w:szCs w:val="22"/>
          <w:lang w:eastAsia="zh-CN"/>
        </w:rPr>
      </w:pPr>
      <w:r>
        <w:rPr>
          <w:rFonts w:hint="eastAsia" w:ascii="宋体" w:hAnsi="宋体" w:cs="Times New Roman"/>
          <w:b/>
          <w:sz w:val="22"/>
          <w:szCs w:val="22"/>
          <w:lang w:val="en-US" w:eastAsia="zh-CN"/>
        </w:rPr>
        <w:t>四</w:t>
      </w:r>
      <w:r>
        <w:rPr>
          <w:rFonts w:hint="eastAsia" w:ascii="宋体" w:hAnsi="宋体" w:eastAsia="宋体" w:cs="Times New Roman"/>
          <w:b/>
          <w:sz w:val="22"/>
          <w:szCs w:val="22"/>
        </w:rPr>
        <w:t>、主要商务要求</w:t>
      </w:r>
    </w:p>
    <w:p>
      <w:pPr>
        <w:keepNext w:val="0"/>
        <w:keepLines w:val="0"/>
        <w:pageBreakBefore w:val="0"/>
        <w:widowControl w:val="0"/>
        <w:kinsoku/>
        <w:wordWrap/>
        <w:overflowPunct/>
        <w:topLinePunct w:val="0"/>
        <w:autoSpaceDE/>
        <w:autoSpaceDN/>
        <w:bidi w:val="0"/>
        <w:spacing w:line="360" w:lineRule="auto"/>
        <w:ind w:firstLine="440" w:firstLineChars="200"/>
        <w:jc w:val="left"/>
        <w:textAlignment w:val="auto"/>
        <w:rPr>
          <w:rFonts w:hAnsi="宋体"/>
          <w:color w:val="000000"/>
          <w:sz w:val="22"/>
          <w:szCs w:val="22"/>
        </w:rPr>
      </w:pPr>
      <w:r>
        <w:rPr>
          <w:rFonts w:hint="eastAsia" w:hAnsi="宋体"/>
          <w:color w:val="000000"/>
          <w:sz w:val="22"/>
          <w:szCs w:val="22"/>
        </w:rPr>
        <w:t>1.</w:t>
      </w:r>
      <w:r>
        <w:rPr>
          <w:rFonts w:hint="eastAsia" w:hAnsi="宋体"/>
          <w:color w:val="000000"/>
          <w:sz w:val="22"/>
          <w:szCs w:val="22"/>
          <w:lang w:val="en-US" w:eastAsia="zh-CN"/>
        </w:rPr>
        <w:t>1</w:t>
      </w:r>
      <w:r>
        <w:rPr>
          <w:rFonts w:hint="eastAsia"/>
          <w:b w:val="0"/>
          <w:bCs/>
          <w:color w:val="000000"/>
          <w:sz w:val="22"/>
          <w:szCs w:val="22"/>
        </w:rPr>
        <w:t>报价方式</w:t>
      </w:r>
      <w:r>
        <w:rPr>
          <w:rFonts w:hint="eastAsia"/>
          <w:b/>
          <w:bCs w:val="0"/>
          <w:color w:val="000000"/>
          <w:sz w:val="22"/>
          <w:szCs w:val="22"/>
          <w:lang w:eastAsia="zh-CN"/>
        </w:rPr>
        <w:t>：</w:t>
      </w:r>
      <w:r>
        <w:rPr>
          <w:rFonts w:hint="eastAsia"/>
          <w:sz w:val="22"/>
          <w:szCs w:val="22"/>
        </w:rPr>
        <w:t>本项目报价为固定折扣率合同，按照《浙江省发改委最新公布价格》为基准进行折扣率报价，所报价格包括货物款、专用工具、税金、包装、运输、保险、装卸就位、验收含第三方验收)、技术服务、售后服务、材料、质保期保障等全部费用，实行固定折扣率不变</w:t>
      </w:r>
      <w:r>
        <w:rPr>
          <w:rFonts w:hint="eastAsia"/>
          <w:sz w:val="22"/>
          <w:szCs w:val="22"/>
          <w:lang w:eastAsia="zh-CN"/>
        </w:rPr>
        <w:t>，</w:t>
      </w:r>
      <w:r>
        <w:rPr>
          <w:rFonts w:hint="eastAsia"/>
          <w:sz w:val="22"/>
          <w:szCs w:val="22"/>
        </w:rPr>
        <w:t>今后根据实际的供货量和当期基准价进行结算。报价供应商应根据上述因素自行考虑含入总</w:t>
      </w:r>
      <w:r>
        <w:rPr>
          <w:rFonts w:hint="eastAsia"/>
          <w:sz w:val="22"/>
          <w:szCs w:val="22"/>
          <w:lang w:val="en-US" w:eastAsia="zh-CN"/>
        </w:rPr>
        <w:t>报价。</w:t>
      </w:r>
      <w:r>
        <w:rPr>
          <w:rFonts w:hint="eastAsia" w:ascii="宋体"/>
          <w:b w:val="0"/>
          <w:bCs/>
          <w:color w:val="auto"/>
          <w:sz w:val="22"/>
          <w:szCs w:val="22"/>
          <w:lang w:val="en-US" w:eastAsia="zh-CN"/>
        </w:rPr>
        <w:t>遴选</w:t>
      </w:r>
      <w:r>
        <w:rPr>
          <w:rFonts w:hint="eastAsia" w:ascii="宋体" w:eastAsia="宋体"/>
          <w:b w:val="0"/>
          <w:bCs/>
          <w:color w:val="auto"/>
          <w:sz w:val="22"/>
          <w:szCs w:val="22"/>
          <w:lang w:eastAsia="zh-CN"/>
        </w:rPr>
        <w:t>申请人</w:t>
      </w:r>
      <w:r>
        <w:rPr>
          <w:rFonts w:hint="eastAsia" w:ascii="宋体" w:eastAsia="宋体"/>
          <w:b w:val="0"/>
          <w:bCs/>
          <w:color w:val="auto"/>
          <w:sz w:val="22"/>
          <w:szCs w:val="22"/>
        </w:rPr>
        <w:t>在报价中须充分考虑可能承担的风险费用</w:t>
      </w:r>
      <w:r>
        <w:rPr>
          <w:rFonts w:hint="eastAsia" w:hAnsi="宋体"/>
          <w:color w:val="000000"/>
          <w:sz w:val="22"/>
          <w:szCs w:val="22"/>
        </w:rPr>
        <w:t>。</w:t>
      </w:r>
    </w:p>
    <w:p>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Ansi="宋体"/>
          <w:color w:val="000000"/>
          <w:sz w:val="22"/>
          <w:szCs w:val="22"/>
        </w:rPr>
      </w:pPr>
      <w:r>
        <w:rPr>
          <w:rFonts w:hint="eastAsia" w:hAnsi="宋体"/>
          <w:color w:val="000000"/>
          <w:sz w:val="22"/>
          <w:szCs w:val="22"/>
        </w:rPr>
        <w:t>1.2甲方根据实际需求进行采购。</w:t>
      </w:r>
    </w:p>
    <w:p>
      <w:pPr>
        <w:keepNext w:val="0"/>
        <w:keepLines w:val="0"/>
        <w:pageBreakBefore w:val="0"/>
        <w:widowControl w:val="0"/>
        <w:numPr>
          <w:ilvl w:val="0"/>
          <w:numId w:val="0"/>
        </w:numPr>
        <w:kinsoku/>
        <w:wordWrap/>
        <w:overflowPunct/>
        <w:topLinePunct w:val="0"/>
        <w:autoSpaceDE/>
        <w:autoSpaceDN/>
        <w:bidi w:val="0"/>
        <w:spacing w:line="360" w:lineRule="auto"/>
        <w:ind w:firstLine="221" w:firstLineChars="100"/>
        <w:textAlignment w:val="auto"/>
        <w:rPr>
          <w:rFonts w:hAnsi="宋体"/>
          <w:b/>
          <w:color w:val="000000"/>
          <w:sz w:val="22"/>
          <w:szCs w:val="22"/>
          <w:highlight w:val="none"/>
        </w:rPr>
      </w:pPr>
      <w:r>
        <w:rPr>
          <w:rFonts w:hint="eastAsia" w:hAnsi="宋体"/>
          <w:b/>
          <w:bCs/>
          <w:color w:val="000000"/>
          <w:sz w:val="22"/>
          <w:szCs w:val="22"/>
          <w:lang w:val="en-US" w:eastAsia="zh-CN"/>
        </w:rPr>
        <w:t>2、</w:t>
      </w:r>
      <w:r>
        <w:rPr>
          <w:rFonts w:hint="eastAsia" w:hAnsi="宋体"/>
          <w:b/>
          <w:bCs/>
          <w:color w:val="000000"/>
          <w:sz w:val="22"/>
          <w:szCs w:val="22"/>
        </w:rPr>
        <w:t>付款方式：</w:t>
      </w:r>
      <w:r>
        <w:rPr>
          <w:rFonts w:hint="eastAsia" w:hAnsi="宋体" w:eastAsia="宋体"/>
          <w:b w:val="0"/>
          <w:color w:val="auto"/>
          <w:sz w:val="22"/>
          <w:szCs w:val="22"/>
          <w:highlight w:val="none"/>
          <w:u w:val="single"/>
        </w:rPr>
        <w:t>根据实际用量按</w:t>
      </w:r>
      <w:r>
        <w:rPr>
          <w:rFonts w:hint="eastAsia" w:hAnsi="宋体" w:eastAsia="宋体"/>
          <w:b w:val="0"/>
          <w:color w:val="auto"/>
          <w:sz w:val="22"/>
          <w:szCs w:val="22"/>
          <w:highlight w:val="none"/>
          <w:u w:val="single"/>
          <w:lang w:val="en-US" w:eastAsia="zh-CN"/>
        </w:rPr>
        <w:t>实</w:t>
      </w:r>
      <w:r>
        <w:rPr>
          <w:rFonts w:hint="eastAsia" w:hAnsi="宋体" w:eastAsia="宋体"/>
          <w:b w:val="0"/>
          <w:color w:val="auto"/>
          <w:sz w:val="22"/>
          <w:szCs w:val="22"/>
          <w:highlight w:val="none"/>
          <w:u w:val="single"/>
        </w:rPr>
        <w:t>结算（</w:t>
      </w:r>
      <w:r>
        <w:rPr>
          <w:rFonts w:hint="eastAsia" w:hAnsi="宋体"/>
          <w:b w:val="0"/>
          <w:color w:val="auto"/>
          <w:sz w:val="22"/>
          <w:szCs w:val="22"/>
          <w:highlight w:val="none"/>
          <w:u w:val="single"/>
          <w:lang w:val="en-US" w:eastAsia="zh-CN"/>
        </w:rPr>
        <w:t>基准价</w:t>
      </w:r>
      <w:r>
        <w:rPr>
          <w:rFonts w:hint="eastAsia" w:hAnsi="宋体" w:eastAsia="宋体"/>
          <w:b w:val="0"/>
          <w:color w:val="auto"/>
          <w:sz w:val="22"/>
          <w:szCs w:val="22"/>
          <w:highlight w:val="none"/>
          <w:u w:val="single"/>
        </w:rPr>
        <w:t>×</w:t>
      </w:r>
      <w:r>
        <w:rPr>
          <w:rFonts w:hint="eastAsia" w:hAnsi="宋体"/>
          <w:b w:val="0"/>
          <w:color w:val="auto"/>
          <w:sz w:val="22"/>
          <w:szCs w:val="22"/>
          <w:highlight w:val="none"/>
          <w:u w:val="single"/>
          <w:lang w:val="en-US" w:eastAsia="zh-CN"/>
        </w:rPr>
        <w:t>投标折扣率</w:t>
      </w:r>
      <w:r>
        <w:rPr>
          <w:rFonts w:hint="eastAsia" w:hAnsi="宋体" w:eastAsia="宋体"/>
          <w:b w:val="0"/>
          <w:color w:val="auto"/>
          <w:sz w:val="22"/>
          <w:szCs w:val="22"/>
          <w:highlight w:val="none"/>
          <w:u w:val="single"/>
        </w:rPr>
        <w:t>×供货数量）</w:t>
      </w:r>
      <w:r>
        <w:rPr>
          <w:rFonts w:hint="eastAsia" w:hAnsi="宋体" w:eastAsia="宋体"/>
          <w:b w:val="0"/>
          <w:color w:val="auto"/>
          <w:sz w:val="22"/>
          <w:szCs w:val="22"/>
          <w:highlight w:val="none"/>
          <w:u w:val="single"/>
          <w:lang w:eastAsia="zh-CN"/>
        </w:rPr>
        <w:t>。</w:t>
      </w:r>
      <w:r>
        <w:rPr>
          <w:rFonts w:hint="eastAsia" w:ascii="新宋体" w:hAnsi="新宋体" w:eastAsia="新宋体" w:cs="新宋体"/>
          <w:b w:val="0"/>
          <w:bCs/>
          <w:color w:val="auto"/>
          <w:kern w:val="2"/>
          <w:sz w:val="22"/>
          <w:szCs w:val="22"/>
          <w:highlight w:val="none"/>
          <w:lang w:val="en-US" w:eastAsia="zh-CN" w:bidi="ar-SA"/>
        </w:rPr>
        <w:t>采购人对相关产品验收合格后每月按</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基准价</w:t>
      </w:r>
      <w:r>
        <w:rPr>
          <w:rFonts w:hint="eastAsia" w:ascii="新宋体" w:hAnsi="新宋体" w:eastAsia="新宋体" w:cs="新宋体"/>
          <w:bCs/>
          <w:color w:val="auto"/>
          <w:sz w:val="22"/>
          <w:szCs w:val="22"/>
          <w:highlight w:val="none"/>
        </w:rPr>
        <w:t>×投标折扣率×供货数量）</w:t>
      </w:r>
      <w:r>
        <w:rPr>
          <w:rFonts w:hint="eastAsia" w:ascii="新宋体" w:hAnsi="新宋体" w:eastAsia="新宋体" w:cs="新宋体"/>
          <w:b w:val="0"/>
          <w:bCs/>
          <w:color w:val="auto"/>
          <w:kern w:val="2"/>
          <w:sz w:val="22"/>
          <w:szCs w:val="22"/>
          <w:highlight w:val="none"/>
          <w:lang w:val="en-US" w:eastAsia="zh-CN" w:bidi="ar-SA"/>
        </w:rPr>
        <w:t>进行计算。采购人在收到中标人发票后3个月内进行支付。</w:t>
      </w:r>
      <w:r>
        <w:rPr>
          <w:rFonts w:hint="eastAsia" w:ascii="新宋体" w:hAnsi="新宋体" w:eastAsia="新宋体" w:cs="新宋体"/>
          <w:b/>
          <w:bCs w:val="0"/>
          <w:color w:val="auto"/>
          <w:kern w:val="2"/>
          <w:sz w:val="22"/>
          <w:szCs w:val="22"/>
          <w:highlight w:val="none"/>
          <w:lang w:val="en-US" w:eastAsia="zh-CN" w:bidi="ar-SA"/>
        </w:rPr>
        <w:t>其中基准价</w:t>
      </w:r>
      <w:r>
        <w:rPr>
          <w:rFonts w:hint="eastAsia" w:ascii="新宋体" w:hAnsi="新宋体" w:eastAsia="新宋体" w:cs="新宋体"/>
          <w:b/>
          <w:bCs w:val="0"/>
          <w:color w:val="auto"/>
          <w:sz w:val="22"/>
          <w:szCs w:val="22"/>
          <w:highlight w:val="none"/>
        </w:rPr>
        <w:t>核查依据温州油价网站（http://youjia.10260.com/zhejiang/wenzhou.html）上每日发布的</w:t>
      </w:r>
      <w:r>
        <w:rPr>
          <w:rFonts w:hint="eastAsia" w:ascii="新宋体" w:hAnsi="新宋体" w:eastAsia="新宋体" w:cs="新宋体"/>
          <w:b/>
          <w:bCs w:val="0"/>
          <w:color w:val="auto"/>
          <w:sz w:val="22"/>
          <w:szCs w:val="22"/>
          <w:highlight w:val="none"/>
          <w:lang w:eastAsia="zh-CN"/>
        </w:rPr>
        <w:t>0</w:t>
      </w:r>
      <w:r>
        <w:rPr>
          <w:rFonts w:hint="eastAsia" w:ascii="新宋体" w:hAnsi="新宋体" w:eastAsia="新宋体" w:cs="新宋体"/>
          <w:b/>
          <w:bCs w:val="0"/>
          <w:color w:val="auto"/>
          <w:sz w:val="22"/>
          <w:szCs w:val="22"/>
          <w:highlight w:val="none"/>
          <w:lang w:val="en-US" w:eastAsia="zh-CN"/>
        </w:rPr>
        <w:t>号柴油价格</w:t>
      </w:r>
      <w:r>
        <w:rPr>
          <w:rFonts w:hint="eastAsia" w:ascii="新宋体" w:hAnsi="新宋体" w:eastAsia="新宋体" w:cs="新宋体"/>
          <w:b/>
          <w:bCs w:val="0"/>
          <w:color w:val="auto"/>
          <w:sz w:val="22"/>
          <w:szCs w:val="22"/>
          <w:highlight w:val="none"/>
        </w:rPr>
        <w:t>。</w:t>
      </w:r>
      <w:r>
        <w:rPr>
          <w:rFonts w:hint="eastAsia" w:ascii="新宋体" w:hAnsi="新宋体" w:eastAsia="新宋体" w:cs="新宋体"/>
          <w:b/>
          <w:bCs w:val="0"/>
          <w:color w:val="auto"/>
          <w:kern w:val="2"/>
          <w:sz w:val="22"/>
          <w:szCs w:val="22"/>
          <w:highlight w:val="none"/>
          <w:lang w:val="en-US" w:eastAsia="zh-CN" w:bidi="ar-SA"/>
        </w:rPr>
        <w:t xml:space="preserve">   </w:t>
      </w:r>
    </w:p>
    <w:p>
      <w:pPr>
        <w:pStyle w:val="12"/>
        <w:keepNext w:val="0"/>
        <w:keepLines w:val="0"/>
        <w:pageBreakBefore w:val="0"/>
        <w:widowControl w:val="0"/>
        <w:numPr>
          <w:ilvl w:val="0"/>
          <w:numId w:val="0"/>
        </w:numPr>
        <w:kinsoku/>
        <w:wordWrap/>
        <w:overflowPunct/>
        <w:topLinePunct w:val="0"/>
        <w:autoSpaceDE/>
        <w:autoSpaceDN/>
        <w:bidi w:val="0"/>
        <w:spacing w:line="360" w:lineRule="auto"/>
        <w:ind w:firstLine="221" w:firstLineChars="100"/>
        <w:textAlignment w:val="auto"/>
        <w:rPr>
          <w:rFonts w:hAnsi="宋体"/>
          <w:color w:val="000000"/>
          <w:sz w:val="22"/>
          <w:szCs w:val="22"/>
        </w:rPr>
      </w:pPr>
      <w:r>
        <w:rPr>
          <w:rFonts w:hint="eastAsia" w:ascii="宋体" w:hAnsi="宋体" w:eastAsia="宋体" w:cs="宋体"/>
          <w:b/>
          <w:bCs/>
          <w:color w:val="000000"/>
          <w:sz w:val="22"/>
          <w:szCs w:val="22"/>
        </w:rPr>
        <w:t>3、发货时间：</w:t>
      </w:r>
      <w:r>
        <w:rPr>
          <w:rFonts w:hint="eastAsia" w:ascii="宋体" w:hAnsi="宋体" w:eastAsia="宋体" w:cs="宋体"/>
          <w:sz w:val="22"/>
          <w:szCs w:val="22"/>
          <w:highlight w:val="none"/>
          <w:lang w:val="en-US" w:eastAsia="zh-CN"/>
        </w:rPr>
        <w:t>本项目为分批次供货。供应商接到采购人供货通知后，在3个工作日内按要求将货物运送至采购人指定地点，并与采购人完成交接。运输由供应商负责，并承担相应的成本及风险。</w:t>
      </w:r>
    </w:p>
    <w:p>
      <w:pPr>
        <w:keepNext w:val="0"/>
        <w:keepLines w:val="0"/>
        <w:pageBreakBefore w:val="0"/>
        <w:widowControl w:val="0"/>
        <w:kinsoku/>
        <w:wordWrap/>
        <w:overflowPunct/>
        <w:topLinePunct w:val="0"/>
        <w:autoSpaceDE/>
        <w:autoSpaceDN/>
        <w:bidi w:val="0"/>
        <w:spacing w:line="360" w:lineRule="auto"/>
        <w:ind w:firstLine="221" w:firstLineChars="100"/>
        <w:textAlignment w:val="auto"/>
        <w:rPr>
          <w:rFonts w:hAnsi="宋体"/>
          <w:color w:val="000000"/>
          <w:sz w:val="22"/>
          <w:szCs w:val="22"/>
        </w:rPr>
      </w:pPr>
      <w:r>
        <w:rPr>
          <w:rFonts w:hint="eastAsia" w:hAnsi="宋体"/>
          <w:b/>
          <w:bCs/>
          <w:color w:val="000000"/>
          <w:sz w:val="22"/>
          <w:szCs w:val="22"/>
        </w:rPr>
        <w:t>4、到货地点：</w:t>
      </w:r>
      <w:r>
        <w:rPr>
          <w:rFonts w:hint="eastAsia" w:hAnsi="宋体"/>
          <w:color w:val="000000"/>
          <w:sz w:val="22"/>
          <w:szCs w:val="22"/>
          <w:lang w:val="en-US" w:eastAsia="zh-CN"/>
        </w:rPr>
        <w:t>温州市中医院</w:t>
      </w:r>
      <w:r>
        <w:rPr>
          <w:rFonts w:hint="eastAsia" w:hAnsi="宋体"/>
          <w:color w:val="000000"/>
          <w:sz w:val="22"/>
          <w:szCs w:val="22"/>
        </w:rPr>
        <w:t>指定地点。</w:t>
      </w:r>
    </w:p>
    <w:p>
      <w:pPr>
        <w:keepNext w:val="0"/>
        <w:keepLines w:val="0"/>
        <w:pageBreakBefore w:val="0"/>
        <w:widowControl w:val="0"/>
        <w:kinsoku/>
        <w:wordWrap/>
        <w:overflowPunct/>
        <w:topLinePunct w:val="0"/>
        <w:autoSpaceDE/>
        <w:autoSpaceDN/>
        <w:bidi w:val="0"/>
        <w:spacing w:line="360" w:lineRule="auto"/>
        <w:ind w:firstLine="221" w:firstLineChars="100"/>
        <w:textAlignment w:val="auto"/>
        <w:rPr>
          <w:rFonts w:hAnsi="宋体"/>
          <w:b/>
          <w:bCs/>
          <w:color w:val="000000"/>
          <w:sz w:val="22"/>
          <w:szCs w:val="22"/>
        </w:rPr>
      </w:pPr>
      <w:r>
        <w:rPr>
          <w:rFonts w:hint="eastAsia" w:hAnsi="宋体"/>
          <w:b/>
          <w:bCs/>
          <w:color w:val="000000"/>
          <w:sz w:val="22"/>
          <w:szCs w:val="22"/>
        </w:rPr>
        <w:t>5、</w:t>
      </w:r>
      <w:r>
        <w:rPr>
          <w:rFonts w:hint="eastAsia" w:hAnsi="宋体"/>
          <w:b/>
          <w:bCs/>
          <w:color w:val="000000"/>
          <w:sz w:val="22"/>
          <w:szCs w:val="22"/>
          <w:lang w:val="en-US" w:eastAsia="zh-CN"/>
        </w:rPr>
        <w:t>产品有效</w:t>
      </w:r>
      <w:r>
        <w:rPr>
          <w:rFonts w:hAnsi="宋体"/>
          <w:b/>
          <w:bCs/>
          <w:color w:val="000000"/>
          <w:sz w:val="22"/>
          <w:szCs w:val="22"/>
        </w:rPr>
        <w:t>期</w:t>
      </w:r>
    </w:p>
    <w:p>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Ansi="宋体"/>
          <w:color w:val="000000"/>
          <w:sz w:val="22"/>
          <w:szCs w:val="22"/>
        </w:rPr>
      </w:pPr>
      <w:r>
        <w:rPr>
          <w:rFonts w:hAnsi="宋体"/>
          <w:color w:val="000000"/>
          <w:sz w:val="22"/>
          <w:szCs w:val="22"/>
        </w:rPr>
        <w:t>5</w:t>
      </w:r>
      <w:r>
        <w:rPr>
          <w:rFonts w:hint="eastAsia" w:hAnsi="宋体"/>
          <w:color w:val="000000"/>
          <w:sz w:val="22"/>
          <w:szCs w:val="22"/>
        </w:rPr>
        <w:t>.1中标人</w:t>
      </w:r>
      <w:r>
        <w:rPr>
          <w:rFonts w:hAnsi="宋体"/>
          <w:color w:val="000000"/>
          <w:sz w:val="22"/>
          <w:szCs w:val="22"/>
        </w:rPr>
        <w:t>对提交的所有</w:t>
      </w:r>
      <w:r>
        <w:rPr>
          <w:rFonts w:hint="eastAsia" w:hAnsi="宋体"/>
          <w:color w:val="000000"/>
          <w:sz w:val="22"/>
          <w:szCs w:val="22"/>
        </w:rPr>
        <w:t>产品剩余有效期不得少于整个产品有效期的2/3</w:t>
      </w:r>
      <w:r>
        <w:rPr>
          <w:rFonts w:hint="eastAsia" w:hAnsi="宋体"/>
          <w:color w:val="000000"/>
          <w:sz w:val="22"/>
          <w:szCs w:val="22"/>
          <w:lang w:eastAsia="zh-CN"/>
        </w:rPr>
        <w:t>，</w:t>
      </w:r>
      <w:r>
        <w:rPr>
          <w:rFonts w:hint="eastAsia" w:hAnsi="宋体" w:eastAsia="宋体"/>
          <w:b w:val="0"/>
          <w:color w:val="auto"/>
          <w:sz w:val="22"/>
          <w:szCs w:val="22"/>
        </w:rPr>
        <w:t>剩余有效期从</w:t>
      </w:r>
      <w:r>
        <w:rPr>
          <w:rFonts w:hint="eastAsia" w:hAnsi="宋体" w:eastAsia="宋体"/>
          <w:b w:val="0"/>
          <w:color w:val="auto"/>
          <w:sz w:val="22"/>
          <w:szCs w:val="22"/>
          <w:lang w:eastAsia="zh-CN"/>
        </w:rPr>
        <w:t>每批次货物</w:t>
      </w:r>
      <w:r>
        <w:rPr>
          <w:rFonts w:hint="eastAsia" w:hAnsi="宋体" w:eastAsia="宋体"/>
          <w:b w:val="0"/>
          <w:color w:val="auto"/>
          <w:sz w:val="22"/>
          <w:szCs w:val="22"/>
        </w:rPr>
        <w:t>验收合格交付使用之日起算</w:t>
      </w:r>
      <w:r>
        <w:rPr>
          <w:rFonts w:hAnsi="宋体"/>
          <w:color w:val="000000"/>
          <w:sz w:val="22"/>
          <w:szCs w:val="22"/>
        </w:rPr>
        <w:t>。</w:t>
      </w:r>
    </w:p>
    <w:p>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int="eastAsia" w:ascii="Times New Roman" w:hAnsi="宋体" w:eastAsia="宋体" w:cs="Times New Roman"/>
          <w:color w:val="000000"/>
          <w:sz w:val="22"/>
          <w:szCs w:val="22"/>
        </w:rPr>
      </w:pPr>
      <w:r>
        <w:rPr>
          <w:rFonts w:hAnsi="宋体"/>
          <w:color w:val="000000"/>
          <w:sz w:val="22"/>
          <w:szCs w:val="22"/>
        </w:rPr>
        <w:t>5</w:t>
      </w:r>
      <w:r>
        <w:rPr>
          <w:rFonts w:hint="eastAsia" w:hAnsi="宋体"/>
          <w:color w:val="000000"/>
          <w:sz w:val="22"/>
          <w:szCs w:val="22"/>
        </w:rPr>
        <w:t>.2</w:t>
      </w:r>
      <w:r>
        <w:rPr>
          <w:rFonts w:hint="eastAsia" w:hAnsi="宋体"/>
          <w:color w:val="000000"/>
          <w:sz w:val="22"/>
          <w:szCs w:val="22"/>
          <w:lang w:val="en-US" w:eastAsia="zh-CN"/>
        </w:rPr>
        <w:t>产品有效</w:t>
      </w:r>
      <w:r>
        <w:rPr>
          <w:rFonts w:hAnsi="宋体"/>
          <w:color w:val="000000"/>
          <w:sz w:val="22"/>
          <w:szCs w:val="22"/>
        </w:rPr>
        <w:t>期内，由于</w:t>
      </w:r>
      <w:r>
        <w:rPr>
          <w:rFonts w:hint="eastAsia" w:hAnsi="宋体"/>
          <w:color w:val="000000"/>
          <w:sz w:val="22"/>
          <w:szCs w:val="22"/>
        </w:rPr>
        <w:t>产品</w:t>
      </w:r>
      <w:r>
        <w:rPr>
          <w:rFonts w:hAnsi="宋体"/>
          <w:color w:val="000000"/>
          <w:sz w:val="22"/>
          <w:szCs w:val="22"/>
        </w:rPr>
        <w:t>自身原因</w:t>
      </w:r>
      <w:r>
        <w:rPr>
          <w:rFonts w:hint="eastAsia" w:hAnsi="宋体"/>
          <w:color w:val="000000"/>
          <w:sz w:val="22"/>
          <w:szCs w:val="22"/>
        </w:rPr>
        <w:t>出现问题，</w:t>
      </w:r>
      <w:r>
        <w:rPr>
          <w:rFonts w:hAnsi="宋体"/>
          <w:color w:val="000000"/>
          <w:sz w:val="22"/>
          <w:szCs w:val="22"/>
        </w:rPr>
        <w:t>由</w:t>
      </w:r>
      <w:r>
        <w:rPr>
          <w:rFonts w:hint="eastAsia" w:hAnsi="宋体"/>
          <w:color w:val="000000"/>
          <w:sz w:val="22"/>
          <w:szCs w:val="22"/>
        </w:rPr>
        <w:t>中标人</w:t>
      </w:r>
      <w:r>
        <w:rPr>
          <w:rFonts w:hAnsi="宋体"/>
          <w:color w:val="000000"/>
          <w:sz w:val="22"/>
          <w:szCs w:val="22"/>
        </w:rPr>
        <w:t>免费更换，并达到合同约定的质量要求，</w:t>
      </w:r>
      <w:r>
        <w:rPr>
          <w:rFonts w:hint="eastAsia" w:hAnsi="宋体"/>
          <w:color w:val="000000"/>
          <w:sz w:val="22"/>
          <w:szCs w:val="22"/>
        </w:rPr>
        <w:t>中标</w:t>
      </w:r>
      <w:r>
        <w:rPr>
          <w:rFonts w:hint="eastAsia" w:ascii="Times New Roman" w:hAnsi="宋体" w:eastAsia="宋体" w:cs="Times New Roman"/>
          <w:color w:val="000000"/>
          <w:sz w:val="22"/>
          <w:szCs w:val="22"/>
        </w:rPr>
        <w:t>人应该在收到院方更换通知24小时内解决处理。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221" w:firstLineChars="100"/>
        <w:textAlignment w:val="auto"/>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发货前，中标供应商须提供该批次</w:t>
      </w:r>
      <w:r>
        <w:rPr>
          <w:rFonts w:hint="eastAsia" w:ascii="宋体" w:hAnsi="宋体" w:eastAsia="宋体" w:cs="宋体"/>
          <w:b/>
          <w:bCs/>
          <w:color w:val="000000"/>
          <w:sz w:val="22"/>
          <w:szCs w:val="22"/>
          <w:lang w:val="en-US" w:eastAsia="zh-CN"/>
        </w:rPr>
        <w:t>产品</w:t>
      </w:r>
      <w:r>
        <w:rPr>
          <w:rFonts w:hint="eastAsia" w:ascii="宋体" w:hAnsi="宋体" w:eastAsia="宋体" w:cs="宋体"/>
          <w:b/>
          <w:bCs/>
          <w:color w:val="000000"/>
          <w:sz w:val="22"/>
          <w:szCs w:val="22"/>
        </w:rPr>
        <w:t>的检测合格报告。</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220" w:firstLineChars="1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本项目下货物依据国家行业质量技术标准或双方达成的协议供货，若双方对质量结果看法不一致，可申请送合法部门检验，检验费由中标人承担；</w:t>
      </w:r>
    </w:p>
    <w:p>
      <w:pPr>
        <w:pStyle w:val="12"/>
        <w:keepNext w:val="0"/>
        <w:keepLines w:val="0"/>
        <w:pageBreakBefore w:val="0"/>
        <w:widowControl w:val="0"/>
        <w:numPr>
          <w:ilvl w:val="0"/>
          <w:numId w:val="3"/>
        </w:numPr>
        <w:kinsoku/>
        <w:wordWrap/>
        <w:overflowPunct/>
        <w:topLinePunct w:val="0"/>
        <w:autoSpaceDE/>
        <w:autoSpaceDN/>
        <w:bidi w:val="0"/>
        <w:spacing w:line="360" w:lineRule="auto"/>
        <w:ind w:firstLine="220" w:firstLineChars="1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供货期内，采购人有权在供货期内任意选取若干次到货货物进行质量检测，供应商代表须在3小时内到达现场，否则采购人有权在柴油车押运员见证下或单方面抽样，供应商必须认可抽样结果。双方按现行石油产品标准规定的方法进行检验，采购人有权要求供应商将每次送达的油品送检，取样方法按照标准号:GB19147-2016执行，鉴定费用由卖方承担。如检验结果发生质量问题，供应商应无条件更换货物，给采购人造成损失的，还应当赔偿损失。合同期内，发生两次及以上不合格油品的，采购人有权单方无条件终止合同。</w:t>
      </w:r>
    </w:p>
    <w:p>
      <w:pPr>
        <w:pStyle w:val="12"/>
        <w:keepNext w:val="0"/>
        <w:keepLines w:val="0"/>
        <w:pageBreakBefore w:val="0"/>
        <w:widowControl w:val="0"/>
        <w:numPr>
          <w:ilvl w:val="0"/>
          <w:numId w:val="3"/>
        </w:numPr>
        <w:kinsoku/>
        <w:wordWrap/>
        <w:overflowPunct/>
        <w:topLinePunct w:val="0"/>
        <w:autoSpaceDE/>
        <w:autoSpaceDN/>
        <w:bidi w:val="0"/>
        <w:spacing w:line="360" w:lineRule="auto"/>
        <w:ind w:firstLine="220" w:firstLineChars="100"/>
        <w:textAlignment w:val="auto"/>
        <w:rPr>
          <w:rFonts w:hAnsi="宋体"/>
          <w:color w:val="000000"/>
          <w:sz w:val="22"/>
          <w:szCs w:val="22"/>
        </w:rPr>
      </w:pPr>
      <w:r>
        <w:rPr>
          <w:rFonts w:hint="eastAsia" w:ascii="宋体" w:hAnsi="宋体" w:eastAsia="宋体" w:cs="宋体"/>
          <w:sz w:val="22"/>
          <w:szCs w:val="22"/>
          <w:highlight w:val="none"/>
          <w:lang w:val="en-US" w:eastAsia="zh-CN"/>
        </w:rPr>
        <w:t>若供应商提供的货物与招标文件规定的不符，或存在以次充好的情况，其情节严重的，采购人有权直接终止合同并追究供应商造成的损失及卖方责任。</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220" w:firstLineChars="1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供应商应合法经营，若发生因进货渠道不合法或其它违法行为被相关行政部门通报处罚的，供应商应负全部责任。采购人可单方无条件终止合同，给采购人造成的损失由供应商全部赔偿。</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220" w:firstLineChars="1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数量验收:供应商每次送货时都需随车提供送货单，送货单必须至少注明油品、体积、密度重量、出库时间、出库公司和运送车辆等信息，采购人根据送货单载明的事项进行核对验收。</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220" w:firstLineChars="1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卸货：</w:t>
      </w:r>
    </w:p>
    <w:p>
      <w:pPr>
        <w:pStyle w:val="12"/>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（1）乙方施工人员在柴油运输与装卸货期间发生的一切安全事故由乙方承担责任，并向甲方通报安全事故原因和处理结果。</w:t>
      </w:r>
    </w:p>
    <w:p>
      <w:pPr>
        <w:pStyle w:val="12"/>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（2）乙方必须给进场施工人员配备所需的劳保防护用品，如工作服、安全帽、手套、保护足趾工作鞋、口罩等;特种作业人员必须持有效证件上岗操作</w:t>
      </w:r>
    </w:p>
    <w:p>
      <w:pPr>
        <w:pStyle w:val="12"/>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（3）乙方在甲方场地作业时必须配备专职安全员，负责监督管理乙方施工人员在装卸货过程中的安全工作，并将专职安全员名单报甲方备案</w:t>
      </w:r>
    </w:p>
    <w:p>
      <w:pPr>
        <w:pStyle w:val="12"/>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（4）乙方所有进场施工人员必须遵守甲方安全生产及“6S”管理的有关管理规定，卸货现场不允许吸烟，所有运输车辆、工程机械必须定置摆放并严格做到“工完、料尽、场地清”</w:t>
      </w:r>
    </w:p>
    <w:p>
      <w:pPr>
        <w:pStyle w:val="12"/>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 xml:space="preserve">（5）乙方必须保证所使用的柴油运输车辆、驾驶员和卸货操作人员的证照齐全、有效，符合国家关于柴油运输和装卸的有关规定及安全要求 </w:t>
      </w:r>
    </w:p>
    <w:p>
      <w:pPr>
        <w:pStyle w:val="12"/>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 xml:space="preserve">（6）乙方所聘用的驾驶员必须严格遵守甲方厂内交通安全规定，做到不超载、不超速行驶 </w:t>
      </w:r>
    </w:p>
    <w:p>
      <w:pPr>
        <w:pStyle w:val="12"/>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 xml:space="preserve">（7）乙方专职安全员负责乙方施工人员在甲方施工现场的安全监督管理工作，甲方对乙方的装卸货过程进行监督检查，对乙方装卸货过程中存在的违章现象，甲方有权要求乙方进行整改乙方不按照甲方的要求进行整改，甲方可按照甲方的安全生产管理规定对乙方进行处罚或进行停工处理 </w:t>
      </w:r>
    </w:p>
    <w:p>
      <w:pPr>
        <w:pStyle w:val="12"/>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8）如果乙方不能认真履行安全管理职责，甲方将取消乙方参加甲方任何形式投标的资格如果乙方在甲方的作业场所发生安全事故给甲方造成损失的，乙方应积极配合甲方对安全事故的调查、处理，并赔偿由此造成甲方的损失。</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220" w:firstLineChars="100"/>
        <w:rPr>
          <w:rFonts w:hint="eastAsia" w:ascii="宋体" w:hAnsi="宋体" w:cs="宋体"/>
          <w:sz w:val="22"/>
          <w:szCs w:val="22"/>
          <w:highlight w:val="none"/>
          <w:lang w:val="en-US" w:eastAsia="zh-CN"/>
        </w:rPr>
      </w:pPr>
      <w:r>
        <w:rPr>
          <w:rFonts w:hint="eastAsia" w:ascii="宋体" w:hAnsi="宋体" w:eastAsia="宋体" w:cs="宋体"/>
          <w:sz w:val="22"/>
          <w:szCs w:val="22"/>
          <w:highlight w:val="none"/>
          <w:lang w:val="en-US" w:eastAsia="zh-CN"/>
        </w:rPr>
        <w:t>在柴油运输</w:t>
      </w:r>
      <w:r>
        <w:rPr>
          <w:rFonts w:hint="eastAsia" w:ascii="宋体" w:hAnsi="宋体" w:cs="宋体"/>
          <w:sz w:val="22"/>
          <w:szCs w:val="22"/>
          <w:highlight w:val="none"/>
          <w:lang w:val="en-US" w:eastAsia="zh-CN"/>
        </w:rPr>
        <w:t>及装卸</w:t>
      </w:r>
      <w:r>
        <w:rPr>
          <w:rFonts w:hint="eastAsia" w:ascii="宋体" w:hAnsi="宋体" w:eastAsia="宋体" w:cs="宋体"/>
          <w:sz w:val="22"/>
          <w:szCs w:val="22"/>
          <w:highlight w:val="none"/>
          <w:lang w:val="en-US" w:eastAsia="zh-CN"/>
        </w:rPr>
        <w:t>过程中，所发生的丢失、消防、运输安全等一切事故由</w:t>
      </w:r>
      <w:r>
        <w:rPr>
          <w:rFonts w:hint="eastAsia" w:ascii="宋体" w:hAnsi="宋体" w:cs="宋体"/>
          <w:sz w:val="22"/>
          <w:szCs w:val="22"/>
          <w:highlight w:val="none"/>
          <w:lang w:val="en-US" w:eastAsia="zh-CN"/>
        </w:rPr>
        <w:t>供应商</w:t>
      </w:r>
      <w:r>
        <w:rPr>
          <w:rFonts w:hint="eastAsia" w:ascii="宋体" w:hAnsi="宋体" w:eastAsia="宋体" w:cs="宋体"/>
          <w:sz w:val="22"/>
          <w:szCs w:val="22"/>
          <w:highlight w:val="none"/>
          <w:lang w:val="en-US" w:eastAsia="zh-CN"/>
        </w:rPr>
        <w:t>承担，</w:t>
      </w:r>
      <w:r>
        <w:rPr>
          <w:rFonts w:hint="eastAsia" w:ascii="宋体" w:hAnsi="宋体" w:cs="宋体"/>
          <w:sz w:val="22"/>
          <w:szCs w:val="22"/>
          <w:highlight w:val="none"/>
          <w:lang w:val="en-US" w:eastAsia="zh-CN"/>
        </w:rPr>
        <w:t>院方</w:t>
      </w:r>
      <w:r>
        <w:rPr>
          <w:rFonts w:hint="eastAsia" w:ascii="宋体" w:hAnsi="宋体" w:eastAsia="宋体" w:cs="宋体"/>
          <w:sz w:val="22"/>
          <w:szCs w:val="22"/>
          <w:highlight w:val="none"/>
          <w:lang w:val="en-US" w:eastAsia="zh-CN"/>
        </w:rPr>
        <w:t>对此不承担连带责任</w:t>
      </w:r>
      <w:r>
        <w:rPr>
          <w:rFonts w:hint="eastAsia" w:ascii="宋体" w:hAnsi="宋体" w:cs="宋体"/>
          <w:sz w:val="22"/>
          <w:szCs w:val="22"/>
          <w:highlight w:val="none"/>
          <w:lang w:val="en-US" w:eastAsia="zh-CN"/>
        </w:rPr>
        <w:t>。</w:t>
      </w:r>
    </w:p>
    <w:p>
      <w:pPr>
        <w:pStyle w:val="17"/>
        <w:numPr>
          <w:ilvl w:val="0"/>
          <w:numId w:val="3"/>
        </w:numPr>
        <w:tabs>
          <w:tab w:val="left" w:pos="522"/>
        </w:tabs>
        <w:spacing w:line="360" w:lineRule="auto"/>
        <w:ind w:left="0" w:leftChars="0" w:firstLine="220" w:firstLineChars="1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如甲方发生紧急事件</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供应商需在</w:t>
      </w:r>
      <w:r>
        <w:rPr>
          <w:rFonts w:hint="eastAsia" w:ascii="宋体" w:hAnsi="宋体" w:eastAsia="宋体" w:cs="宋体"/>
          <w:color w:val="auto"/>
          <w:sz w:val="22"/>
          <w:szCs w:val="22"/>
          <w:highlight w:val="none"/>
          <w:lang w:eastAsia="zh-CN"/>
        </w:rPr>
        <w:t>1</w:t>
      </w:r>
      <w:r>
        <w:rPr>
          <w:rFonts w:hint="eastAsia" w:ascii="宋体" w:hAnsi="宋体" w:eastAsia="宋体" w:cs="宋体"/>
          <w:color w:val="auto"/>
          <w:sz w:val="22"/>
          <w:szCs w:val="22"/>
          <w:highlight w:val="none"/>
        </w:rPr>
        <w:t>小时内</w:t>
      </w:r>
      <w:r>
        <w:rPr>
          <w:rFonts w:hint="eastAsia" w:ascii="宋体" w:hAnsi="宋体" w:eastAsia="宋体" w:cs="宋体"/>
          <w:color w:val="auto"/>
          <w:sz w:val="22"/>
          <w:szCs w:val="22"/>
          <w:highlight w:val="none"/>
          <w:lang w:val="en-US" w:eastAsia="zh-CN"/>
        </w:rPr>
        <w:t>响应，4小时内到达现场。</w:t>
      </w:r>
      <w:r>
        <w:rPr>
          <w:rFonts w:hint="eastAsia" w:ascii="宋体" w:hAnsi="宋体" w:eastAsia="宋体" w:cs="宋体"/>
          <w:i w:val="0"/>
          <w:iCs w:val="0"/>
          <w:caps w:val="0"/>
          <w:color w:val="333333"/>
          <w:spacing w:val="0"/>
          <w:sz w:val="22"/>
          <w:szCs w:val="22"/>
          <w:shd w:val="clear" w:fill="FFFFFF"/>
        </w:rPr>
        <w:t>24小时内解决问题，如在24小时内不能解决的，当天给予相应产品替代更换保证设备运行正常。</w:t>
      </w:r>
    </w:p>
    <w:p>
      <w:pPr>
        <w:pStyle w:val="17"/>
        <w:keepNext w:val="0"/>
        <w:keepLines w:val="0"/>
        <w:pageBreakBefore w:val="0"/>
        <w:widowControl w:val="0"/>
        <w:numPr>
          <w:ilvl w:val="-1"/>
          <w:numId w:val="0"/>
        </w:numPr>
        <w:tabs>
          <w:tab w:val="left" w:pos="522"/>
        </w:tabs>
        <w:kinsoku/>
        <w:wordWrap/>
        <w:overflowPunct/>
        <w:topLinePunct w:val="0"/>
        <w:autoSpaceDE/>
        <w:autoSpaceDN/>
        <w:bidi w:val="0"/>
        <w:adjustRightInd/>
        <w:snapToGrid/>
        <w:spacing w:line="360" w:lineRule="auto"/>
        <w:ind w:left="210" w:leftChars="100" w:firstLine="0" w:firstLineChars="0"/>
        <w:textAlignment w:val="auto"/>
        <w:rPr>
          <w:rFonts w:hint="eastAsia" w:ascii="新宋体" w:hAnsi="新宋体" w:eastAsia="新宋体"/>
          <w:color w:val="auto"/>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b/>
          <w:sz w:val="22"/>
          <w:szCs w:val="22"/>
        </w:rPr>
      </w:pPr>
      <w:r>
        <w:rPr>
          <w:rFonts w:hint="eastAsia"/>
          <w:b/>
          <w:sz w:val="22"/>
          <w:szCs w:val="22"/>
          <w:lang w:val="en-US" w:eastAsia="zh-CN"/>
        </w:rPr>
        <w:t>五</w:t>
      </w:r>
      <w:r>
        <w:rPr>
          <w:rFonts w:hint="eastAsia"/>
          <w:b/>
          <w:sz w:val="22"/>
          <w:szCs w:val="22"/>
        </w:rPr>
        <w:t>、样品</w:t>
      </w:r>
    </w:p>
    <w:p>
      <w:pPr>
        <w:adjustRightInd w:val="0"/>
        <w:snapToGrid w:val="0"/>
        <w:spacing w:line="360" w:lineRule="auto"/>
        <w:ind w:firstLine="220" w:firstLineChars="100"/>
        <w:rPr>
          <w:rFonts w:hint="eastAsia" w:ascii="Times New Roman" w:hAnsi="Times New Roman" w:eastAsia="宋体" w:cs="Times New Roman"/>
          <w:bCs/>
          <w:color w:val="auto"/>
          <w:kern w:val="0"/>
          <w:sz w:val="22"/>
          <w:szCs w:val="22"/>
          <w:highlight w:val="none"/>
          <w:lang w:eastAsia="zh-CN"/>
        </w:rPr>
      </w:pPr>
      <w:bookmarkStart w:id="6" w:name="_Toc4555"/>
      <w:bookmarkStart w:id="7" w:name="_Toc26339"/>
      <w:bookmarkStart w:id="8" w:name="_Toc3777"/>
      <w:r>
        <w:rPr>
          <w:rFonts w:hint="eastAsia" w:ascii="Times New Roman" w:hAnsi="Times New Roman" w:eastAsia="宋体" w:cs="Times New Roman"/>
          <w:bCs/>
          <w:color w:val="auto"/>
          <w:kern w:val="0"/>
          <w:sz w:val="22"/>
          <w:szCs w:val="22"/>
          <w:highlight w:val="none"/>
          <w:lang w:val="en-US" w:eastAsia="zh-CN"/>
        </w:rPr>
        <w:t>供应商根据采购内容及评分要求</w:t>
      </w:r>
      <w:r>
        <w:rPr>
          <w:rFonts w:hint="eastAsia" w:ascii="Times New Roman" w:hAnsi="Times New Roman" w:eastAsia="宋体" w:cs="Times New Roman"/>
          <w:bCs/>
          <w:color w:val="auto"/>
          <w:kern w:val="0"/>
          <w:sz w:val="22"/>
          <w:szCs w:val="22"/>
          <w:highlight w:val="none"/>
        </w:rPr>
        <w:t>提供样品</w:t>
      </w:r>
      <w:r>
        <w:rPr>
          <w:rFonts w:hint="eastAsia" w:ascii="Times New Roman" w:hAnsi="Times New Roman" w:eastAsia="宋体" w:cs="Times New Roman"/>
          <w:bCs/>
          <w:color w:val="auto"/>
          <w:kern w:val="0"/>
          <w:sz w:val="22"/>
          <w:szCs w:val="22"/>
          <w:highlight w:val="none"/>
          <w:lang w:eastAsia="zh-CN"/>
        </w:rPr>
        <w:t>：</w:t>
      </w:r>
    </w:p>
    <w:p>
      <w:pPr>
        <w:adjustRightInd w:val="0"/>
        <w:snapToGrid w:val="0"/>
        <w:spacing w:line="360" w:lineRule="auto"/>
        <w:ind w:firstLine="440" w:firstLineChars="200"/>
        <w:rPr>
          <w:rFonts w:hint="default"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1、</w:t>
      </w:r>
      <w:r>
        <w:rPr>
          <w:rFonts w:hint="eastAsia" w:ascii="宋体" w:hAnsi="宋体" w:eastAsia="宋体" w:cs="宋体"/>
          <w:b w:val="0"/>
          <w:bCs w:val="0"/>
          <w:sz w:val="22"/>
          <w:szCs w:val="22"/>
          <w:highlight w:val="none"/>
          <w:lang w:eastAsia="zh-CN"/>
        </w:rPr>
        <w:t>柴油样品一瓶（容量：1L）</w:t>
      </w:r>
    </w:p>
    <w:p>
      <w:pPr>
        <w:pStyle w:val="8"/>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42" w:firstLineChars="200"/>
        <w:jc w:val="left"/>
        <w:textAlignment w:val="auto"/>
        <w:outlineLvl w:val="9"/>
        <w:rPr>
          <w:rFonts w:hint="eastAsia" w:ascii="新宋体" w:hAnsi="新宋体" w:eastAsia="新宋体" w:cs="新宋体"/>
          <w:b/>
          <w:bCs/>
          <w:color w:val="auto"/>
          <w:sz w:val="22"/>
          <w:szCs w:val="22"/>
          <w:highlight w:val="none"/>
          <w:u w:val="single"/>
          <w:shd w:val="clear" w:color="auto" w:fill="auto"/>
        </w:rPr>
      </w:pPr>
      <w:r>
        <w:rPr>
          <w:rFonts w:hint="eastAsia" w:ascii="新宋体" w:hAnsi="新宋体" w:eastAsia="新宋体" w:cs="新宋体"/>
          <w:b/>
          <w:color w:val="auto"/>
          <w:sz w:val="22"/>
          <w:szCs w:val="22"/>
          <w:highlight w:val="none"/>
          <w:u w:val="single"/>
          <w:lang w:val="en-US" w:eastAsia="zh-CN"/>
        </w:rPr>
        <w:t>注：</w:t>
      </w:r>
      <w:r>
        <w:rPr>
          <w:rFonts w:hint="eastAsia" w:ascii="新宋体" w:hAnsi="新宋体" w:eastAsia="新宋体" w:cs="新宋体"/>
          <w:b/>
          <w:bCs/>
          <w:color w:val="auto"/>
          <w:sz w:val="22"/>
          <w:szCs w:val="22"/>
          <w:highlight w:val="none"/>
          <w:u w:val="single"/>
          <w:shd w:val="clear" w:color="auto" w:fill="auto"/>
        </w:rPr>
        <w:t>评审结束后，中标供应商的样品须封装后由采购人留样保存。未中标供应商的样品由供应商自行带回。</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0"/>
        <w:rPr>
          <w:rStyle w:val="16"/>
          <w:rFonts w:hint="eastAsia" w:ascii="宋体" w:hAnsi="宋体" w:eastAsia="宋体" w:cs="宋体"/>
          <w:color w:val="auto"/>
          <w:lang w:eastAsia="zh-CN"/>
        </w:rPr>
      </w:pPr>
      <w:r>
        <w:rPr>
          <w:rFonts w:hint="eastAsia"/>
        </w:rPr>
        <w:br w:type="page"/>
      </w:r>
      <w:r>
        <w:rPr>
          <w:rStyle w:val="16"/>
          <w:rFonts w:hint="eastAsia" w:ascii="宋体" w:hAnsi="宋体" w:eastAsia="宋体" w:cs="宋体"/>
          <w:color w:val="auto"/>
        </w:rPr>
        <w:t>第</w:t>
      </w:r>
      <w:r>
        <w:rPr>
          <w:rStyle w:val="16"/>
          <w:rFonts w:hint="eastAsia" w:ascii="宋体" w:hAnsi="宋体" w:eastAsia="宋体" w:cs="宋体"/>
          <w:color w:val="auto"/>
          <w:lang w:val="en-US" w:eastAsia="zh-CN"/>
        </w:rPr>
        <w:t>二</w:t>
      </w:r>
      <w:r>
        <w:rPr>
          <w:rStyle w:val="16"/>
          <w:rFonts w:hint="eastAsia" w:ascii="宋体" w:hAnsi="宋体" w:eastAsia="宋体" w:cs="宋体"/>
          <w:color w:val="auto"/>
        </w:rPr>
        <w:t>部分   评标原则及方法</w:t>
      </w:r>
      <w:bookmarkEnd w:id="6"/>
      <w:bookmarkEnd w:id="7"/>
      <w:bookmarkEnd w:id="8"/>
    </w:p>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参考相关法规特制定以下评标办法。</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auto"/>
          <w:sz w:val="22"/>
          <w:szCs w:val="22"/>
          <w:highlight w:val="none"/>
        </w:rPr>
      </w:pPr>
      <w:bookmarkStart w:id="9" w:name="_Toc7127"/>
      <w:r>
        <w:rPr>
          <w:rFonts w:hint="eastAsia" w:ascii="新宋体" w:hAnsi="新宋体" w:eastAsia="新宋体" w:cs="新宋体"/>
          <w:b/>
          <w:color w:val="auto"/>
          <w:sz w:val="22"/>
          <w:szCs w:val="22"/>
          <w:highlight w:val="none"/>
        </w:rPr>
        <w:t>一、总 则</w:t>
      </w:r>
      <w:bookmarkEnd w:id="9"/>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文件</w:t>
      </w:r>
      <w:r>
        <w:rPr>
          <w:rFonts w:hint="eastAsia" w:ascii="新宋体" w:hAnsi="新宋体" w:eastAsia="新宋体" w:cs="新宋体"/>
          <w:color w:val="auto"/>
          <w:sz w:val="22"/>
          <w:szCs w:val="22"/>
          <w:highlight w:val="none"/>
        </w:rPr>
        <w:t>的商务、技术要求，对</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申请文件</w:t>
      </w:r>
      <w:r>
        <w:rPr>
          <w:rFonts w:hint="eastAsia" w:ascii="新宋体" w:hAnsi="新宋体" w:eastAsia="新宋体" w:cs="新宋体"/>
          <w:color w:val="auto"/>
          <w:sz w:val="22"/>
          <w:szCs w:val="22"/>
          <w:highlight w:val="none"/>
        </w:rPr>
        <w:t>进行综合评定，提出优选方案，编写评标报告。对落标单位，评委会不作任何落标解释。</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不得以任何方式干扰招</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rPr>
        <w:t>工作的进行，一经发现其</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申请文件</w:t>
      </w:r>
      <w:r>
        <w:rPr>
          <w:rFonts w:hint="eastAsia" w:ascii="新宋体" w:hAnsi="新宋体" w:eastAsia="新宋体" w:cs="新宋体"/>
          <w:color w:val="auto"/>
          <w:sz w:val="22"/>
          <w:szCs w:val="22"/>
          <w:highlight w:val="none"/>
        </w:rPr>
        <w:t>将被拒绝。</w:t>
      </w:r>
    </w:p>
    <w:p>
      <w:pPr>
        <w:keepNext w:val="0"/>
        <w:keepLines w:val="0"/>
        <w:pageBreakBefore w:val="0"/>
        <w:kinsoku/>
        <w:wordWrap/>
        <w:overflowPunct/>
        <w:topLinePunct w:val="0"/>
        <w:autoSpaceDE/>
        <w:autoSpaceDN/>
        <w:bidi w:val="0"/>
        <w:spacing w:line="460" w:lineRule="exact"/>
        <w:textAlignment w:val="auto"/>
        <w:outlineLvl w:val="1"/>
        <w:rPr>
          <w:rFonts w:hint="eastAsia" w:ascii="新宋体" w:hAnsi="新宋体" w:eastAsia="新宋体" w:cs="新宋体"/>
          <w:b/>
          <w:color w:val="auto"/>
          <w:sz w:val="22"/>
          <w:szCs w:val="22"/>
          <w:highlight w:val="none"/>
        </w:rPr>
      </w:pPr>
      <w:bookmarkStart w:id="10" w:name="_Toc8561"/>
      <w:bookmarkStart w:id="11" w:name="_Toc16178"/>
      <w:r>
        <w:rPr>
          <w:rFonts w:hint="eastAsia" w:ascii="新宋体" w:hAnsi="新宋体" w:eastAsia="新宋体" w:cs="新宋体"/>
          <w:b/>
          <w:color w:val="auto"/>
          <w:sz w:val="22"/>
          <w:szCs w:val="22"/>
          <w:highlight w:val="none"/>
        </w:rPr>
        <w:t>二、评标组织</w:t>
      </w:r>
      <w:bookmarkEnd w:id="10"/>
      <w:bookmarkEnd w:id="11"/>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人</w:t>
      </w:r>
      <w:r>
        <w:rPr>
          <w:rFonts w:hint="eastAsia" w:ascii="新宋体" w:hAnsi="新宋体" w:eastAsia="新宋体" w:cs="新宋体"/>
          <w:color w:val="auto"/>
          <w:sz w:val="22"/>
          <w:szCs w:val="22"/>
          <w:highlight w:val="none"/>
        </w:rPr>
        <w:t>组建的评标委员会负责，评标全过程由有关部门指导监督。</w:t>
      </w:r>
    </w:p>
    <w:p>
      <w:pPr>
        <w:keepNext w:val="0"/>
        <w:keepLines w:val="0"/>
        <w:pageBreakBefore w:val="0"/>
        <w:kinsoku/>
        <w:wordWrap/>
        <w:overflowPunct/>
        <w:topLinePunct w:val="0"/>
        <w:autoSpaceDE/>
        <w:autoSpaceDN/>
        <w:bidi w:val="0"/>
        <w:spacing w:line="460" w:lineRule="exact"/>
        <w:textAlignment w:val="auto"/>
        <w:outlineLvl w:val="1"/>
        <w:rPr>
          <w:rFonts w:hint="eastAsia" w:ascii="新宋体" w:hAnsi="新宋体" w:eastAsia="新宋体" w:cs="新宋体"/>
          <w:b/>
          <w:color w:val="auto"/>
          <w:sz w:val="22"/>
          <w:szCs w:val="22"/>
          <w:highlight w:val="none"/>
        </w:rPr>
      </w:pPr>
      <w:bookmarkStart w:id="12" w:name="_Toc15171"/>
      <w:bookmarkStart w:id="13" w:name="_Toc16714"/>
      <w:r>
        <w:rPr>
          <w:rFonts w:hint="eastAsia" w:ascii="新宋体" w:hAnsi="新宋体" w:eastAsia="新宋体" w:cs="新宋体"/>
          <w:b/>
          <w:color w:val="auto"/>
          <w:sz w:val="22"/>
          <w:szCs w:val="22"/>
          <w:highlight w:val="none"/>
        </w:rPr>
        <w:t>三、评标程序</w:t>
      </w:r>
      <w:bookmarkEnd w:id="12"/>
      <w:bookmarkEnd w:id="13"/>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评标委员按照</w:t>
      </w:r>
      <w:r>
        <w:rPr>
          <w:rFonts w:hint="eastAsia" w:ascii="新宋体" w:hAnsi="新宋体" w:eastAsia="新宋体" w:cs="新宋体"/>
          <w:bCs/>
          <w:color w:val="auto"/>
          <w:sz w:val="22"/>
          <w:szCs w:val="22"/>
          <w:highlight w:val="none"/>
          <w:lang w:val="en-US" w:eastAsia="zh-CN"/>
        </w:rPr>
        <w:t>遴选</w:t>
      </w:r>
      <w:r>
        <w:rPr>
          <w:rFonts w:hint="eastAsia" w:ascii="新宋体" w:hAnsi="新宋体" w:eastAsia="新宋体" w:cs="新宋体"/>
          <w:bCs/>
          <w:color w:val="auto"/>
          <w:sz w:val="22"/>
          <w:szCs w:val="22"/>
          <w:highlight w:val="none"/>
          <w:lang w:eastAsia="zh-CN"/>
        </w:rPr>
        <w:t>文件</w:t>
      </w:r>
      <w:r>
        <w:rPr>
          <w:rFonts w:hint="eastAsia" w:ascii="新宋体" w:hAnsi="新宋体" w:eastAsia="新宋体" w:cs="新宋体"/>
          <w:bCs/>
          <w:color w:val="auto"/>
          <w:sz w:val="22"/>
          <w:szCs w:val="22"/>
          <w:highlight w:val="none"/>
        </w:rPr>
        <w:t>中规定的评标方法和标准，对</w:t>
      </w:r>
      <w:r>
        <w:rPr>
          <w:rFonts w:hint="eastAsia" w:ascii="新宋体" w:hAnsi="新宋体" w:eastAsia="新宋体" w:cs="新宋体"/>
          <w:bCs/>
          <w:color w:val="auto"/>
          <w:sz w:val="22"/>
          <w:szCs w:val="22"/>
          <w:highlight w:val="none"/>
          <w:lang w:val="en-US" w:eastAsia="zh-CN"/>
        </w:rPr>
        <w:t>遴选</w:t>
      </w:r>
      <w:r>
        <w:rPr>
          <w:rFonts w:hint="eastAsia" w:ascii="新宋体" w:hAnsi="新宋体" w:eastAsia="新宋体" w:cs="新宋体"/>
          <w:bCs/>
          <w:color w:val="auto"/>
          <w:sz w:val="22"/>
          <w:szCs w:val="22"/>
          <w:highlight w:val="none"/>
          <w:lang w:eastAsia="zh-CN"/>
        </w:rPr>
        <w:t>申请文件</w:t>
      </w:r>
      <w:r>
        <w:rPr>
          <w:rFonts w:hint="eastAsia" w:ascii="新宋体" w:hAnsi="新宋体" w:eastAsia="新宋体" w:cs="新宋体"/>
          <w:bCs/>
          <w:color w:val="auto"/>
          <w:sz w:val="22"/>
          <w:szCs w:val="22"/>
          <w:highlight w:val="none"/>
        </w:rPr>
        <w:t>进行商务和技术评估，综合比较与评价</w:t>
      </w:r>
      <w:r>
        <w:rPr>
          <w:rFonts w:hint="eastAsia" w:ascii="新宋体" w:hAnsi="新宋体" w:eastAsia="新宋体" w:cs="新宋体"/>
          <w:color w:val="auto"/>
          <w:sz w:val="22"/>
          <w:szCs w:val="22"/>
          <w:highlight w:val="none"/>
        </w:rPr>
        <w:t>，根据综合评审结果，提交评审报告。</w:t>
      </w:r>
    </w:p>
    <w:p>
      <w:pPr>
        <w:keepNext w:val="0"/>
        <w:keepLines w:val="0"/>
        <w:pageBreakBefore w:val="0"/>
        <w:kinsoku/>
        <w:wordWrap/>
        <w:overflowPunct/>
        <w:topLinePunct w:val="0"/>
        <w:autoSpaceDE/>
        <w:autoSpaceDN/>
        <w:bidi w:val="0"/>
        <w:spacing w:line="460" w:lineRule="exact"/>
        <w:textAlignment w:val="auto"/>
        <w:outlineLvl w:val="1"/>
        <w:rPr>
          <w:rFonts w:hint="eastAsia" w:ascii="新宋体" w:hAnsi="新宋体" w:eastAsia="新宋体" w:cs="新宋体"/>
          <w:b/>
          <w:color w:val="auto"/>
          <w:sz w:val="22"/>
          <w:szCs w:val="22"/>
          <w:highlight w:val="none"/>
        </w:rPr>
      </w:pPr>
      <w:bookmarkStart w:id="14" w:name="_Toc22118"/>
      <w:bookmarkStart w:id="15" w:name="_Toc6748"/>
      <w:r>
        <w:rPr>
          <w:rFonts w:hint="eastAsia" w:ascii="新宋体" w:hAnsi="新宋体" w:eastAsia="新宋体" w:cs="新宋体"/>
          <w:b/>
          <w:color w:val="auto"/>
          <w:sz w:val="22"/>
          <w:szCs w:val="22"/>
          <w:highlight w:val="none"/>
        </w:rPr>
        <w:t>四、评标办法</w:t>
      </w:r>
      <w:bookmarkEnd w:id="14"/>
      <w:bookmarkEnd w:id="15"/>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color w:val="auto"/>
          <w:sz w:val="22"/>
          <w:szCs w:val="22"/>
          <w:highlight w:val="none"/>
        </w:rPr>
        <w:t>本次采购采用百分制综合评分法，即</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最大限度地满足</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文件</w:t>
      </w:r>
      <w:r>
        <w:rPr>
          <w:rFonts w:hint="eastAsia" w:ascii="新宋体" w:hAnsi="新宋体" w:eastAsia="新宋体" w:cs="新宋体"/>
          <w:color w:val="auto"/>
          <w:sz w:val="22"/>
          <w:szCs w:val="22"/>
          <w:highlight w:val="none"/>
        </w:rPr>
        <w:t>实质性要求的基础上，按照</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文件</w:t>
      </w:r>
      <w:r>
        <w:rPr>
          <w:rFonts w:hint="eastAsia" w:ascii="新宋体" w:hAnsi="新宋体" w:eastAsia="新宋体" w:cs="新宋体"/>
          <w:color w:val="auto"/>
          <w:sz w:val="22"/>
          <w:szCs w:val="22"/>
          <w:highlight w:val="none"/>
        </w:rPr>
        <w:t>的各项因素进行综合评审后，以评标总得分最高的</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和次高的</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作为</w:t>
      </w:r>
      <w:r>
        <w:rPr>
          <w:rFonts w:hint="eastAsia" w:ascii="新宋体" w:hAnsi="新宋体" w:eastAsia="新宋体" w:cs="新宋体"/>
          <w:b w:val="0"/>
          <w:bCs w:val="0"/>
          <w:color w:val="auto"/>
          <w:sz w:val="22"/>
          <w:szCs w:val="22"/>
          <w:highlight w:val="none"/>
        </w:rPr>
        <w:t>第一和第二排序的中标候选人的评标方法。根据采购要求，总分设定为100分：技术标</w:t>
      </w:r>
      <w:r>
        <w:rPr>
          <w:rFonts w:hint="eastAsia" w:ascii="新宋体" w:hAnsi="新宋体" w:eastAsia="新宋体" w:cs="新宋体"/>
          <w:b w:val="0"/>
          <w:bCs w:val="0"/>
          <w:color w:val="auto"/>
          <w:sz w:val="22"/>
          <w:szCs w:val="22"/>
          <w:highlight w:val="none"/>
          <w:lang w:val="en-US" w:eastAsia="zh-CN"/>
        </w:rPr>
        <w:t>7</w:t>
      </w:r>
      <w:r>
        <w:rPr>
          <w:rFonts w:hint="eastAsia" w:ascii="新宋体" w:hAnsi="新宋体" w:eastAsia="新宋体" w:cs="新宋体"/>
          <w:b w:val="0"/>
          <w:bCs w:val="0"/>
          <w:color w:val="auto"/>
          <w:sz w:val="22"/>
          <w:szCs w:val="22"/>
          <w:highlight w:val="none"/>
        </w:rPr>
        <w:t>0分（权值</w:t>
      </w:r>
      <w:r>
        <w:rPr>
          <w:rFonts w:hint="eastAsia" w:ascii="新宋体" w:hAnsi="新宋体" w:eastAsia="新宋体" w:cs="新宋体"/>
          <w:b w:val="0"/>
          <w:bCs w:val="0"/>
          <w:color w:val="auto"/>
          <w:sz w:val="22"/>
          <w:szCs w:val="22"/>
          <w:highlight w:val="none"/>
          <w:lang w:val="en-US" w:eastAsia="zh-CN"/>
        </w:rPr>
        <w:t>7</w:t>
      </w:r>
      <w:r>
        <w:rPr>
          <w:rFonts w:hint="eastAsia" w:ascii="新宋体" w:hAnsi="新宋体" w:eastAsia="新宋体" w:cs="新宋体"/>
          <w:b w:val="0"/>
          <w:bCs w:val="0"/>
          <w:color w:val="auto"/>
          <w:sz w:val="22"/>
          <w:szCs w:val="22"/>
          <w:highlight w:val="none"/>
        </w:rPr>
        <w:t>0%），商务标（报价）</w:t>
      </w:r>
      <w:r>
        <w:rPr>
          <w:rFonts w:hint="eastAsia" w:ascii="新宋体" w:hAnsi="新宋体" w:eastAsia="新宋体" w:cs="新宋体"/>
          <w:b w:val="0"/>
          <w:bCs w:val="0"/>
          <w:color w:val="auto"/>
          <w:sz w:val="22"/>
          <w:szCs w:val="22"/>
          <w:highlight w:val="none"/>
          <w:lang w:val="en-US" w:eastAsia="zh-CN"/>
        </w:rPr>
        <w:t>3</w:t>
      </w:r>
      <w:r>
        <w:rPr>
          <w:rFonts w:hint="eastAsia" w:ascii="新宋体" w:hAnsi="新宋体" w:eastAsia="新宋体" w:cs="新宋体"/>
          <w:b w:val="0"/>
          <w:bCs w:val="0"/>
          <w:color w:val="auto"/>
          <w:sz w:val="22"/>
          <w:szCs w:val="22"/>
          <w:highlight w:val="none"/>
        </w:rPr>
        <w:t>0分（权值</w:t>
      </w:r>
      <w:r>
        <w:rPr>
          <w:rFonts w:hint="eastAsia" w:ascii="新宋体" w:hAnsi="新宋体" w:eastAsia="新宋体" w:cs="新宋体"/>
          <w:b w:val="0"/>
          <w:bCs w:val="0"/>
          <w:color w:val="auto"/>
          <w:sz w:val="22"/>
          <w:szCs w:val="22"/>
          <w:highlight w:val="none"/>
          <w:lang w:val="en-US" w:eastAsia="zh-CN"/>
        </w:rPr>
        <w:t>3</w:t>
      </w:r>
      <w:r>
        <w:rPr>
          <w:rFonts w:hint="eastAsia" w:ascii="新宋体" w:hAnsi="新宋体" w:eastAsia="新宋体" w:cs="新宋体"/>
          <w:b w:val="0"/>
          <w:bCs w:val="0"/>
          <w:color w:val="auto"/>
          <w:sz w:val="22"/>
          <w:szCs w:val="22"/>
          <w:highlight w:val="none"/>
        </w:rPr>
        <w:t>0%）。</w:t>
      </w:r>
    </w:p>
    <w:p>
      <w:pPr>
        <w:keepNext w:val="0"/>
        <w:keepLines w:val="0"/>
        <w:pageBreakBefore w:val="0"/>
        <w:kinsoku/>
        <w:wordWrap/>
        <w:overflowPunct/>
        <w:topLinePunct w:val="0"/>
        <w:autoSpaceDE/>
        <w:autoSpaceDN/>
        <w:bidi w:val="0"/>
        <w:spacing w:line="460" w:lineRule="exact"/>
        <w:textAlignment w:val="auto"/>
        <w:outlineLvl w:val="1"/>
        <w:rPr>
          <w:rFonts w:hint="eastAsia" w:ascii="新宋体" w:hAnsi="新宋体" w:eastAsia="新宋体" w:cs="新宋体"/>
          <w:b/>
          <w:color w:val="auto"/>
          <w:sz w:val="22"/>
          <w:szCs w:val="22"/>
          <w:highlight w:val="none"/>
        </w:rPr>
      </w:pPr>
      <w:bookmarkStart w:id="16" w:name="_Toc23127"/>
      <w:bookmarkStart w:id="17" w:name="_Toc5763"/>
      <w:bookmarkStart w:id="18" w:name="_Toc23503"/>
      <w:r>
        <w:rPr>
          <w:rFonts w:hint="eastAsia" w:ascii="新宋体" w:hAnsi="新宋体" w:eastAsia="新宋体" w:cs="新宋体"/>
          <w:b/>
          <w:color w:val="auto"/>
          <w:sz w:val="22"/>
          <w:szCs w:val="22"/>
          <w:highlight w:val="none"/>
          <w:lang w:val="en-US" w:eastAsia="zh-CN"/>
        </w:rPr>
        <w:t>五</w:t>
      </w:r>
      <w:r>
        <w:rPr>
          <w:rFonts w:hint="eastAsia" w:ascii="新宋体" w:hAnsi="新宋体" w:eastAsia="新宋体" w:cs="新宋体"/>
          <w:b/>
          <w:color w:val="auto"/>
          <w:sz w:val="22"/>
          <w:szCs w:val="22"/>
          <w:highlight w:val="none"/>
        </w:rPr>
        <w:t>、定标办法</w:t>
      </w:r>
      <w:bookmarkEnd w:id="16"/>
      <w:bookmarkEnd w:id="17"/>
      <w:bookmarkEnd w:id="18"/>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文件</w:t>
      </w:r>
      <w:r>
        <w:rPr>
          <w:rFonts w:hint="eastAsia" w:ascii="新宋体" w:hAnsi="新宋体" w:eastAsia="新宋体" w:cs="新宋体"/>
          <w:color w:val="auto"/>
          <w:sz w:val="22"/>
          <w:szCs w:val="22"/>
          <w:highlight w:val="none"/>
        </w:rPr>
        <w:t>有关规定按评审后得分（即技术分与商务分之和）由高到低顺序排序，得分前二名的</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确定为该项目的第一和第二中标候选人（得分相同</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rPr>
        <w:t>报价低的排序第一；得分且</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rPr>
        <w:t>报价相同的，技术指标优的排序第一）向</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人</w:t>
      </w:r>
      <w:r>
        <w:rPr>
          <w:rFonts w:hint="eastAsia" w:ascii="新宋体" w:hAnsi="新宋体" w:eastAsia="新宋体" w:cs="新宋体"/>
          <w:color w:val="auto"/>
          <w:sz w:val="22"/>
          <w:szCs w:val="22"/>
          <w:highlight w:val="none"/>
        </w:rPr>
        <w:t>推荐。</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2、确定中标人</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2.1</w:t>
      </w:r>
      <w:r>
        <w:rPr>
          <w:rFonts w:hint="eastAsia" w:ascii="新宋体" w:hAnsi="新宋体" w:eastAsia="新宋体" w:cs="新宋体"/>
          <w:b w:val="0"/>
          <w:bCs w:val="0"/>
          <w:color w:val="auto"/>
          <w:sz w:val="22"/>
          <w:szCs w:val="22"/>
          <w:highlight w:val="none"/>
          <w:lang w:val="en-US" w:eastAsia="zh-CN"/>
        </w:rPr>
        <w:t>遴选</w:t>
      </w:r>
      <w:r>
        <w:rPr>
          <w:rFonts w:hint="eastAsia" w:ascii="新宋体" w:hAnsi="新宋体" w:eastAsia="新宋体" w:cs="新宋体"/>
          <w:b w:val="0"/>
          <w:bCs w:val="0"/>
          <w:color w:val="auto"/>
          <w:sz w:val="22"/>
          <w:szCs w:val="22"/>
          <w:highlight w:val="none"/>
          <w:lang w:eastAsia="zh-CN"/>
        </w:rPr>
        <w:t>人</w:t>
      </w:r>
      <w:r>
        <w:rPr>
          <w:rFonts w:hint="eastAsia" w:ascii="新宋体" w:hAnsi="新宋体" w:eastAsia="新宋体" w:cs="新宋体"/>
          <w:b w:val="0"/>
          <w:bCs w:val="0"/>
          <w:color w:val="auto"/>
          <w:sz w:val="22"/>
          <w:szCs w:val="22"/>
          <w:highlight w:val="none"/>
        </w:rPr>
        <w:t>按照评标报告中推荐的中标候选供应商顺序确定中标人；也可以事先授权评标委员会按照推荐的中标候选供应商顺序直接确定中标人。中标候选人并列的，采取随机抽取的方式确定。</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2.2如中标人放弃中标、或未能在规定时间内与采购单位签订合同的；或者经质疑，</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人</w:t>
      </w:r>
      <w:r>
        <w:rPr>
          <w:rFonts w:hint="eastAsia" w:ascii="新宋体" w:hAnsi="新宋体" w:eastAsia="新宋体" w:cs="新宋体"/>
          <w:color w:val="auto"/>
          <w:sz w:val="22"/>
          <w:szCs w:val="22"/>
          <w:highlight w:val="none"/>
        </w:rPr>
        <w:t>可以视情况直接确定排名第二的候选人为中标人或重新组织</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rPr>
        <w:t>。</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人</w:t>
      </w:r>
      <w:r>
        <w:rPr>
          <w:rFonts w:hint="eastAsia" w:ascii="新宋体" w:hAnsi="新宋体" w:eastAsia="新宋体" w:cs="新宋体"/>
          <w:color w:val="auto"/>
          <w:sz w:val="22"/>
          <w:szCs w:val="22"/>
          <w:highlight w:val="none"/>
        </w:rPr>
        <w:t>将在</w:t>
      </w:r>
      <w:r>
        <w:rPr>
          <w:rFonts w:hint="eastAsia" w:ascii="新宋体" w:hAnsi="新宋体" w:eastAsia="新宋体" w:cs="新宋体"/>
          <w:color w:val="auto"/>
          <w:sz w:val="22"/>
          <w:szCs w:val="22"/>
          <w:highlight w:val="none"/>
          <w:lang w:val="en-US" w:eastAsia="zh-CN"/>
        </w:rPr>
        <w:t>温州市中医院官网</w:t>
      </w:r>
      <w:r>
        <w:rPr>
          <w:rFonts w:hint="eastAsia" w:ascii="新宋体" w:hAnsi="新宋体" w:eastAsia="新宋体" w:cs="新宋体"/>
          <w:color w:val="auto"/>
          <w:sz w:val="22"/>
          <w:szCs w:val="22"/>
          <w:highlight w:val="none"/>
        </w:rPr>
        <w:t>公告中标结果，</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人</w:t>
      </w:r>
      <w:r>
        <w:rPr>
          <w:rFonts w:hint="eastAsia" w:ascii="新宋体" w:hAnsi="新宋体" w:eastAsia="新宋体" w:cs="新宋体"/>
          <w:color w:val="auto"/>
          <w:sz w:val="22"/>
          <w:szCs w:val="22"/>
          <w:highlight w:val="none"/>
        </w:rPr>
        <w:t>向中标人发出中标通知书。</w:t>
      </w:r>
    </w:p>
    <w:p>
      <w:pPr>
        <w:keepNext w:val="0"/>
        <w:keepLines w:val="0"/>
        <w:pageBreakBefore w:val="0"/>
        <w:kinsoku/>
        <w:wordWrap/>
        <w:overflowPunct/>
        <w:topLinePunct w:val="0"/>
        <w:autoSpaceDE/>
        <w:autoSpaceDN/>
        <w:bidi w:val="0"/>
        <w:spacing w:line="460" w:lineRule="exact"/>
        <w:textAlignment w:val="auto"/>
        <w:outlineLvl w:val="1"/>
        <w:rPr>
          <w:rFonts w:hint="eastAsia" w:ascii="新宋体" w:hAnsi="新宋体" w:eastAsia="新宋体" w:cs="新宋体"/>
          <w:b/>
          <w:color w:val="auto"/>
          <w:sz w:val="22"/>
          <w:szCs w:val="22"/>
          <w:highlight w:val="none"/>
          <w:lang w:val="en-US" w:eastAsia="zh-CN"/>
        </w:rPr>
      </w:pPr>
      <w:bookmarkStart w:id="19" w:name="_Toc14145"/>
      <w:bookmarkStart w:id="20" w:name="_Toc7199"/>
      <w:bookmarkStart w:id="21" w:name="_Toc30448"/>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六</w:t>
      </w:r>
      <w:r>
        <w:rPr>
          <w:rFonts w:hint="eastAsia" w:ascii="新宋体" w:hAnsi="新宋体" w:eastAsia="新宋体" w:cs="新宋体"/>
          <w:b/>
          <w:color w:val="auto"/>
          <w:sz w:val="22"/>
          <w:szCs w:val="22"/>
          <w:highlight w:val="none"/>
        </w:rPr>
        <w:t>、</w:t>
      </w:r>
      <w:r>
        <w:rPr>
          <w:rFonts w:hint="eastAsia" w:ascii="新宋体" w:hAnsi="新宋体" w:eastAsia="新宋体" w:cs="新宋体"/>
          <w:b/>
          <w:color w:val="auto"/>
          <w:sz w:val="22"/>
          <w:szCs w:val="22"/>
          <w:highlight w:val="none"/>
          <w:lang w:val="en-US" w:eastAsia="zh-CN"/>
        </w:rPr>
        <w:t>遴选</w:t>
      </w:r>
      <w:r>
        <w:rPr>
          <w:rFonts w:hint="eastAsia" w:ascii="新宋体" w:hAnsi="新宋体" w:eastAsia="新宋体" w:cs="新宋体"/>
          <w:b/>
          <w:color w:val="auto"/>
          <w:sz w:val="22"/>
          <w:szCs w:val="22"/>
          <w:highlight w:val="none"/>
          <w:lang w:eastAsia="zh-CN"/>
        </w:rPr>
        <w:t>申请人</w:t>
      </w:r>
      <w:r>
        <w:rPr>
          <w:rFonts w:hint="eastAsia" w:ascii="新宋体" w:hAnsi="新宋体" w:eastAsia="新宋体" w:cs="新宋体"/>
          <w:b/>
          <w:color w:val="auto"/>
          <w:sz w:val="22"/>
          <w:szCs w:val="22"/>
          <w:highlight w:val="none"/>
        </w:rPr>
        <w:t>义务</w:t>
      </w:r>
      <w:bookmarkEnd w:id="19"/>
      <w:bookmarkEnd w:id="20"/>
      <w:bookmarkEnd w:id="21"/>
    </w:p>
    <w:p>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440" w:firstLineChars="200"/>
        <w:textAlignment w:val="auto"/>
        <w:rPr>
          <w:rFonts w:hint="eastAsia" w:eastAsia="新宋体"/>
          <w:lang w:eastAsia="zh-CN"/>
        </w:rPr>
      </w:pP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应随时接受评标委员会的询标，解答包括有关的商务、技术问题等。评标结束，所有评标资料存</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rPr>
        <w:t>机构备查</w:t>
      </w:r>
      <w:r>
        <w:rPr>
          <w:rFonts w:hint="eastAsia" w:ascii="新宋体" w:hAnsi="新宋体" w:eastAsia="新宋体" w:cs="新宋体"/>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auto"/>
          <w:sz w:val="22"/>
          <w:szCs w:val="22"/>
          <w:highlight w:val="none"/>
        </w:rPr>
      </w:pPr>
      <w:bookmarkStart w:id="22" w:name="_Toc20378"/>
      <w:bookmarkStart w:id="23" w:name="_Toc12821"/>
      <w:r>
        <w:rPr>
          <w:rFonts w:hint="eastAsia" w:ascii="新宋体" w:hAnsi="新宋体" w:eastAsia="新宋体" w:cs="新宋体"/>
          <w:b/>
          <w:color w:val="auto"/>
          <w:sz w:val="22"/>
          <w:szCs w:val="22"/>
          <w:highlight w:val="none"/>
          <w:lang w:val="en-US" w:eastAsia="zh-CN"/>
        </w:rPr>
        <w:t>七</w:t>
      </w:r>
      <w:r>
        <w:rPr>
          <w:rFonts w:hint="eastAsia" w:ascii="新宋体" w:hAnsi="新宋体" w:eastAsia="新宋体" w:cs="新宋体"/>
          <w:b/>
          <w:color w:val="auto"/>
          <w:sz w:val="22"/>
          <w:szCs w:val="22"/>
          <w:highlight w:val="none"/>
        </w:rPr>
        <w:t>、评分细则</w:t>
      </w:r>
      <w:bookmarkEnd w:id="22"/>
      <w:bookmarkEnd w:id="23"/>
    </w:p>
    <w:p>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9"/>
        <w:rPr>
          <w:rFonts w:hint="eastAsia" w:ascii="新宋体" w:hAnsi="新宋体" w:eastAsia="新宋体" w:cs="新宋体"/>
          <w:b/>
          <w:color w:val="auto"/>
          <w:sz w:val="22"/>
          <w:szCs w:val="22"/>
          <w:highlight w:val="none"/>
        </w:rPr>
      </w:pPr>
      <w:bookmarkStart w:id="24" w:name="_Toc27806"/>
      <w:r>
        <w:rPr>
          <w:rFonts w:hint="eastAsia" w:ascii="新宋体" w:hAnsi="新宋体" w:eastAsia="新宋体" w:cs="新宋体"/>
          <w:b/>
          <w:color w:val="auto"/>
          <w:sz w:val="22"/>
          <w:szCs w:val="22"/>
          <w:highlight w:val="none"/>
        </w:rPr>
        <w:t>1、技术分的评定（</w:t>
      </w:r>
      <w:r>
        <w:rPr>
          <w:rFonts w:hint="eastAsia" w:ascii="新宋体" w:hAnsi="新宋体" w:eastAsia="新宋体" w:cs="新宋体"/>
          <w:b/>
          <w:color w:val="auto"/>
          <w:sz w:val="22"/>
          <w:szCs w:val="22"/>
          <w:highlight w:val="none"/>
          <w:lang w:val="en-US" w:eastAsia="zh-CN"/>
        </w:rPr>
        <w:t>7</w:t>
      </w:r>
      <w:r>
        <w:rPr>
          <w:rFonts w:hint="eastAsia" w:ascii="新宋体" w:hAnsi="新宋体" w:eastAsia="新宋体" w:cs="新宋体"/>
          <w:b/>
          <w:color w:val="auto"/>
          <w:sz w:val="22"/>
          <w:szCs w:val="22"/>
          <w:highlight w:val="none"/>
        </w:rPr>
        <w:t>0分)（权值</w:t>
      </w:r>
      <w:r>
        <w:rPr>
          <w:rFonts w:hint="eastAsia" w:ascii="新宋体" w:hAnsi="新宋体" w:eastAsia="新宋体" w:cs="新宋体"/>
          <w:b/>
          <w:color w:val="auto"/>
          <w:sz w:val="22"/>
          <w:szCs w:val="22"/>
          <w:highlight w:val="none"/>
          <w:lang w:val="en-US" w:eastAsia="zh-CN"/>
        </w:rPr>
        <w:t>7</w:t>
      </w:r>
      <w:r>
        <w:rPr>
          <w:rFonts w:hint="eastAsia" w:ascii="新宋体" w:hAnsi="新宋体" w:eastAsia="新宋体" w:cs="新宋体"/>
          <w:b/>
          <w:color w:val="auto"/>
          <w:sz w:val="22"/>
          <w:szCs w:val="22"/>
          <w:highlight w:val="none"/>
        </w:rPr>
        <w:t>0%）</w:t>
      </w:r>
      <w:bookmarkEnd w:id="24"/>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rPr>
      </w:pPr>
      <w:r>
        <w:rPr>
          <w:rFonts w:hint="eastAsia" w:ascii="新宋体" w:hAnsi="新宋体" w:eastAsia="新宋体" w:cs="新宋体"/>
          <w:color w:val="auto"/>
          <w:sz w:val="22"/>
          <w:szCs w:val="22"/>
          <w:highlight w:val="none"/>
        </w:rPr>
        <w:t>各评委成员按下列评分项目进行评判，每人一张评分计算票，并记名。</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申请文件</w:t>
      </w:r>
      <w:r>
        <w:rPr>
          <w:rFonts w:hint="eastAsia" w:ascii="新宋体" w:hAnsi="新宋体" w:eastAsia="新宋体" w:cs="新宋体"/>
          <w:color w:val="auto"/>
          <w:sz w:val="22"/>
          <w:szCs w:val="22"/>
          <w:highlight w:val="none"/>
        </w:rPr>
        <w:t>各项评分内容由评标委员会成员各自评分，如某张票的一个因素项目超过规定的范围，则该张票无效。各评标委员会成员对各</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的各项评分内容评分的算术平均值为各</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技术分得分（小数点后按四舍五入保留2位）。</w:t>
      </w:r>
      <w:bookmarkStart w:id="25" w:name="_Toc5311"/>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42" w:firstLineChars="200"/>
        <w:textAlignment w:val="auto"/>
        <w:outlineLvl w:val="9"/>
        <w:rPr>
          <w:rFonts w:hint="eastAsia"/>
        </w:rPr>
      </w:pPr>
      <w:r>
        <w:rPr>
          <w:rFonts w:hint="eastAsia" w:ascii="新宋体" w:hAnsi="新宋体" w:eastAsia="新宋体" w:cs="新宋体"/>
          <w:b/>
          <w:color w:val="auto"/>
          <w:sz w:val="22"/>
          <w:szCs w:val="22"/>
          <w:highlight w:val="none"/>
          <w:lang w:val="en-US" w:eastAsia="zh-CN"/>
        </w:rPr>
        <w:t>2、</w:t>
      </w:r>
      <w:r>
        <w:rPr>
          <w:rFonts w:hint="eastAsia" w:ascii="新宋体" w:hAnsi="新宋体" w:eastAsia="新宋体" w:cs="新宋体"/>
          <w:b/>
          <w:color w:val="auto"/>
          <w:sz w:val="22"/>
          <w:szCs w:val="22"/>
          <w:highlight w:val="none"/>
        </w:rPr>
        <w:t>商务标（报价）</w:t>
      </w:r>
      <w:r>
        <w:rPr>
          <w:rFonts w:hint="eastAsia" w:ascii="新宋体" w:hAnsi="新宋体" w:eastAsia="新宋体" w:cs="新宋体"/>
          <w:b/>
          <w:color w:val="auto"/>
          <w:sz w:val="22"/>
          <w:szCs w:val="22"/>
          <w:highlight w:val="none"/>
          <w:lang w:val="en-US" w:eastAsia="zh-CN"/>
        </w:rPr>
        <w:t>3</w:t>
      </w:r>
      <w:r>
        <w:rPr>
          <w:rFonts w:hint="eastAsia" w:ascii="新宋体" w:hAnsi="新宋体" w:eastAsia="新宋体" w:cs="新宋体"/>
          <w:b/>
          <w:color w:val="auto"/>
          <w:sz w:val="22"/>
          <w:szCs w:val="22"/>
          <w:highlight w:val="none"/>
        </w:rPr>
        <w:t>0分（权值</w:t>
      </w:r>
      <w:r>
        <w:rPr>
          <w:rFonts w:hint="eastAsia" w:ascii="新宋体" w:hAnsi="新宋体" w:eastAsia="新宋体" w:cs="新宋体"/>
          <w:b/>
          <w:color w:val="auto"/>
          <w:sz w:val="22"/>
          <w:szCs w:val="22"/>
          <w:highlight w:val="none"/>
          <w:lang w:val="en-US" w:eastAsia="zh-CN"/>
        </w:rPr>
        <w:t>3</w:t>
      </w:r>
      <w:r>
        <w:rPr>
          <w:rFonts w:hint="eastAsia" w:ascii="新宋体" w:hAnsi="新宋体" w:eastAsia="新宋体" w:cs="新宋体"/>
          <w:b/>
          <w:color w:val="auto"/>
          <w:sz w:val="22"/>
          <w:szCs w:val="22"/>
          <w:highlight w:val="none"/>
        </w:rPr>
        <w:t>0%）</w:t>
      </w:r>
      <w:bookmarkEnd w:id="25"/>
    </w:p>
    <w:p>
      <w:pPr>
        <w:spacing w:line="460" w:lineRule="exact"/>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满足</w:t>
      </w:r>
      <w:r>
        <w:rPr>
          <w:rFonts w:hint="eastAsia" w:ascii="新宋体" w:hAnsi="新宋体" w:eastAsia="新宋体" w:cs="新宋体"/>
          <w:color w:val="auto"/>
          <w:sz w:val="22"/>
          <w:szCs w:val="22"/>
          <w:lang w:val="en-US" w:eastAsia="zh-CN"/>
        </w:rPr>
        <w:t>遴选</w:t>
      </w:r>
      <w:r>
        <w:rPr>
          <w:rFonts w:hint="eastAsia" w:ascii="新宋体" w:hAnsi="新宋体" w:eastAsia="新宋体" w:cs="新宋体"/>
          <w:color w:val="auto"/>
          <w:sz w:val="22"/>
          <w:szCs w:val="22"/>
          <w:lang w:eastAsia="zh-CN"/>
        </w:rPr>
        <w:t>文件</w:t>
      </w:r>
      <w:r>
        <w:rPr>
          <w:rFonts w:hint="eastAsia" w:ascii="新宋体" w:hAnsi="新宋体" w:eastAsia="新宋体" w:cs="新宋体"/>
          <w:color w:val="auto"/>
          <w:sz w:val="22"/>
          <w:szCs w:val="22"/>
        </w:rPr>
        <w:t>要求且报价最</w:t>
      </w:r>
      <w:r>
        <w:rPr>
          <w:rFonts w:hint="eastAsia" w:ascii="新宋体" w:hAnsi="新宋体" w:eastAsia="新宋体" w:cs="新宋体"/>
          <w:color w:val="auto"/>
          <w:sz w:val="22"/>
          <w:szCs w:val="22"/>
          <w:lang w:val="en-US" w:eastAsia="zh-CN"/>
        </w:rPr>
        <w:t>低</w:t>
      </w:r>
      <w:r>
        <w:rPr>
          <w:rFonts w:hint="eastAsia" w:ascii="新宋体" w:hAnsi="新宋体" w:eastAsia="新宋体" w:cs="新宋体"/>
          <w:color w:val="auto"/>
          <w:sz w:val="22"/>
          <w:szCs w:val="22"/>
        </w:rPr>
        <w:t>的报价为评审基准价，其余</w:t>
      </w:r>
      <w:r>
        <w:rPr>
          <w:rFonts w:hint="eastAsia" w:ascii="新宋体" w:hAnsi="新宋体" w:eastAsia="新宋体" w:cs="新宋体"/>
          <w:color w:val="auto"/>
          <w:sz w:val="22"/>
          <w:szCs w:val="22"/>
          <w:lang w:val="en-US" w:eastAsia="zh-CN"/>
        </w:rPr>
        <w:t>遴选</w:t>
      </w:r>
      <w:r>
        <w:rPr>
          <w:rFonts w:hint="eastAsia" w:ascii="新宋体" w:hAnsi="新宋体" w:eastAsia="新宋体" w:cs="新宋体"/>
          <w:color w:val="auto"/>
          <w:sz w:val="22"/>
          <w:szCs w:val="22"/>
        </w:rPr>
        <w:t>申请人报价与该基准价对比，计算出商务报价评分值（保留小数2位）：</w:t>
      </w:r>
    </w:p>
    <w:p>
      <w:pPr>
        <w:spacing w:line="460" w:lineRule="exact"/>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1）有效</w:t>
      </w:r>
      <w:r>
        <w:rPr>
          <w:rFonts w:hint="eastAsia" w:ascii="新宋体" w:hAnsi="新宋体" w:eastAsia="新宋体" w:cs="新宋体"/>
          <w:color w:val="auto"/>
          <w:sz w:val="22"/>
          <w:szCs w:val="22"/>
          <w:lang w:val="en-US" w:eastAsia="zh-CN"/>
        </w:rPr>
        <w:t>遴选</w:t>
      </w:r>
      <w:r>
        <w:rPr>
          <w:rFonts w:hint="eastAsia" w:ascii="新宋体" w:hAnsi="新宋体" w:eastAsia="新宋体" w:cs="新宋体"/>
          <w:color w:val="auto"/>
          <w:sz w:val="22"/>
          <w:szCs w:val="22"/>
        </w:rPr>
        <w:t>申请人的报价等于评审基准价时其报价分为满分</w:t>
      </w:r>
      <w:r>
        <w:rPr>
          <w:rFonts w:hint="eastAsia" w:ascii="新宋体" w:hAnsi="新宋体" w:eastAsia="新宋体" w:cs="新宋体"/>
          <w:color w:val="auto"/>
          <w:sz w:val="22"/>
          <w:szCs w:val="22"/>
          <w:lang w:val="en-US" w:eastAsia="zh-CN"/>
        </w:rPr>
        <w:t>3</w:t>
      </w:r>
      <w:r>
        <w:rPr>
          <w:rFonts w:hint="eastAsia" w:ascii="新宋体" w:hAnsi="新宋体" w:eastAsia="新宋体" w:cs="新宋体"/>
          <w:color w:val="auto"/>
          <w:sz w:val="22"/>
          <w:szCs w:val="22"/>
        </w:rPr>
        <w:t>0分；</w:t>
      </w:r>
    </w:p>
    <w:p>
      <w:pPr>
        <w:spacing w:line="460" w:lineRule="exact"/>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2）其他</w:t>
      </w:r>
      <w:r>
        <w:rPr>
          <w:rFonts w:hint="eastAsia" w:ascii="新宋体" w:hAnsi="新宋体" w:eastAsia="新宋体" w:cs="新宋体"/>
          <w:color w:val="auto"/>
          <w:sz w:val="22"/>
          <w:szCs w:val="22"/>
          <w:lang w:val="en-US" w:eastAsia="zh-CN"/>
        </w:rPr>
        <w:t>遴选</w:t>
      </w:r>
      <w:r>
        <w:rPr>
          <w:rFonts w:hint="eastAsia" w:ascii="新宋体" w:hAnsi="新宋体" w:eastAsia="新宋体" w:cs="新宋体"/>
          <w:color w:val="auto"/>
          <w:sz w:val="22"/>
          <w:szCs w:val="22"/>
        </w:rPr>
        <w:t>申请人的价格分按以下公式计算：</w:t>
      </w:r>
    </w:p>
    <w:p>
      <w:pPr>
        <w:keepNext w:val="0"/>
        <w:keepLines w:val="0"/>
        <w:pageBreakBefore w:val="0"/>
        <w:numPr>
          <w:ilvl w:val="0"/>
          <w:numId w:val="0"/>
        </w:numPr>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rPr>
        <w:t>报价得分=（评分基准价/</w:t>
      </w:r>
      <w:r>
        <w:rPr>
          <w:rFonts w:hint="eastAsia" w:ascii="新宋体" w:hAnsi="新宋体" w:eastAsia="新宋体" w:cs="新宋体"/>
          <w:b w:val="0"/>
          <w:bCs/>
          <w:color w:val="auto"/>
          <w:sz w:val="22"/>
          <w:szCs w:val="22"/>
          <w:lang w:val="en-US" w:eastAsia="zh-CN"/>
        </w:rPr>
        <w:t>遴选</w:t>
      </w:r>
      <w:r>
        <w:rPr>
          <w:rFonts w:hint="eastAsia" w:ascii="新宋体" w:hAnsi="新宋体" w:eastAsia="新宋体" w:cs="新宋体"/>
          <w:b w:val="0"/>
          <w:bCs/>
          <w:color w:val="auto"/>
          <w:sz w:val="22"/>
          <w:szCs w:val="22"/>
        </w:rPr>
        <w:t>申请人报价）× 价格权值 ×100（保留小数2位）</w:t>
      </w:r>
    </w:p>
    <w:p>
      <w:pPr>
        <w:keepNext w:val="0"/>
        <w:keepLines w:val="0"/>
        <w:pageBreakBefore w:val="0"/>
        <w:numPr>
          <w:ilvl w:val="0"/>
          <w:numId w:val="0"/>
        </w:numPr>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3、</w:t>
      </w:r>
      <w:r>
        <w:rPr>
          <w:rFonts w:hint="eastAsia" w:ascii="新宋体" w:hAnsi="新宋体" w:eastAsia="新宋体" w:cs="新宋体"/>
          <w:b/>
          <w:bCs/>
          <w:color w:val="auto"/>
          <w:sz w:val="22"/>
          <w:szCs w:val="22"/>
          <w:highlight w:val="none"/>
        </w:rPr>
        <w:t>有效</w:t>
      </w:r>
      <w:r>
        <w:rPr>
          <w:rFonts w:hint="eastAsia" w:ascii="新宋体" w:hAnsi="新宋体" w:eastAsia="新宋体" w:cs="新宋体"/>
          <w:b/>
          <w:bCs/>
          <w:color w:val="auto"/>
          <w:sz w:val="22"/>
          <w:szCs w:val="22"/>
          <w:highlight w:val="none"/>
          <w:lang w:val="en-US" w:eastAsia="zh-CN"/>
        </w:rPr>
        <w:t>遴选</w:t>
      </w:r>
      <w:r>
        <w:rPr>
          <w:rFonts w:hint="eastAsia" w:ascii="新宋体" w:hAnsi="新宋体" w:eastAsia="新宋体" w:cs="新宋体"/>
          <w:b/>
          <w:bCs/>
          <w:color w:val="auto"/>
          <w:sz w:val="22"/>
          <w:szCs w:val="22"/>
          <w:highlight w:val="none"/>
          <w:lang w:eastAsia="zh-CN"/>
        </w:rPr>
        <w:t>申请人</w:t>
      </w:r>
      <w:r>
        <w:rPr>
          <w:rFonts w:hint="eastAsia" w:ascii="新宋体" w:hAnsi="新宋体" w:eastAsia="新宋体" w:cs="新宋体"/>
          <w:b/>
          <w:bCs/>
          <w:color w:val="auto"/>
          <w:sz w:val="22"/>
          <w:szCs w:val="22"/>
          <w:highlight w:val="none"/>
        </w:rPr>
        <w:t>的综合得分为技术分和商务（报价）分的总和。</w:t>
      </w:r>
    </w:p>
    <w:p>
      <w:pPr>
        <w:keepNext w:val="0"/>
        <w:keepLines w:val="0"/>
        <w:pageBreakBefore w:val="0"/>
        <w:numPr>
          <w:ilvl w:val="0"/>
          <w:numId w:val="0"/>
        </w:numPr>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lang w:val="en-US" w:eastAsia="zh-CN"/>
        </w:rPr>
        <w:t>4、</w:t>
      </w:r>
      <w:r>
        <w:rPr>
          <w:rFonts w:hint="eastAsia" w:ascii="新宋体" w:hAnsi="新宋体" w:eastAsia="新宋体" w:cs="新宋体"/>
          <w:b/>
          <w:bCs/>
          <w:color w:val="auto"/>
          <w:sz w:val="22"/>
          <w:szCs w:val="22"/>
          <w:highlight w:val="none"/>
          <w:u w:val="single"/>
        </w:rPr>
        <w:t>评标委员会认为</w:t>
      </w:r>
      <w:r>
        <w:rPr>
          <w:rFonts w:hint="eastAsia" w:ascii="新宋体" w:hAnsi="新宋体" w:eastAsia="新宋体" w:cs="新宋体"/>
          <w:b/>
          <w:bCs/>
          <w:color w:val="auto"/>
          <w:sz w:val="22"/>
          <w:szCs w:val="22"/>
          <w:highlight w:val="none"/>
          <w:u w:val="single"/>
          <w:lang w:val="en-US" w:eastAsia="zh-CN"/>
        </w:rPr>
        <w:t>遴选</w:t>
      </w:r>
      <w:r>
        <w:rPr>
          <w:rFonts w:hint="eastAsia" w:ascii="新宋体" w:hAnsi="新宋体" w:eastAsia="新宋体" w:cs="新宋体"/>
          <w:b/>
          <w:bCs/>
          <w:color w:val="auto"/>
          <w:sz w:val="22"/>
          <w:szCs w:val="22"/>
          <w:highlight w:val="none"/>
          <w:u w:val="single"/>
          <w:lang w:eastAsia="zh-CN"/>
        </w:rPr>
        <w:t>申请人</w:t>
      </w:r>
      <w:r>
        <w:rPr>
          <w:rFonts w:hint="eastAsia" w:ascii="新宋体" w:hAnsi="新宋体" w:eastAsia="新宋体" w:cs="新宋体"/>
          <w:b/>
          <w:bCs/>
          <w:color w:val="auto"/>
          <w:sz w:val="22"/>
          <w:szCs w:val="22"/>
          <w:highlight w:val="none"/>
          <w:u w:val="single"/>
        </w:rPr>
        <w:t>的报价明显低于其他通过符合性审查</w:t>
      </w:r>
      <w:r>
        <w:rPr>
          <w:rFonts w:hint="eastAsia" w:ascii="新宋体" w:hAnsi="新宋体" w:eastAsia="新宋体" w:cs="新宋体"/>
          <w:b/>
          <w:bCs/>
          <w:color w:val="auto"/>
          <w:sz w:val="22"/>
          <w:szCs w:val="22"/>
          <w:highlight w:val="none"/>
          <w:u w:val="single"/>
          <w:lang w:val="en-US" w:eastAsia="zh-CN"/>
        </w:rPr>
        <w:t>遴选</w:t>
      </w:r>
      <w:r>
        <w:rPr>
          <w:rFonts w:hint="eastAsia" w:ascii="新宋体" w:hAnsi="新宋体" w:eastAsia="新宋体" w:cs="新宋体"/>
          <w:b/>
          <w:bCs/>
          <w:color w:val="auto"/>
          <w:sz w:val="22"/>
          <w:szCs w:val="22"/>
          <w:highlight w:val="none"/>
          <w:u w:val="single"/>
          <w:lang w:eastAsia="zh-CN"/>
        </w:rPr>
        <w:t>申请人</w:t>
      </w:r>
      <w:r>
        <w:rPr>
          <w:rFonts w:hint="eastAsia" w:ascii="新宋体" w:hAnsi="新宋体" w:eastAsia="新宋体" w:cs="新宋体"/>
          <w:b/>
          <w:bCs/>
          <w:color w:val="auto"/>
          <w:sz w:val="22"/>
          <w:szCs w:val="22"/>
          <w:highlight w:val="none"/>
          <w:u w:val="single"/>
        </w:rPr>
        <w:t>的报价，有可能影响产品质量或者不能诚信履约的，应当要求其在评标现场合理的时间内提供书面说明，必要时提交相关证明材料；</w:t>
      </w:r>
      <w:r>
        <w:rPr>
          <w:rFonts w:hint="eastAsia" w:ascii="新宋体" w:hAnsi="新宋体" w:eastAsia="新宋体" w:cs="新宋体"/>
          <w:b/>
          <w:bCs/>
          <w:color w:val="auto"/>
          <w:sz w:val="22"/>
          <w:szCs w:val="22"/>
          <w:highlight w:val="none"/>
          <w:u w:val="single"/>
          <w:lang w:val="en-US" w:eastAsia="zh-CN"/>
        </w:rPr>
        <w:t>遴选</w:t>
      </w:r>
      <w:r>
        <w:rPr>
          <w:rFonts w:hint="eastAsia" w:ascii="新宋体" w:hAnsi="新宋体" w:eastAsia="新宋体" w:cs="新宋体"/>
          <w:b/>
          <w:bCs/>
          <w:color w:val="auto"/>
          <w:sz w:val="22"/>
          <w:szCs w:val="22"/>
          <w:highlight w:val="none"/>
          <w:u w:val="single"/>
          <w:lang w:eastAsia="zh-CN"/>
        </w:rPr>
        <w:t>申请人</w:t>
      </w:r>
      <w:r>
        <w:rPr>
          <w:rFonts w:hint="eastAsia" w:ascii="新宋体" w:hAnsi="新宋体" w:eastAsia="新宋体" w:cs="新宋体"/>
          <w:b/>
          <w:bCs/>
          <w:color w:val="auto"/>
          <w:sz w:val="22"/>
          <w:szCs w:val="22"/>
          <w:highlight w:val="none"/>
          <w:u w:val="single"/>
        </w:rPr>
        <w:t>不能证明其报价合理性的，评标委员会应当将其作为无效</w:t>
      </w:r>
      <w:r>
        <w:rPr>
          <w:rFonts w:hint="eastAsia" w:ascii="新宋体" w:hAnsi="新宋体" w:eastAsia="新宋体" w:cs="新宋体"/>
          <w:b/>
          <w:bCs/>
          <w:color w:val="auto"/>
          <w:sz w:val="22"/>
          <w:szCs w:val="22"/>
          <w:highlight w:val="none"/>
          <w:u w:val="single"/>
          <w:lang w:val="en-US" w:eastAsia="zh-CN"/>
        </w:rPr>
        <w:t>遴选</w:t>
      </w:r>
      <w:r>
        <w:rPr>
          <w:rFonts w:hint="eastAsia" w:ascii="新宋体" w:hAnsi="新宋体" w:eastAsia="新宋体" w:cs="新宋体"/>
          <w:b/>
          <w:bCs/>
          <w:color w:val="auto"/>
          <w:sz w:val="22"/>
          <w:szCs w:val="22"/>
          <w:highlight w:val="none"/>
          <w:u w:val="single"/>
        </w:rPr>
        <w:t>处理。</w:t>
      </w:r>
    </w:p>
    <w:p>
      <w:pPr>
        <w:pStyle w:val="8"/>
        <w:rPr>
          <w:rFonts w:hint="eastAsia" w:ascii="新宋体" w:hAnsi="新宋体" w:eastAsia="新宋体" w:cs="新宋体"/>
          <w:b/>
          <w:bCs/>
          <w:color w:val="auto"/>
          <w:sz w:val="22"/>
          <w:szCs w:val="22"/>
          <w:highlight w:val="none"/>
          <w:u w:val="single"/>
        </w:rPr>
      </w:pPr>
    </w:p>
    <w:p>
      <w:pPr>
        <w:pStyle w:val="8"/>
        <w:rPr>
          <w:rFonts w:hint="eastAsia" w:ascii="新宋体" w:hAnsi="新宋体" w:eastAsia="新宋体" w:cs="新宋体"/>
          <w:b/>
          <w:bCs/>
          <w:color w:val="auto"/>
          <w:sz w:val="22"/>
          <w:szCs w:val="22"/>
          <w:highlight w:val="none"/>
          <w:u w:val="single"/>
        </w:rPr>
      </w:pPr>
    </w:p>
    <w:p>
      <w:pPr>
        <w:pStyle w:val="8"/>
        <w:rPr>
          <w:rFonts w:hint="eastAsia" w:ascii="新宋体" w:hAnsi="新宋体" w:eastAsia="新宋体" w:cs="新宋体"/>
          <w:b/>
          <w:bCs/>
          <w:color w:val="auto"/>
          <w:sz w:val="22"/>
          <w:szCs w:val="22"/>
          <w:highlight w:val="none"/>
          <w:u w:val="single"/>
        </w:rPr>
      </w:pPr>
    </w:p>
    <w:p>
      <w:pPr>
        <w:pStyle w:val="8"/>
        <w:rPr>
          <w:rFonts w:hint="eastAsia" w:ascii="新宋体" w:hAnsi="新宋体" w:eastAsia="新宋体" w:cs="新宋体"/>
          <w:b/>
          <w:bCs/>
          <w:color w:val="auto"/>
          <w:sz w:val="22"/>
          <w:szCs w:val="22"/>
          <w:highlight w:val="none"/>
          <w:u w:val="single"/>
        </w:rPr>
      </w:pPr>
    </w:p>
    <w:p>
      <w:pPr>
        <w:pStyle w:val="8"/>
        <w:rPr>
          <w:rFonts w:hint="eastAsia" w:ascii="新宋体" w:hAnsi="新宋体" w:eastAsia="新宋体" w:cs="新宋体"/>
          <w:b/>
          <w:bCs/>
          <w:color w:val="auto"/>
          <w:sz w:val="22"/>
          <w:szCs w:val="22"/>
          <w:highlight w:val="none"/>
          <w:u w:val="single"/>
        </w:rPr>
      </w:pPr>
    </w:p>
    <w:p>
      <w:pPr>
        <w:pStyle w:val="8"/>
        <w:rPr>
          <w:rFonts w:hint="eastAsia" w:ascii="新宋体" w:hAnsi="新宋体" w:eastAsia="新宋体" w:cs="新宋体"/>
          <w:b/>
          <w:bCs/>
          <w:color w:val="auto"/>
          <w:sz w:val="22"/>
          <w:szCs w:val="22"/>
          <w:highlight w:val="none"/>
          <w:u w:val="single"/>
        </w:rPr>
      </w:pPr>
    </w:p>
    <w:p>
      <w:pPr>
        <w:pStyle w:val="8"/>
        <w:rPr>
          <w:rFonts w:hint="eastAsia" w:ascii="新宋体" w:hAnsi="新宋体" w:eastAsia="新宋体" w:cs="新宋体"/>
          <w:b/>
          <w:bCs/>
          <w:color w:val="auto"/>
          <w:sz w:val="22"/>
          <w:szCs w:val="22"/>
          <w:highlight w:val="none"/>
          <w:u w:val="single"/>
        </w:rPr>
      </w:pPr>
    </w:p>
    <w:p>
      <w:pPr>
        <w:pStyle w:val="8"/>
        <w:rPr>
          <w:rFonts w:hint="eastAsia" w:ascii="新宋体" w:hAnsi="新宋体" w:eastAsia="新宋体" w:cs="新宋体"/>
          <w:b/>
          <w:bCs/>
          <w:color w:val="auto"/>
          <w:sz w:val="22"/>
          <w:szCs w:val="22"/>
          <w:highlight w:val="none"/>
          <w:u w:val="single"/>
        </w:rPr>
      </w:pPr>
    </w:p>
    <w:p>
      <w:pPr>
        <w:pStyle w:val="8"/>
        <w:rPr>
          <w:rFonts w:hint="eastAsia" w:ascii="新宋体" w:hAnsi="新宋体" w:eastAsia="新宋体" w:cs="新宋体"/>
          <w:b/>
          <w:bCs/>
          <w:color w:val="auto"/>
          <w:sz w:val="22"/>
          <w:szCs w:val="22"/>
          <w:highlight w:val="none"/>
          <w:u w:val="single"/>
        </w:rPr>
      </w:pPr>
    </w:p>
    <w:p>
      <w:pPr>
        <w:pStyle w:val="8"/>
        <w:rPr>
          <w:rFonts w:hint="eastAsia" w:ascii="新宋体" w:hAnsi="新宋体" w:eastAsia="新宋体" w:cs="新宋体"/>
          <w:b/>
          <w:bCs/>
          <w:color w:val="auto"/>
          <w:sz w:val="22"/>
          <w:szCs w:val="22"/>
          <w:highlight w:val="none"/>
          <w:u w:val="single"/>
        </w:rPr>
      </w:pPr>
    </w:p>
    <w:p>
      <w:pPr>
        <w:pStyle w:val="8"/>
        <w:rPr>
          <w:rFonts w:hint="eastAsia" w:ascii="新宋体" w:hAnsi="新宋体" w:eastAsia="新宋体" w:cs="新宋体"/>
          <w:b/>
          <w:bCs/>
          <w:color w:val="auto"/>
          <w:sz w:val="22"/>
          <w:szCs w:val="22"/>
          <w:highlight w:val="none"/>
          <w:u w:val="single"/>
        </w:rPr>
      </w:pPr>
    </w:p>
    <w:p>
      <w:pPr>
        <w:pStyle w:val="8"/>
        <w:rPr>
          <w:rFonts w:hint="eastAsia" w:ascii="新宋体" w:hAnsi="新宋体" w:eastAsia="新宋体" w:cs="新宋体"/>
          <w:b/>
          <w:bCs/>
          <w:color w:val="auto"/>
          <w:sz w:val="22"/>
          <w:szCs w:val="22"/>
          <w:highlight w:val="none"/>
          <w:u w:val="single"/>
        </w:rPr>
      </w:pPr>
    </w:p>
    <w:p>
      <w:pPr>
        <w:pStyle w:val="8"/>
        <w:rPr>
          <w:rFonts w:hint="eastAsia" w:ascii="新宋体" w:hAnsi="新宋体" w:eastAsia="新宋体" w:cs="新宋体"/>
          <w:b/>
          <w:bCs/>
          <w:color w:val="auto"/>
          <w:sz w:val="22"/>
          <w:szCs w:val="22"/>
          <w:highlight w:val="none"/>
          <w:u w:val="single"/>
        </w:rPr>
      </w:pPr>
    </w:p>
    <w:p>
      <w:pPr>
        <w:pStyle w:val="8"/>
        <w:rPr>
          <w:rFonts w:hint="eastAsia" w:ascii="新宋体" w:hAnsi="新宋体" w:eastAsia="新宋体" w:cs="新宋体"/>
          <w:b/>
          <w:bCs/>
          <w:color w:val="auto"/>
          <w:sz w:val="22"/>
          <w:szCs w:val="22"/>
          <w:highlight w:val="none"/>
          <w:u w:val="single"/>
        </w:rPr>
      </w:pPr>
    </w:p>
    <w:p>
      <w:pPr>
        <w:pStyle w:val="8"/>
        <w:rPr>
          <w:rFonts w:hint="eastAsia" w:ascii="新宋体" w:hAnsi="新宋体" w:eastAsia="新宋体" w:cs="新宋体"/>
          <w:b/>
          <w:bCs/>
          <w:color w:val="auto"/>
          <w:sz w:val="22"/>
          <w:szCs w:val="22"/>
          <w:highlight w:val="none"/>
          <w:u w:val="single"/>
        </w:rPr>
      </w:pPr>
    </w:p>
    <w:p>
      <w:pPr>
        <w:pStyle w:val="8"/>
        <w:ind w:left="0" w:leftChars="0" w:firstLine="0" w:firstLineChars="0"/>
        <w:rPr>
          <w:rFonts w:hint="eastAsia" w:ascii="新宋体" w:hAnsi="新宋体" w:eastAsia="新宋体" w:cs="新宋体"/>
          <w:b/>
          <w:bCs/>
          <w:color w:val="auto"/>
          <w:sz w:val="22"/>
          <w:szCs w:val="22"/>
          <w:highlight w:val="none"/>
          <w:u w:val="single"/>
        </w:rPr>
      </w:pPr>
    </w:p>
    <w:p>
      <w:pPr>
        <w:pStyle w:val="8"/>
        <w:numPr>
          <w:ilvl w:val="0"/>
          <w:numId w:val="4"/>
        </w:numPr>
        <w:ind w:left="0" w:leftChars="0" w:firstLine="0" w:firstLineChars="0"/>
        <w:jc w:val="center"/>
        <w:rPr>
          <w:rStyle w:val="16"/>
          <w:rFonts w:hint="eastAsia" w:ascii="宋体" w:hAnsi="宋体" w:eastAsia="宋体" w:cs="宋体"/>
          <w:color w:val="auto"/>
          <w:lang w:val="en-US" w:eastAsia="zh-CN"/>
        </w:rPr>
      </w:pPr>
      <w:r>
        <w:rPr>
          <w:rStyle w:val="16"/>
          <w:rFonts w:hint="eastAsia" w:ascii="宋体" w:hAnsi="宋体" w:eastAsia="宋体" w:cs="宋体"/>
          <w:color w:val="auto"/>
        </w:rPr>
        <w:t xml:space="preserve">  </w:t>
      </w:r>
      <w:r>
        <w:rPr>
          <w:rStyle w:val="16"/>
          <w:rFonts w:hint="eastAsia" w:ascii="宋体" w:hAnsi="宋体" w:eastAsia="宋体" w:cs="宋体"/>
          <w:color w:val="auto"/>
          <w:lang w:val="en-US" w:eastAsia="zh-CN"/>
        </w:rPr>
        <w:t>附件</w:t>
      </w:r>
    </w:p>
    <w:p>
      <w:pPr>
        <w:pStyle w:val="8"/>
        <w:numPr>
          <w:ilvl w:val="0"/>
          <w:numId w:val="0"/>
        </w:numPr>
        <w:ind w:leftChars="0"/>
        <w:jc w:val="both"/>
        <w:rPr>
          <w:rStyle w:val="16"/>
          <w:rFonts w:hint="eastAsia" w:ascii="宋体" w:hAnsi="宋体" w:eastAsia="宋体" w:cs="宋体"/>
          <w:color w:val="auto"/>
          <w:sz w:val="24"/>
          <w:szCs w:val="24"/>
          <w:lang w:val="en-US" w:eastAsia="zh-CN"/>
        </w:rPr>
      </w:pPr>
      <w:r>
        <w:rPr>
          <w:rStyle w:val="16"/>
          <w:rFonts w:hint="eastAsia" w:ascii="宋体" w:hAnsi="宋体" w:eastAsia="宋体" w:cs="宋体"/>
          <w:color w:val="auto"/>
          <w:sz w:val="24"/>
          <w:szCs w:val="24"/>
          <w:lang w:val="en-US" w:eastAsia="zh-CN"/>
        </w:rPr>
        <w:t>1、技术评分：满分70分</w:t>
      </w:r>
    </w:p>
    <w:tbl>
      <w:tblPr>
        <w:tblStyle w:val="10"/>
        <w:tblW w:w="1059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830"/>
        <w:gridCol w:w="1465"/>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050" w:type="dxa"/>
            <w:noWrap w:val="0"/>
            <w:vAlign w:val="center"/>
          </w:tcPr>
          <w:p>
            <w:pPr>
              <w:widowControl/>
              <w:spacing w:line="240" w:lineRule="auto"/>
              <w:ind w:left="-50" w:leftChars="0"/>
              <w:jc w:val="center"/>
              <w:rPr>
                <w:b/>
                <w:bCs/>
                <w:sz w:val="22"/>
                <w:szCs w:val="22"/>
              </w:rPr>
            </w:pPr>
            <w:r>
              <w:rPr>
                <w:rFonts w:hint="eastAsia" w:ascii="新宋体" w:hAnsi="新宋体" w:eastAsia="新宋体" w:cs="新宋体"/>
                <w:b/>
                <w:bCs/>
                <w:sz w:val="22"/>
                <w:szCs w:val="22"/>
              </w:rPr>
              <w:t>序号</w:t>
            </w:r>
          </w:p>
        </w:tc>
        <w:tc>
          <w:tcPr>
            <w:tcW w:w="1830" w:type="dxa"/>
            <w:noWrap w:val="0"/>
            <w:vAlign w:val="center"/>
          </w:tcPr>
          <w:p>
            <w:pPr>
              <w:widowControl/>
              <w:spacing w:line="240" w:lineRule="auto"/>
              <w:ind w:left="-50" w:leftChars="0"/>
              <w:jc w:val="center"/>
              <w:rPr>
                <w:rFonts w:hint="eastAsia" w:eastAsia="宋体"/>
                <w:b/>
                <w:bCs/>
                <w:sz w:val="22"/>
                <w:szCs w:val="22"/>
                <w:lang w:val="en-US" w:eastAsia="zh-CN"/>
              </w:rPr>
            </w:pPr>
            <w:r>
              <w:rPr>
                <w:rFonts w:hint="eastAsia" w:ascii="新宋体" w:hAnsi="新宋体" w:eastAsia="新宋体" w:cs="新宋体"/>
                <w:b/>
                <w:bCs/>
                <w:sz w:val="22"/>
                <w:szCs w:val="22"/>
              </w:rPr>
              <w:t>评分内容</w:t>
            </w:r>
          </w:p>
        </w:tc>
        <w:tc>
          <w:tcPr>
            <w:tcW w:w="1465" w:type="dxa"/>
            <w:noWrap w:val="0"/>
            <w:vAlign w:val="center"/>
          </w:tcPr>
          <w:p>
            <w:pPr>
              <w:widowControl/>
              <w:spacing w:line="240" w:lineRule="auto"/>
              <w:ind w:left="-50" w:leftChars="0"/>
              <w:jc w:val="center"/>
              <w:rPr>
                <w:rFonts w:hint="eastAsia" w:eastAsia="宋体"/>
                <w:b/>
                <w:bCs/>
                <w:sz w:val="22"/>
                <w:szCs w:val="22"/>
                <w:lang w:eastAsia="zh-CN"/>
              </w:rPr>
            </w:pPr>
            <w:r>
              <w:rPr>
                <w:rFonts w:hint="eastAsia" w:ascii="新宋体" w:hAnsi="新宋体" w:eastAsia="新宋体" w:cs="新宋体"/>
                <w:b/>
                <w:bCs/>
                <w:sz w:val="22"/>
                <w:szCs w:val="22"/>
              </w:rPr>
              <w:t>分数值</w:t>
            </w:r>
          </w:p>
        </w:tc>
        <w:tc>
          <w:tcPr>
            <w:tcW w:w="6245" w:type="dxa"/>
            <w:noWrap w:val="0"/>
            <w:vAlign w:val="center"/>
          </w:tcPr>
          <w:p>
            <w:pPr>
              <w:widowControl/>
              <w:spacing w:line="240" w:lineRule="auto"/>
              <w:ind w:left="-50" w:leftChars="0"/>
              <w:jc w:val="center"/>
              <w:rPr>
                <w:b/>
                <w:bCs/>
                <w:sz w:val="22"/>
                <w:szCs w:val="22"/>
              </w:rPr>
            </w:pPr>
            <w:r>
              <w:rPr>
                <w:rFonts w:hint="eastAsia" w:ascii="新宋体" w:hAnsi="新宋体" w:eastAsia="新宋体" w:cs="新宋体"/>
                <w:b/>
                <w:bCs/>
                <w:sz w:val="22"/>
                <w:szCs w:val="22"/>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050" w:type="dxa"/>
            <w:noWrap w:val="0"/>
            <w:vAlign w:val="center"/>
          </w:tcPr>
          <w:p>
            <w:pPr>
              <w:spacing w:line="240" w:lineRule="auto"/>
              <w:ind w:left="-50" w:leftChars="0"/>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1</w:t>
            </w:r>
          </w:p>
        </w:tc>
        <w:tc>
          <w:tcPr>
            <w:tcW w:w="1830" w:type="dxa"/>
            <w:noWrap w:val="0"/>
            <w:vAlign w:val="center"/>
          </w:tcPr>
          <w:p>
            <w:pPr>
              <w:spacing w:line="240" w:lineRule="auto"/>
              <w:ind w:left="-50" w:leftChars="0"/>
              <w:jc w:val="center"/>
              <w:rPr>
                <w:rFonts w:hint="default" w:ascii="宋体" w:hAnsi="宋体" w:eastAsia="宋体" w:cs="宋体"/>
                <w:bCs/>
                <w:sz w:val="22"/>
                <w:szCs w:val="22"/>
                <w:lang w:val="en-US" w:eastAsia="zh-CN"/>
              </w:rPr>
            </w:pPr>
            <w:r>
              <w:rPr>
                <w:rFonts w:hint="eastAsia" w:ascii="宋体" w:hAnsi="宋体" w:cs="宋体"/>
                <w:bCs/>
                <w:sz w:val="22"/>
                <w:szCs w:val="22"/>
                <w:lang w:val="en-US" w:eastAsia="zh-CN"/>
              </w:rPr>
              <w:t>企业资质</w:t>
            </w:r>
          </w:p>
        </w:tc>
        <w:tc>
          <w:tcPr>
            <w:tcW w:w="1465" w:type="dxa"/>
            <w:noWrap w:val="0"/>
            <w:vAlign w:val="center"/>
          </w:tcPr>
          <w:p>
            <w:pPr>
              <w:spacing w:line="24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0-8</w:t>
            </w:r>
          </w:p>
        </w:tc>
        <w:tc>
          <w:tcPr>
            <w:tcW w:w="6245" w:type="dxa"/>
            <w:noWrap w:val="0"/>
            <w:vAlign w:val="center"/>
          </w:tcPr>
          <w:p>
            <w:pPr>
              <w:pStyle w:val="12"/>
              <w:spacing w:line="240" w:lineRule="auto"/>
              <w:ind w:firstLine="0" w:firstLineChars="0"/>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rPr>
              <w:t>营业执照具备柴油或成品油销售相关经营范围;</w:t>
            </w:r>
          </w:p>
          <w:p>
            <w:pPr>
              <w:pStyle w:val="12"/>
              <w:spacing w:line="240" w:lineRule="auto"/>
              <w:ind w:firstLine="0" w:firstLineChars="0"/>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w:t>
            </w:r>
            <w:r>
              <w:rPr>
                <w:rFonts w:hint="eastAsia" w:ascii="宋体" w:hAnsi="宋体" w:eastAsia="宋体" w:cs="宋体"/>
                <w:sz w:val="22"/>
                <w:szCs w:val="22"/>
              </w:rPr>
              <w:t>具有有效的《道路危险货物运输许可证》或《道路运输经营许可证》(涵盖危险货物运输)</w:t>
            </w:r>
          </w:p>
          <w:p>
            <w:pPr>
              <w:pStyle w:val="12"/>
              <w:spacing w:line="240" w:lineRule="auto"/>
              <w:ind w:firstLine="0" w:firstLineChars="0"/>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3）</w:t>
            </w:r>
            <w:r>
              <w:rPr>
                <w:rFonts w:hint="eastAsia" w:ascii="宋体" w:hAnsi="宋体" w:eastAsia="宋体" w:cs="宋体"/>
                <w:sz w:val="22"/>
                <w:szCs w:val="22"/>
              </w:rPr>
              <w:t>具有&lt;危险化学品经营许可证》;</w:t>
            </w:r>
          </w:p>
          <w:p>
            <w:pPr>
              <w:pStyle w:val="12"/>
              <w:spacing w:line="240" w:lineRule="auto"/>
              <w:ind w:left="0" w:leftChars="0" w:firstLine="0" w:firstLineChars="0"/>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4）</w:t>
            </w:r>
            <w:r>
              <w:rPr>
                <w:rFonts w:hint="eastAsia" w:ascii="宋体" w:hAnsi="宋体" w:eastAsia="宋体" w:cs="宋体"/>
                <w:sz w:val="22"/>
                <w:szCs w:val="22"/>
              </w:rPr>
              <w:t>具有《成品油批发经营批准证书》或《成品油零售经营批准证书》。</w:t>
            </w:r>
          </w:p>
          <w:p>
            <w:pPr>
              <w:pStyle w:val="13"/>
              <w:spacing w:line="240" w:lineRule="auto"/>
              <w:ind w:left="-50" w:leftChars="0"/>
              <w:rPr>
                <w:rFonts w:hint="eastAsia"/>
                <w:lang w:val="en-US" w:eastAsia="zh-CN"/>
              </w:rPr>
            </w:pPr>
            <w:r>
              <w:rPr>
                <w:rFonts w:hint="eastAsia" w:ascii="宋体" w:hAnsi="宋体" w:cs="Arial"/>
                <w:bCs/>
                <w:snapToGrid w:val="0"/>
                <w:sz w:val="22"/>
                <w:szCs w:val="22"/>
                <w:lang w:val="en-US" w:eastAsia="zh-CN"/>
              </w:rPr>
              <w:t>注：每提供1项证书得2分，</w:t>
            </w:r>
            <w:r>
              <w:rPr>
                <w:rFonts w:hint="eastAsia" w:ascii="宋体" w:hAnsi="宋体" w:cs="Arial"/>
                <w:bCs/>
                <w:snapToGrid w:val="0"/>
                <w:sz w:val="22"/>
                <w:szCs w:val="22"/>
              </w:rPr>
              <w:t>需提供</w:t>
            </w:r>
            <w:r>
              <w:rPr>
                <w:rFonts w:hint="eastAsia" w:ascii="宋体" w:hAnsi="宋体" w:cs="Arial"/>
                <w:bCs/>
                <w:snapToGrid w:val="0"/>
                <w:sz w:val="22"/>
                <w:szCs w:val="22"/>
                <w:lang w:val="en-US" w:eastAsia="zh-CN"/>
              </w:rPr>
              <w:t>有效期内的证书</w:t>
            </w:r>
            <w:r>
              <w:rPr>
                <w:rFonts w:hint="eastAsia" w:ascii="宋体" w:hAnsi="宋体" w:cs="Arial"/>
                <w:bCs/>
                <w:snapToGrid w:val="0"/>
                <w:sz w:val="22"/>
                <w:szCs w:val="22"/>
              </w:rPr>
              <w:t>扫描件加盖</w:t>
            </w:r>
            <w:r>
              <w:rPr>
                <w:rFonts w:hint="eastAsia" w:ascii="宋体" w:hAnsi="宋体" w:cs="Arial"/>
                <w:bCs/>
                <w:snapToGrid w:val="0"/>
                <w:sz w:val="22"/>
                <w:szCs w:val="22"/>
                <w:lang w:val="en-US" w:eastAsia="zh-CN"/>
              </w:rPr>
              <w:t>投标人</w:t>
            </w:r>
            <w:r>
              <w:rPr>
                <w:rFonts w:hint="eastAsia" w:ascii="宋体" w:hAnsi="宋体" w:cs="Arial"/>
                <w:bCs/>
                <w:snapToGrid w:val="0"/>
                <w:sz w:val="22"/>
                <w:szCs w:val="22"/>
              </w:rPr>
              <w:t>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050" w:type="dxa"/>
            <w:noWrap w:val="0"/>
            <w:vAlign w:val="center"/>
          </w:tcPr>
          <w:p>
            <w:pPr>
              <w:spacing w:line="240" w:lineRule="auto"/>
              <w:ind w:left="-50" w:leftChars="0"/>
              <w:jc w:val="center"/>
              <w:rPr>
                <w:rFonts w:hint="eastAsia" w:eastAsia="宋体"/>
                <w:sz w:val="22"/>
                <w:szCs w:val="22"/>
                <w:lang w:eastAsia="zh-CN"/>
              </w:rPr>
            </w:pPr>
            <w:r>
              <w:rPr>
                <w:rFonts w:hint="eastAsia" w:ascii="宋体" w:hAnsi="宋体" w:cs="宋体"/>
                <w:sz w:val="22"/>
                <w:szCs w:val="22"/>
                <w:lang w:val="en-US" w:eastAsia="zh-CN"/>
              </w:rPr>
              <w:t>2</w:t>
            </w:r>
          </w:p>
        </w:tc>
        <w:tc>
          <w:tcPr>
            <w:tcW w:w="1830" w:type="dxa"/>
            <w:noWrap w:val="0"/>
            <w:vAlign w:val="center"/>
          </w:tcPr>
          <w:p>
            <w:pPr>
              <w:spacing w:line="240" w:lineRule="auto"/>
              <w:ind w:left="-50" w:leftChars="0"/>
              <w:jc w:val="center"/>
              <w:rPr>
                <w:rFonts w:hint="eastAsia" w:ascii="宋体" w:hAnsi="宋体" w:eastAsia="宋体" w:cs="宋体"/>
                <w:sz w:val="21"/>
                <w:szCs w:val="21"/>
                <w:lang w:val="en-US" w:eastAsia="zh-CN"/>
              </w:rPr>
            </w:pPr>
            <w:r>
              <w:rPr>
                <w:rFonts w:hint="eastAsia" w:ascii="宋体" w:hAnsi="宋体" w:cs="宋体"/>
                <w:bCs/>
                <w:sz w:val="22"/>
                <w:szCs w:val="22"/>
              </w:rPr>
              <w:t>综合实力</w:t>
            </w:r>
          </w:p>
        </w:tc>
        <w:tc>
          <w:tcPr>
            <w:tcW w:w="1465" w:type="dxa"/>
            <w:noWrap w:val="0"/>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2"/>
                <w:szCs w:val="22"/>
                <w:lang w:val="en-US" w:eastAsia="zh-CN"/>
              </w:rPr>
              <w:t>0-6</w:t>
            </w:r>
          </w:p>
        </w:tc>
        <w:tc>
          <w:tcPr>
            <w:tcW w:w="6245" w:type="dxa"/>
            <w:noWrap w:val="0"/>
            <w:vAlign w:val="center"/>
          </w:tcPr>
          <w:p>
            <w:pPr>
              <w:spacing w:line="240" w:lineRule="auto"/>
              <w:ind w:left="-50" w:leftChars="0"/>
              <w:rPr>
                <w:rFonts w:hint="eastAsia" w:ascii="宋体" w:hAnsi="宋体" w:cs="Arial"/>
                <w:bCs/>
                <w:snapToGrid w:val="0"/>
                <w:sz w:val="22"/>
                <w:szCs w:val="22"/>
              </w:rPr>
            </w:pPr>
            <w:r>
              <w:rPr>
                <w:rFonts w:hint="eastAsia" w:ascii="宋体" w:hAnsi="宋体" w:cs="Arial"/>
                <w:bCs/>
                <w:snapToGrid w:val="0"/>
                <w:sz w:val="22"/>
                <w:szCs w:val="22"/>
              </w:rPr>
              <w:t>根据投标人提供的本地化配送的能力进行综合横向评分</w:t>
            </w:r>
            <w:r>
              <w:rPr>
                <w:rFonts w:hint="eastAsia" w:ascii="宋体" w:hAnsi="宋体" w:cs="Arial"/>
                <w:bCs/>
                <w:snapToGrid w:val="0"/>
                <w:sz w:val="22"/>
                <w:szCs w:val="22"/>
                <w:lang w:eastAsia="zh-CN"/>
              </w:rPr>
              <w:t>（</w:t>
            </w:r>
            <w:r>
              <w:rPr>
                <w:rFonts w:hint="eastAsia" w:ascii="宋体" w:hAnsi="宋体" w:cs="Arial"/>
                <w:bCs/>
                <w:snapToGrid w:val="0"/>
                <w:sz w:val="22"/>
                <w:szCs w:val="22"/>
                <w:lang w:val="en-US" w:eastAsia="zh-CN"/>
              </w:rPr>
              <w:t>0-4分</w:t>
            </w:r>
            <w:r>
              <w:rPr>
                <w:rFonts w:hint="eastAsia" w:ascii="宋体" w:hAnsi="宋体" w:cs="Arial"/>
                <w:bCs/>
                <w:snapToGrid w:val="0"/>
                <w:sz w:val="22"/>
                <w:szCs w:val="22"/>
                <w:lang w:eastAsia="zh-CN"/>
              </w:rPr>
              <w:t>）</w:t>
            </w:r>
            <w:r>
              <w:rPr>
                <w:rFonts w:hint="eastAsia" w:ascii="宋体" w:hAnsi="宋体" w:cs="Arial"/>
                <w:bCs/>
                <w:snapToGrid w:val="0"/>
                <w:sz w:val="22"/>
                <w:szCs w:val="22"/>
              </w:rPr>
              <w:t>。</w:t>
            </w:r>
          </w:p>
          <w:p>
            <w:pPr>
              <w:spacing w:line="240" w:lineRule="auto"/>
              <w:ind w:left="-50" w:leftChars="0"/>
              <w:rPr>
                <w:rFonts w:hint="eastAsia"/>
                <w:sz w:val="22"/>
                <w:szCs w:val="22"/>
              </w:rPr>
            </w:pPr>
            <w:r>
              <w:rPr>
                <w:rFonts w:hint="eastAsia" w:ascii="宋体" w:hAnsi="宋体" w:cs="Arial"/>
                <w:bCs/>
                <w:snapToGrid w:val="0"/>
                <w:sz w:val="22"/>
                <w:szCs w:val="22"/>
                <w:lang w:val="en-US" w:eastAsia="zh-CN"/>
              </w:rPr>
              <w:t>A档：6-4分；B档：4-2分；C档：2-0分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1050" w:type="dxa"/>
            <w:noWrap w:val="0"/>
            <w:vAlign w:val="center"/>
          </w:tcPr>
          <w:p>
            <w:pPr>
              <w:spacing w:line="240" w:lineRule="auto"/>
              <w:ind w:left="-50" w:leftChars="0"/>
              <w:jc w:val="center"/>
              <w:rPr>
                <w:rFonts w:hint="eastAsia" w:eastAsia="宋体"/>
                <w:sz w:val="22"/>
                <w:szCs w:val="22"/>
                <w:lang w:val="en-US" w:eastAsia="zh-CN"/>
              </w:rPr>
            </w:pPr>
            <w:r>
              <w:rPr>
                <w:rFonts w:hint="eastAsia" w:ascii="宋体" w:hAnsi="宋体" w:cs="宋体"/>
                <w:sz w:val="22"/>
                <w:szCs w:val="22"/>
                <w:lang w:val="en-US" w:eastAsia="zh-CN"/>
              </w:rPr>
              <w:t>3</w:t>
            </w:r>
          </w:p>
        </w:tc>
        <w:tc>
          <w:tcPr>
            <w:tcW w:w="1830" w:type="dxa"/>
            <w:noWrap w:val="0"/>
            <w:vAlign w:val="center"/>
          </w:tcPr>
          <w:p>
            <w:pPr>
              <w:spacing w:line="240" w:lineRule="auto"/>
              <w:ind w:left="-50" w:leftChars="0"/>
              <w:jc w:val="center"/>
              <w:rPr>
                <w:rFonts w:hint="eastAsia" w:ascii="宋体" w:hAnsi="宋体" w:eastAsia="宋体" w:cs="宋体"/>
                <w:sz w:val="21"/>
                <w:szCs w:val="21"/>
              </w:rPr>
            </w:pPr>
            <w:r>
              <w:rPr>
                <w:rFonts w:hint="eastAsia" w:ascii="宋体" w:hAnsi="宋体" w:cs="宋体"/>
                <w:sz w:val="22"/>
                <w:szCs w:val="22"/>
              </w:rPr>
              <w:t>提供产品的技术要求与招标文件的符合性</w:t>
            </w:r>
          </w:p>
        </w:tc>
        <w:tc>
          <w:tcPr>
            <w:tcW w:w="1465" w:type="dxa"/>
            <w:noWrap w:val="0"/>
            <w:vAlign w:val="center"/>
          </w:tcPr>
          <w:p>
            <w:pPr>
              <w:spacing w:line="240" w:lineRule="auto"/>
              <w:jc w:val="center"/>
              <w:rPr>
                <w:rFonts w:hint="default" w:ascii="宋体" w:hAnsi="宋体" w:eastAsia="宋体" w:cs="宋体"/>
                <w:sz w:val="21"/>
                <w:szCs w:val="21"/>
                <w:lang w:val="en-US"/>
              </w:rPr>
            </w:pPr>
            <w:r>
              <w:rPr>
                <w:rFonts w:hint="eastAsia" w:ascii="宋体" w:hAnsi="宋体" w:cs="宋体"/>
                <w:sz w:val="22"/>
                <w:szCs w:val="22"/>
                <w:lang w:val="en-US" w:eastAsia="zh-CN"/>
              </w:rPr>
              <w:t>0-26</w:t>
            </w:r>
          </w:p>
        </w:tc>
        <w:tc>
          <w:tcPr>
            <w:tcW w:w="6245" w:type="dxa"/>
            <w:noWrap w:val="0"/>
            <w:vAlign w:val="center"/>
          </w:tcPr>
          <w:p>
            <w:pPr>
              <w:spacing w:line="240" w:lineRule="auto"/>
              <w:ind w:left="-50" w:leftChars="0"/>
              <w:rPr>
                <w:rFonts w:hint="eastAsia" w:ascii="宋体" w:hAnsi="宋体" w:eastAsia="宋体" w:cs="Arial"/>
                <w:bCs/>
                <w:snapToGrid w:val="0"/>
                <w:sz w:val="22"/>
                <w:szCs w:val="22"/>
                <w:lang w:val="en-US" w:eastAsia="zh-CN"/>
              </w:rPr>
            </w:pPr>
            <w:r>
              <w:rPr>
                <w:rFonts w:hint="default" w:ascii="Times New Roman" w:hAnsi="Times New Roman" w:eastAsia="新宋体" w:cs="Times New Roman"/>
                <w:color w:val="auto"/>
                <w:sz w:val="22"/>
                <w:szCs w:val="22"/>
                <w:highlight w:val="none"/>
              </w:rPr>
              <w:t>与</w:t>
            </w:r>
            <w:r>
              <w:rPr>
                <w:rFonts w:hint="eastAsia" w:ascii="Times New Roman" w:hAnsi="Times New Roman" w:eastAsia="新宋体" w:cs="Times New Roman"/>
                <w:color w:val="auto"/>
                <w:sz w:val="22"/>
                <w:szCs w:val="22"/>
                <w:highlight w:val="none"/>
                <w:lang w:val="en-US" w:eastAsia="zh-CN"/>
              </w:rPr>
              <w:t>招标</w:t>
            </w:r>
            <w:r>
              <w:rPr>
                <w:rFonts w:hint="default" w:ascii="Times New Roman" w:hAnsi="Times New Roman" w:eastAsia="新宋体" w:cs="Times New Roman"/>
                <w:color w:val="auto"/>
                <w:sz w:val="22"/>
                <w:szCs w:val="22"/>
                <w:highlight w:val="none"/>
              </w:rPr>
              <w:t>文件</w:t>
            </w:r>
            <w:r>
              <w:rPr>
                <w:rFonts w:hint="eastAsia" w:ascii="Times New Roman" w:hAnsi="Times New Roman" w:eastAsia="新宋体" w:cs="Times New Roman"/>
                <w:color w:val="auto"/>
                <w:sz w:val="22"/>
                <w:szCs w:val="22"/>
                <w:highlight w:val="none"/>
                <w:lang w:eastAsia="zh-CN"/>
              </w:rPr>
              <w:t>中</w:t>
            </w:r>
            <w:r>
              <w:rPr>
                <w:rFonts w:hint="eastAsia" w:ascii="Times New Roman" w:hAnsi="Times New Roman" w:eastAsia="新宋体" w:cs="Times New Roman"/>
                <w:color w:val="auto"/>
                <w:sz w:val="22"/>
                <w:szCs w:val="22"/>
                <w:highlight w:val="none"/>
                <w:lang w:val="en-US" w:eastAsia="zh-CN"/>
              </w:rPr>
              <w:t>产品</w:t>
            </w:r>
            <w:r>
              <w:rPr>
                <w:rFonts w:hint="default" w:ascii="Times New Roman" w:hAnsi="Times New Roman" w:eastAsia="新宋体" w:cs="Times New Roman"/>
                <w:color w:val="auto"/>
                <w:sz w:val="22"/>
                <w:szCs w:val="22"/>
                <w:highlight w:val="none"/>
              </w:rPr>
              <w:t>技术规格及配置、商务要求对比，一项指标负偏离扣</w:t>
            </w:r>
            <w:r>
              <w:rPr>
                <w:rFonts w:hint="eastAsia" w:ascii="Times New Roman" w:hAnsi="Times New Roman" w:eastAsia="新宋体" w:cs="Times New Roman"/>
                <w:color w:val="auto"/>
                <w:sz w:val="22"/>
                <w:szCs w:val="22"/>
                <w:highlight w:val="none"/>
                <w:lang w:val="en-US" w:eastAsia="zh-CN"/>
              </w:rPr>
              <w:t>2</w:t>
            </w:r>
            <w:r>
              <w:rPr>
                <w:rFonts w:hint="default" w:ascii="Times New Roman" w:hAnsi="Times New Roman" w:eastAsia="新宋体" w:cs="Times New Roman"/>
                <w:color w:val="auto"/>
                <w:sz w:val="22"/>
                <w:szCs w:val="22"/>
                <w:highlight w:val="none"/>
              </w:rPr>
              <w:t>分，扣完为止</w:t>
            </w:r>
            <w:r>
              <w:rPr>
                <w:rFonts w:hint="default" w:ascii="Times New Roman" w:hAnsi="Times New Roman" w:eastAsia="新宋体" w:cs="Times New Roman"/>
                <w:color w:val="auto"/>
                <w:sz w:val="22"/>
                <w:szCs w:val="22"/>
                <w:highlight w:val="none"/>
                <w:lang w:eastAsia="zh-CN"/>
              </w:rPr>
              <w:t>。</w:t>
            </w:r>
          </w:p>
          <w:p>
            <w:pPr>
              <w:spacing w:line="240" w:lineRule="auto"/>
              <w:ind w:left="-50" w:leftChars="0"/>
              <w:rPr>
                <w:rFonts w:hint="default" w:eastAsia="宋体"/>
                <w:sz w:val="22"/>
                <w:szCs w:val="22"/>
                <w:lang w:val="en-US" w:eastAsia="zh-CN"/>
              </w:rPr>
            </w:pPr>
            <w:r>
              <w:rPr>
                <w:rFonts w:hint="eastAsia" w:ascii="宋体" w:hAnsi="宋体" w:eastAsia="宋体" w:cs="Arial"/>
                <w:bCs/>
                <w:snapToGrid w:val="0"/>
                <w:sz w:val="22"/>
                <w:szCs w:val="22"/>
                <w:lang w:val="en-US" w:eastAsia="zh-CN"/>
              </w:rPr>
              <w:t>注：需提供近半年内由检测机构出具的检验报告扫描件加盖投标人公章，否则不得分。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050" w:type="dxa"/>
            <w:noWrap w:val="0"/>
            <w:vAlign w:val="center"/>
          </w:tcPr>
          <w:p>
            <w:pPr>
              <w:spacing w:line="240" w:lineRule="auto"/>
              <w:ind w:left="-50" w:leftChars="0"/>
              <w:jc w:val="center"/>
              <w:rPr>
                <w:rFonts w:hint="eastAsia" w:eastAsia="宋体"/>
                <w:sz w:val="22"/>
                <w:szCs w:val="22"/>
                <w:lang w:val="en-US" w:eastAsia="zh-CN"/>
              </w:rPr>
            </w:pPr>
            <w:r>
              <w:rPr>
                <w:rFonts w:hint="eastAsia" w:ascii="宋体" w:hAnsi="宋体" w:cs="宋体"/>
                <w:color w:val="auto"/>
                <w:sz w:val="22"/>
                <w:szCs w:val="22"/>
                <w:highlight w:val="none"/>
                <w:lang w:val="en-US" w:eastAsia="zh-CN"/>
              </w:rPr>
              <w:t>4</w:t>
            </w:r>
          </w:p>
        </w:tc>
        <w:tc>
          <w:tcPr>
            <w:tcW w:w="1830" w:type="dxa"/>
            <w:noWrap w:val="0"/>
            <w:vAlign w:val="center"/>
          </w:tcPr>
          <w:p>
            <w:pPr>
              <w:spacing w:line="240" w:lineRule="auto"/>
              <w:ind w:left="-50" w:leftChars="0"/>
              <w:jc w:val="center"/>
              <w:rPr>
                <w:rFonts w:hint="eastAsia" w:ascii="宋体" w:hAnsi="宋体" w:eastAsia="宋体" w:cs="宋体"/>
                <w:sz w:val="21"/>
                <w:szCs w:val="21"/>
                <w:lang w:val="en-US" w:eastAsia="zh-CN"/>
              </w:rPr>
            </w:pPr>
            <w:r>
              <w:rPr>
                <w:rFonts w:hint="eastAsia" w:ascii="宋体" w:hAnsi="宋体" w:cs="宋体"/>
                <w:color w:val="auto"/>
                <w:sz w:val="22"/>
                <w:szCs w:val="22"/>
                <w:highlight w:val="none"/>
              </w:rPr>
              <w:t>样品质量水平</w:t>
            </w:r>
          </w:p>
        </w:tc>
        <w:tc>
          <w:tcPr>
            <w:tcW w:w="1465" w:type="dxa"/>
            <w:noWrap w:val="0"/>
            <w:vAlign w:val="center"/>
          </w:tcPr>
          <w:p>
            <w:pPr>
              <w:spacing w:line="240" w:lineRule="auto"/>
              <w:jc w:val="center"/>
              <w:rPr>
                <w:rFonts w:hint="default" w:ascii="宋体" w:hAnsi="宋体" w:eastAsia="宋体" w:cs="宋体"/>
                <w:sz w:val="21"/>
                <w:szCs w:val="21"/>
                <w:lang w:val="en-US"/>
              </w:rPr>
            </w:pPr>
            <w:r>
              <w:rPr>
                <w:rFonts w:hint="eastAsia" w:ascii="宋体" w:hAnsi="宋体" w:cs="宋体"/>
                <w:color w:val="auto"/>
                <w:sz w:val="22"/>
                <w:szCs w:val="22"/>
                <w:highlight w:val="none"/>
                <w:lang w:val="en-US" w:eastAsia="zh-CN"/>
              </w:rPr>
              <w:t>0-10</w:t>
            </w:r>
          </w:p>
        </w:tc>
        <w:tc>
          <w:tcPr>
            <w:tcW w:w="6245" w:type="dxa"/>
            <w:noWrap w:val="0"/>
            <w:vAlign w:val="center"/>
          </w:tcPr>
          <w:p>
            <w:pPr>
              <w:spacing w:line="240" w:lineRule="auto"/>
              <w:ind w:left="-50" w:leftChars="0"/>
              <w:rPr>
                <w:rFonts w:hint="eastAsia" w:ascii="宋体" w:hAnsi="宋体" w:cs="Arial"/>
                <w:bCs/>
                <w:snapToGrid w:val="0"/>
                <w:color w:val="auto"/>
                <w:sz w:val="22"/>
                <w:szCs w:val="22"/>
                <w:highlight w:val="none"/>
                <w:lang w:eastAsia="zh-CN"/>
              </w:rPr>
            </w:pPr>
            <w:r>
              <w:rPr>
                <w:rFonts w:hint="eastAsia" w:ascii="宋体" w:hAnsi="宋体" w:cs="Arial"/>
                <w:bCs/>
                <w:snapToGrid w:val="0"/>
                <w:color w:val="auto"/>
                <w:sz w:val="22"/>
                <w:szCs w:val="22"/>
                <w:highlight w:val="none"/>
                <w:lang w:val="en-US" w:eastAsia="zh-CN"/>
              </w:rPr>
              <w:t>投标0号柴</w:t>
            </w:r>
            <w:r>
              <w:rPr>
                <w:rFonts w:hint="eastAsia" w:ascii="宋体" w:hAnsi="宋体" w:cs="Arial"/>
                <w:bCs/>
                <w:snapToGrid w:val="0"/>
                <w:color w:val="auto"/>
                <w:sz w:val="22"/>
                <w:szCs w:val="22"/>
                <w:highlight w:val="none"/>
              </w:rPr>
              <w:t>油</w:t>
            </w:r>
            <w:r>
              <w:rPr>
                <w:rFonts w:hint="eastAsia" w:ascii="宋体" w:hAnsi="宋体" w:cs="Arial"/>
                <w:bCs/>
                <w:snapToGrid w:val="0"/>
                <w:color w:val="auto"/>
                <w:sz w:val="22"/>
                <w:szCs w:val="22"/>
                <w:highlight w:val="none"/>
                <w:lang w:val="en-US" w:eastAsia="zh-CN"/>
              </w:rPr>
              <w:t>的</w:t>
            </w:r>
            <w:r>
              <w:rPr>
                <w:rFonts w:hint="eastAsia" w:ascii="宋体" w:hAnsi="宋体" w:cs="Arial"/>
                <w:bCs/>
                <w:snapToGrid w:val="0"/>
                <w:color w:val="auto"/>
                <w:sz w:val="22"/>
                <w:szCs w:val="22"/>
                <w:highlight w:val="none"/>
              </w:rPr>
              <w:t>品牌</w:t>
            </w:r>
            <w:r>
              <w:rPr>
                <w:rFonts w:hint="eastAsia" w:ascii="宋体" w:hAnsi="宋体" w:cs="Arial"/>
                <w:bCs/>
                <w:snapToGrid w:val="0"/>
                <w:color w:val="auto"/>
                <w:sz w:val="22"/>
                <w:szCs w:val="22"/>
                <w:highlight w:val="none"/>
                <w:lang w:eastAsia="zh-CN"/>
              </w:rPr>
              <w:t>、</w:t>
            </w:r>
            <w:r>
              <w:rPr>
                <w:rFonts w:hint="eastAsia" w:ascii="宋体" w:hAnsi="宋体" w:cs="Arial"/>
                <w:bCs/>
                <w:snapToGrid w:val="0"/>
                <w:color w:val="auto"/>
                <w:sz w:val="22"/>
                <w:szCs w:val="22"/>
                <w:highlight w:val="none"/>
                <w:lang w:val="en-US" w:eastAsia="zh-CN"/>
              </w:rPr>
              <w:t>包装、色泽</w:t>
            </w:r>
            <w:r>
              <w:rPr>
                <w:rFonts w:hint="eastAsia" w:ascii="宋体" w:hAnsi="宋体" w:cs="Arial"/>
                <w:bCs/>
                <w:snapToGrid w:val="0"/>
                <w:color w:val="auto"/>
                <w:sz w:val="22"/>
                <w:szCs w:val="22"/>
                <w:highlight w:val="none"/>
              </w:rPr>
              <w:t>、气味、</w:t>
            </w:r>
            <w:r>
              <w:rPr>
                <w:rFonts w:hint="eastAsia" w:ascii="宋体" w:hAnsi="宋体" w:cs="Arial"/>
                <w:bCs/>
                <w:snapToGrid w:val="0"/>
                <w:color w:val="auto"/>
                <w:sz w:val="22"/>
                <w:szCs w:val="22"/>
                <w:highlight w:val="none"/>
                <w:lang w:val="en-US" w:eastAsia="zh-CN"/>
              </w:rPr>
              <w:t>透明度等情况（注：</w:t>
            </w:r>
            <w:r>
              <w:rPr>
                <w:rFonts w:hint="eastAsia" w:ascii="宋体" w:hAnsi="宋体" w:cs="Arial"/>
                <w:bCs/>
                <w:snapToGrid w:val="0"/>
                <w:color w:val="auto"/>
                <w:sz w:val="22"/>
                <w:szCs w:val="22"/>
                <w:highlight w:val="none"/>
              </w:rPr>
              <w:t>根据样品</w:t>
            </w:r>
            <w:r>
              <w:rPr>
                <w:rFonts w:hint="eastAsia" w:ascii="宋体" w:hAnsi="宋体" w:cs="Arial"/>
                <w:bCs/>
                <w:snapToGrid w:val="0"/>
                <w:color w:val="auto"/>
                <w:sz w:val="22"/>
                <w:szCs w:val="22"/>
                <w:highlight w:val="none"/>
                <w:lang w:val="en-US" w:eastAsia="zh-CN"/>
              </w:rPr>
              <w:t>情况进行综合</w:t>
            </w:r>
            <w:r>
              <w:rPr>
                <w:rFonts w:hint="eastAsia" w:ascii="宋体" w:hAnsi="宋体" w:cs="Arial"/>
                <w:bCs/>
                <w:snapToGrid w:val="0"/>
                <w:color w:val="auto"/>
                <w:sz w:val="22"/>
                <w:szCs w:val="22"/>
                <w:highlight w:val="none"/>
              </w:rPr>
              <w:t>评定</w:t>
            </w:r>
            <w:r>
              <w:rPr>
                <w:rFonts w:hint="eastAsia" w:ascii="宋体" w:hAnsi="宋体" w:cs="Arial"/>
                <w:bCs/>
                <w:snapToGrid w:val="0"/>
                <w:color w:val="auto"/>
                <w:sz w:val="22"/>
                <w:szCs w:val="22"/>
                <w:highlight w:val="none"/>
                <w:lang w:eastAsia="zh-CN"/>
              </w:rPr>
              <w:t>）</w:t>
            </w:r>
          </w:p>
          <w:p>
            <w:pPr>
              <w:spacing w:line="240" w:lineRule="auto"/>
              <w:ind w:left="-50" w:leftChars="0"/>
              <w:rPr>
                <w:rFonts w:hint="default" w:eastAsia="宋体"/>
                <w:sz w:val="22"/>
                <w:szCs w:val="22"/>
                <w:lang w:val="en-US" w:eastAsia="zh-CN"/>
              </w:rPr>
            </w:pPr>
            <w:r>
              <w:rPr>
                <w:rFonts w:hint="eastAsia" w:ascii="宋体" w:hAnsi="宋体" w:cs="Arial"/>
                <w:bCs/>
                <w:snapToGrid w:val="0"/>
                <w:color w:val="auto"/>
                <w:sz w:val="22"/>
                <w:szCs w:val="22"/>
                <w:highlight w:val="none"/>
                <w:lang w:val="en-US" w:eastAsia="zh-CN"/>
              </w:rPr>
              <w:t>A档：10-7分；B档：7-4分；C档：4-0分。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50" w:type="dxa"/>
            <w:noWrap w:val="0"/>
            <w:vAlign w:val="center"/>
          </w:tcPr>
          <w:p>
            <w:pPr>
              <w:spacing w:line="240" w:lineRule="auto"/>
              <w:ind w:left="-50" w:leftChars="0"/>
              <w:jc w:val="center"/>
              <w:rPr>
                <w:rFonts w:hint="eastAsia" w:eastAsia="宋体"/>
                <w:sz w:val="22"/>
                <w:szCs w:val="22"/>
                <w:lang w:eastAsia="zh-CN"/>
              </w:rPr>
            </w:pPr>
            <w:r>
              <w:rPr>
                <w:rFonts w:hint="eastAsia" w:ascii="宋体" w:hAnsi="宋体" w:cs="宋体"/>
                <w:sz w:val="22"/>
                <w:szCs w:val="22"/>
                <w:lang w:val="en-US" w:eastAsia="zh-CN"/>
              </w:rPr>
              <w:t>5</w:t>
            </w:r>
          </w:p>
        </w:tc>
        <w:tc>
          <w:tcPr>
            <w:tcW w:w="1830" w:type="dxa"/>
            <w:noWrap w:val="0"/>
            <w:vAlign w:val="center"/>
          </w:tcPr>
          <w:p>
            <w:pPr>
              <w:spacing w:line="240" w:lineRule="auto"/>
              <w:ind w:left="-50" w:leftChars="0"/>
              <w:jc w:val="center"/>
              <w:rPr>
                <w:rFonts w:hint="eastAsia" w:ascii="宋体" w:hAnsi="宋体" w:eastAsia="宋体" w:cs="宋体"/>
                <w:sz w:val="21"/>
                <w:szCs w:val="21"/>
                <w:lang w:val="en-US" w:eastAsia="zh-CN"/>
              </w:rPr>
            </w:pPr>
            <w:r>
              <w:rPr>
                <w:rFonts w:hint="eastAsia" w:ascii="宋体" w:hAnsi="宋体" w:cs="宋体"/>
                <w:sz w:val="22"/>
                <w:szCs w:val="22"/>
              </w:rPr>
              <w:t>供应保证措施</w:t>
            </w:r>
          </w:p>
        </w:tc>
        <w:tc>
          <w:tcPr>
            <w:tcW w:w="1465" w:type="dxa"/>
            <w:noWrap w:val="0"/>
            <w:vAlign w:val="center"/>
          </w:tcPr>
          <w:p>
            <w:pPr>
              <w:spacing w:line="240" w:lineRule="auto"/>
              <w:jc w:val="center"/>
              <w:rPr>
                <w:rFonts w:hint="eastAsia" w:ascii="宋体" w:hAnsi="宋体" w:eastAsia="宋体" w:cs="宋体"/>
                <w:sz w:val="21"/>
                <w:szCs w:val="21"/>
              </w:rPr>
            </w:pPr>
            <w:r>
              <w:rPr>
                <w:rFonts w:hint="eastAsia" w:ascii="宋体" w:hAnsi="宋体" w:cs="宋体"/>
                <w:sz w:val="22"/>
                <w:szCs w:val="22"/>
                <w:lang w:val="en-US" w:eastAsia="zh-CN"/>
              </w:rPr>
              <w:t>0-10</w:t>
            </w:r>
          </w:p>
        </w:tc>
        <w:tc>
          <w:tcPr>
            <w:tcW w:w="6245" w:type="dxa"/>
            <w:noWrap w:val="0"/>
            <w:vAlign w:val="center"/>
          </w:tcPr>
          <w:p>
            <w:pPr>
              <w:spacing w:line="240" w:lineRule="auto"/>
              <w:ind w:left="-50" w:leftChars="0"/>
              <w:rPr>
                <w:rFonts w:hint="default" w:eastAsia="宋体"/>
                <w:sz w:val="22"/>
                <w:szCs w:val="22"/>
                <w:lang w:val="en-US" w:eastAsia="zh-CN"/>
              </w:rPr>
            </w:pPr>
            <w:r>
              <w:rPr>
                <w:rFonts w:hint="eastAsia" w:ascii="宋体" w:hAnsi="宋体" w:cs="Arial"/>
                <w:bCs/>
                <w:snapToGrid w:val="0"/>
                <w:sz w:val="22"/>
                <w:szCs w:val="22"/>
              </w:rPr>
              <w:t>按</w:t>
            </w:r>
            <w:r>
              <w:rPr>
                <w:rFonts w:hint="eastAsia" w:ascii="宋体" w:hAnsi="宋体" w:cs="Arial"/>
                <w:bCs/>
                <w:snapToGrid w:val="0"/>
                <w:sz w:val="22"/>
                <w:szCs w:val="22"/>
                <w:lang w:val="en-US" w:eastAsia="zh-CN"/>
              </w:rPr>
              <w:t>采购单位</w:t>
            </w:r>
            <w:r>
              <w:rPr>
                <w:rFonts w:hint="eastAsia" w:ascii="宋体" w:hAnsi="宋体" w:cs="Arial"/>
                <w:bCs/>
                <w:snapToGrid w:val="0"/>
                <w:sz w:val="22"/>
                <w:szCs w:val="22"/>
              </w:rPr>
              <w:t>要求准时供应安全货物的相关保证措施</w:t>
            </w:r>
            <w:r>
              <w:rPr>
                <w:rFonts w:hint="eastAsia" w:ascii="宋体" w:hAnsi="宋体" w:cs="Arial"/>
                <w:bCs/>
                <w:snapToGrid w:val="0"/>
                <w:sz w:val="22"/>
                <w:szCs w:val="22"/>
                <w:lang w:val="en-US" w:eastAsia="zh-CN"/>
              </w:rPr>
              <w:t>，</w:t>
            </w:r>
            <w:r>
              <w:rPr>
                <w:rFonts w:hint="eastAsia" w:ascii="宋体" w:hAnsi="宋体" w:cs="Arial"/>
                <w:bCs/>
                <w:snapToGrid w:val="0"/>
                <w:sz w:val="22"/>
                <w:szCs w:val="22"/>
              </w:rPr>
              <w:t>产品安全供应保障及相关证明材料进行综合评分</w:t>
            </w:r>
            <w:r>
              <w:rPr>
                <w:rFonts w:hint="eastAsia" w:ascii="宋体" w:hAnsi="宋体" w:cs="Arial"/>
                <w:bCs/>
                <w:snapToGrid w:val="0"/>
                <w:sz w:val="22"/>
                <w:szCs w:val="22"/>
                <w:lang w:eastAsia="zh-CN"/>
              </w:rPr>
              <w:t>。</w:t>
            </w:r>
            <w:r>
              <w:rPr>
                <w:rFonts w:hint="eastAsia" w:ascii="宋体" w:hAnsi="宋体" w:cs="Arial"/>
                <w:bCs/>
                <w:snapToGrid w:val="0"/>
                <w:sz w:val="22"/>
                <w:szCs w:val="22"/>
                <w:lang w:val="en-US" w:eastAsia="zh-CN"/>
              </w:rPr>
              <w:t>A档：10-7分；B档：7-4分；C档：4-0分。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50" w:type="dxa"/>
            <w:noWrap w:val="0"/>
            <w:vAlign w:val="center"/>
          </w:tcPr>
          <w:p>
            <w:pPr>
              <w:spacing w:line="240" w:lineRule="auto"/>
              <w:ind w:left="-50" w:leftChars="0"/>
              <w:jc w:val="center"/>
              <w:rPr>
                <w:rFonts w:hint="eastAsia" w:eastAsia="宋体"/>
                <w:sz w:val="22"/>
                <w:szCs w:val="22"/>
                <w:lang w:eastAsia="zh-CN"/>
              </w:rPr>
            </w:pPr>
            <w:r>
              <w:rPr>
                <w:rFonts w:hint="eastAsia" w:ascii="宋体" w:hAnsi="宋体" w:cs="宋体"/>
                <w:sz w:val="22"/>
                <w:szCs w:val="22"/>
                <w:lang w:val="en-US" w:eastAsia="zh-CN"/>
              </w:rPr>
              <w:t>6</w:t>
            </w:r>
          </w:p>
        </w:tc>
        <w:tc>
          <w:tcPr>
            <w:tcW w:w="1830" w:type="dxa"/>
            <w:noWrap w:val="0"/>
            <w:vAlign w:val="center"/>
          </w:tcPr>
          <w:p>
            <w:pPr>
              <w:spacing w:line="240" w:lineRule="auto"/>
              <w:ind w:left="-50" w:leftChars="0"/>
              <w:jc w:val="center"/>
              <w:rPr>
                <w:rFonts w:hint="eastAsia" w:ascii="宋体" w:hAnsi="宋体" w:eastAsia="宋体" w:cs="宋体"/>
                <w:sz w:val="21"/>
                <w:szCs w:val="21"/>
                <w:lang w:val="en-US" w:eastAsia="zh-CN"/>
              </w:rPr>
            </w:pPr>
            <w:r>
              <w:rPr>
                <w:rFonts w:hint="eastAsia" w:ascii="宋体" w:hAnsi="宋体" w:cs="宋体"/>
                <w:sz w:val="22"/>
                <w:szCs w:val="22"/>
              </w:rPr>
              <w:t>应急措施</w:t>
            </w:r>
          </w:p>
        </w:tc>
        <w:tc>
          <w:tcPr>
            <w:tcW w:w="1465" w:type="dxa"/>
            <w:noWrap w:val="0"/>
            <w:vAlign w:val="center"/>
          </w:tcPr>
          <w:p>
            <w:pPr>
              <w:spacing w:line="240" w:lineRule="auto"/>
              <w:jc w:val="center"/>
              <w:rPr>
                <w:rFonts w:hint="eastAsia" w:ascii="宋体" w:hAnsi="宋体" w:eastAsia="宋体" w:cs="宋体"/>
                <w:sz w:val="21"/>
                <w:szCs w:val="21"/>
              </w:rPr>
            </w:pPr>
            <w:r>
              <w:rPr>
                <w:rFonts w:hint="eastAsia" w:ascii="宋体" w:hAnsi="宋体" w:cs="宋体"/>
                <w:sz w:val="22"/>
                <w:szCs w:val="22"/>
                <w:lang w:val="en-US" w:eastAsia="zh-CN"/>
              </w:rPr>
              <w:t>0-4</w:t>
            </w:r>
          </w:p>
        </w:tc>
        <w:tc>
          <w:tcPr>
            <w:tcW w:w="6245" w:type="dxa"/>
            <w:noWrap w:val="0"/>
            <w:vAlign w:val="center"/>
          </w:tcPr>
          <w:p>
            <w:pPr>
              <w:spacing w:line="240" w:lineRule="auto"/>
              <w:ind w:left="-50" w:leftChars="0"/>
              <w:rPr>
                <w:rFonts w:hint="default" w:eastAsia="宋体"/>
                <w:sz w:val="22"/>
                <w:szCs w:val="22"/>
                <w:lang w:val="en-US" w:eastAsia="zh-CN"/>
              </w:rPr>
            </w:pPr>
            <w:r>
              <w:rPr>
                <w:rFonts w:hint="eastAsia" w:ascii="宋体" w:hAnsi="宋体" w:cs="Arial"/>
                <w:bCs/>
                <w:snapToGrid w:val="0"/>
                <w:sz w:val="22"/>
                <w:szCs w:val="22"/>
              </w:rPr>
              <w:t>根据投标人在供货过程出现供货不足、运输过程出现突发性事件等情况作出应急措施承诺进行综合评分</w:t>
            </w:r>
            <w:r>
              <w:rPr>
                <w:rFonts w:hint="eastAsia" w:ascii="宋体" w:hAnsi="宋体" w:cs="Arial"/>
                <w:bCs/>
                <w:snapToGrid w:val="0"/>
                <w:sz w:val="22"/>
                <w:szCs w:val="22"/>
                <w:lang w:eastAsia="zh-CN"/>
              </w:rPr>
              <w:t>（</w:t>
            </w:r>
            <w:r>
              <w:rPr>
                <w:rFonts w:hint="eastAsia" w:ascii="宋体" w:hAnsi="宋体" w:cs="Arial"/>
                <w:bCs/>
                <w:snapToGrid w:val="0"/>
                <w:sz w:val="22"/>
                <w:szCs w:val="22"/>
                <w:lang w:val="en-US" w:eastAsia="zh-CN"/>
              </w:rPr>
              <w:t>0-4分</w:t>
            </w:r>
            <w:r>
              <w:rPr>
                <w:rFonts w:hint="eastAsia" w:ascii="宋体" w:hAnsi="宋体" w:cs="Arial"/>
                <w:bCs/>
                <w:snapToGrid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50" w:type="dxa"/>
            <w:noWrap w:val="0"/>
            <w:vAlign w:val="center"/>
          </w:tcPr>
          <w:p>
            <w:pPr>
              <w:spacing w:line="240" w:lineRule="auto"/>
              <w:ind w:left="-50" w:leftChars="0"/>
              <w:jc w:val="center"/>
              <w:rPr>
                <w:rFonts w:hint="eastAsia" w:eastAsia="宋体"/>
                <w:sz w:val="22"/>
                <w:szCs w:val="22"/>
                <w:lang w:val="en-US" w:eastAsia="zh-CN"/>
              </w:rPr>
            </w:pPr>
            <w:r>
              <w:rPr>
                <w:rFonts w:hint="eastAsia" w:ascii="宋体" w:hAnsi="宋体" w:cs="宋体"/>
                <w:sz w:val="22"/>
                <w:szCs w:val="22"/>
                <w:lang w:val="en-US" w:eastAsia="zh-CN"/>
              </w:rPr>
              <w:t>7</w:t>
            </w:r>
          </w:p>
        </w:tc>
        <w:tc>
          <w:tcPr>
            <w:tcW w:w="1830" w:type="dxa"/>
            <w:noWrap w:val="0"/>
            <w:vAlign w:val="center"/>
          </w:tcPr>
          <w:p>
            <w:pPr>
              <w:spacing w:line="240" w:lineRule="auto"/>
              <w:ind w:left="-50" w:leftChars="0"/>
              <w:jc w:val="center"/>
              <w:rPr>
                <w:rFonts w:hint="eastAsia" w:ascii="宋体" w:hAnsi="宋体" w:eastAsia="宋体" w:cs="宋体"/>
                <w:sz w:val="21"/>
                <w:szCs w:val="21"/>
                <w:lang w:val="en-US" w:eastAsia="zh-CN"/>
              </w:rPr>
            </w:pPr>
            <w:r>
              <w:rPr>
                <w:rFonts w:hint="eastAsia" w:ascii="宋体" w:hAnsi="宋体" w:cs="宋体"/>
                <w:sz w:val="22"/>
                <w:szCs w:val="22"/>
              </w:rPr>
              <w:t>质量保证及售后服务</w:t>
            </w:r>
          </w:p>
        </w:tc>
        <w:tc>
          <w:tcPr>
            <w:tcW w:w="1465" w:type="dxa"/>
            <w:noWrap w:val="0"/>
            <w:vAlign w:val="center"/>
          </w:tcPr>
          <w:p>
            <w:pPr>
              <w:spacing w:line="240" w:lineRule="auto"/>
              <w:jc w:val="center"/>
              <w:rPr>
                <w:rFonts w:hint="eastAsia" w:ascii="宋体" w:hAnsi="宋体" w:eastAsia="宋体" w:cs="宋体"/>
                <w:sz w:val="21"/>
                <w:szCs w:val="21"/>
              </w:rPr>
            </w:pPr>
            <w:r>
              <w:rPr>
                <w:rFonts w:hint="eastAsia" w:ascii="宋体" w:hAnsi="宋体" w:cs="宋体"/>
                <w:sz w:val="22"/>
                <w:szCs w:val="22"/>
                <w:lang w:val="en-US" w:eastAsia="zh-CN"/>
              </w:rPr>
              <w:t>0-3</w:t>
            </w:r>
          </w:p>
        </w:tc>
        <w:tc>
          <w:tcPr>
            <w:tcW w:w="6245" w:type="dxa"/>
            <w:noWrap w:val="0"/>
            <w:vAlign w:val="center"/>
          </w:tcPr>
          <w:p>
            <w:pPr>
              <w:spacing w:line="240" w:lineRule="auto"/>
              <w:ind w:left="-50" w:leftChars="0"/>
              <w:rPr>
                <w:rFonts w:hint="default" w:eastAsia="宋体"/>
                <w:sz w:val="22"/>
                <w:szCs w:val="22"/>
                <w:lang w:val="en-US" w:eastAsia="zh-CN"/>
              </w:rPr>
            </w:pPr>
            <w:r>
              <w:rPr>
                <w:rFonts w:hint="eastAsia" w:ascii="宋体" w:hAnsi="宋体" w:cs="Arial"/>
                <w:bCs/>
                <w:snapToGrid w:val="0"/>
                <w:sz w:val="22"/>
                <w:szCs w:val="22"/>
              </w:rPr>
              <w:t>根据人员及时到位，服务及时到位，出现供货质量不合格的情况的处理措施，不影响医院正常运作等承诺进行综合评分</w:t>
            </w:r>
            <w:r>
              <w:rPr>
                <w:rFonts w:hint="eastAsia" w:ascii="宋体" w:hAnsi="宋体" w:cs="Arial"/>
                <w:bCs/>
                <w:snapToGrid w:val="0"/>
                <w:sz w:val="22"/>
                <w:szCs w:val="22"/>
                <w:lang w:eastAsia="zh-CN"/>
              </w:rPr>
              <w:t>（</w:t>
            </w:r>
            <w:r>
              <w:rPr>
                <w:rFonts w:hint="eastAsia" w:ascii="宋体" w:hAnsi="宋体" w:cs="Arial"/>
                <w:bCs/>
                <w:snapToGrid w:val="0"/>
                <w:sz w:val="22"/>
                <w:szCs w:val="22"/>
                <w:lang w:val="en-US" w:eastAsia="zh-CN"/>
              </w:rPr>
              <w:t>0-3分</w:t>
            </w:r>
            <w:r>
              <w:rPr>
                <w:rFonts w:hint="eastAsia" w:ascii="宋体" w:hAnsi="宋体" w:cs="Arial"/>
                <w:bCs/>
                <w:snapToGrid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1050" w:type="dxa"/>
            <w:noWrap w:val="0"/>
            <w:vAlign w:val="center"/>
          </w:tcPr>
          <w:p>
            <w:pPr>
              <w:spacing w:line="240" w:lineRule="auto"/>
              <w:ind w:left="-50" w:leftChars="0"/>
              <w:jc w:val="center"/>
              <w:rPr>
                <w:rFonts w:hint="eastAsia" w:ascii="新宋体" w:hAnsi="新宋体" w:eastAsia="新宋体" w:cs="新宋体"/>
                <w:b/>
                <w:bCs/>
                <w:kern w:val="2"/>
                <w:sz w:val="22"/>
                <w:szCs w:val="22"/>
                <w:lang w:val="en-US" w:eastAsia="zh-CN" w:bidi="ar-SA"/>
              </w:rPr>
            </w:pPr>
            <w:r>
              <w:rPr>
                <w:rFonts w:hint="eastAsia" w:ascii="宋体" w:hAnsi="宋体" w:eastAsia="新宋体" w:cs="宋体"/>
                <w:sz w:val="22"/>
                <w:szCs w:val="22"/>
                <w:lang w:val="en-US" w:eastAsia="zh-CN"/>
              </w:rPr>
              <w:t>8</w:t>
            </w:r>
          </w:p>
        </w:tc>
        <w:tc>
          <w:tcPr>
            <w:tcW w:w="1830" w:type="dxa"/>
            <w:noWrap w:val="0"/>
            <w:vAlign w:val="center"/>
          </w:tcPr>
          <w:p>
            <w:pPr>
              <w:spacing w:line="240" w:lineRule="auto"/>
              <w:ind w:left="-50" w:leftChars="0"/>
              <w:jc w:val="center"/>
              <w:rPr>
                <w:rFonts w:hint="eastAsia" w:ascii="新宋体" w:hAnsi="新宋体" w:eastAsia="新宋体" w:cs="新宋体"/>
                <w:b/>
                <w:bCs/>
                <w:kern w:val="2"/>
                <w:sz w:val="22"/>
                <w:szCs w:val="22"/>
                <w:lang w:val="en-US" w:eastAsia="zh-CN" w:bidi="ar-SA"/>
              </w:rPr>
            </w:pPr>
            <w:r>
              <w:rPr>
                <w:rFonts w:hint="eastAsia" w:ascii="宋体" w:hAnsi="宋体" w:cs="宋体"/>
                <w:color w:val="000000"/>
                <w:sz w:val="22"/>
                <w:szCs w:val="22"/>
                <w:u w:val="none"/>
              </w:rPr>
              <w:t>同类项目业绩</w:t>
            </w:r>
          </w:p>
        </w:tc>
        <w:tc>
          <w:tcPr>
            <w:tcW w:w="1465" w:type="dxa"/>
            <w:noWrap w:val="0"/>
            <w:vAlign w:val="center"/>
          </w:tcPr>
          <w:p>
            <w:pPr>
              <w:spacing w:line="240" w:lineRule="auto"/>
              <w:jc w:val="center"/>
              <w:rPr>
                <w:rFonts w:hint="eastAsia" w:ascii="新宋体" w:hAnsi="新宋体" w:eastAsia="宋体" w:cs="新宋体"/>
                <w:b/>
                <w:bCs/>
                <w:kern w:val="2"/>
                <w:sz w:val="22"/>
                <w:szCs w:val="22"/>
                <w:lang w:val="en-US" w:eastAsia="zh-CN" w:bidi="ar-SA"/>
              </w:rPr>
            </w:pPr>
            <w:r>
              <w:rPr>
                <w:rFonts w:hint="eastAsia" w:ascii="宋体" w:hAnsi="宋体" w:cs="宋体"/>
                <w:color w:val="000000"/>
                <w:sz w:val="22"/>
                <w:szCs w:val="22"/>
                <w:u w:val="none"/>
                <w:lang w:val="en-US" w:eastAsia="zh-CN"/>
              </w:rPr>
              <w:t>0-3</w:t>
            </w:r>
          </w:p>
        </w:tc>
        <w:tc>
          <w:tcPr>
            <w:tcW w:w="6245" w:type="dxa"/>
            <w:noWrap w:val="0"/>
            <w:vAlign w:val="center"/>
          </w:tcPr>
          <w:p>
            <w:pPr>
              <w:spacing w:line="240" w:lineRule="auto"/>
              <w:ind w:left="-50" w:leftChars="0"/>
              <w:rPr>
                <w:rFonts w:hint="eastAsia" w:ascii="宋体" w:hAnsi="宋体" w:cs="Arial"/>
                <w:bCs/>
                <w:snapToGrid w:val="0"/>
                <w:sz w:val="22"/>
                <w:szCs w:val="22"/>
              </w:rPr>
            </w:pPr>
            <w:r>
              <w:rPr>
                <w:rFonts w:hint="eastAsia" w:ascii="宋体" w:hAnsi="宋体" w:cs="Arial"/>
                <w:bCs/>
                <w:snapToGrid w:val="0"/>
                <w:sz w:val="22"/>
                <w:szCs w:val="22"/>
                <w:lang w:val="en-US" w:eastAsia="zh-CN"/>
              </w:rPr>
              <w:t>投标人2020</w:t>
            </w:r>
            <w:r>
              <w:rPr>
                <w:rFonts w:hint="eastAsia" w:ascii="宋体" w:hAnsi="宋体" w:cs="Arial"/>
                <w:bCs/>
                <w:snapToGrid w:val="0"/>
                <w:sz w:val="22"/>
                <w:szCs w:val="22"/>
              </w:rPr>
              <w:t>年</w:t>
            </w:r>
            <w:r>
              <w:rPr>
                <w:rFonts w:hint="eastAsia" w:ascii="宋体" w:hAnsi="宋体" w:cs="Arial"/>
                <w:bCs/>
                <w:snapToGrid w:val="0"/>
                <w:sz w:val="22"/>
                <w:szCs w:val="22"/>
                <w:lang w:val="en-US" w:eastAsia="zh-CN"/>
              </w:rPr>
              <w:t>1</w:t>
            </w:r>
            <w:r>
              <w:rPr>
                <w:rFonts w:hint="eastAsia" w:ascii="宋体" w:hAnsi="宋体" w:cs="Arial"/>
                <w:bCs/>
                <w:snapToGrid w:val="0"/>
                <w:sz w:val="22"/>
                <w:szCs w:val="22"/>
              </w:rPr>
              <w:t>月1日以来</w:t>
            </w:r>
            <w:r>
              <w:rPr>
                <w:rFonts w:hint="eastAsia" w:ascii="宋体" w:hAnsi="宋体" w:cs="Arial"/>
                <w:bCs/>
                <w:snapToGrid w:val="0"/>
                <w:sz w:val="22"/>
                <w:szCs w:val="22"/>
                <w:lang w:eastAsia="zh-CN"/>
              </w:rPr>
              <w:t>（</w:t>
            </w:r>
            <w:r>
              <w:rPr>
                <w:rFonts w:hint="eastAsia" w:ascii="宋体" w:hAnsi="宋体" w:cs="Arial"/>
                <w:bCs/>
                <w:snapToGrid w:val="0"/>
                <w:sz w:val="22"/>
                <w:szCs w:val="22"/>
                <w:lang w:val="en-US" w:eastAsia="zh-CN"/>
              </w:rPr>
              <w:t>以合同签订时间为准</w:t>
            </w:r>
            <w:r>
              <w:rPr>
                <w:rFonts w:hint="eastAsia" w:ascii="宋体" w:hAnsi="宋体" w:cs="Arial"/>
                <w:bCs/>
                <w:snapToGrid w:val="0"/>
                <w:sz w:val="22"/>
                <w:szCs w:val="22"/>
                <w:lang w:eastAsia="zh-CN"/>
              </w:rPr>
              <w:t>）</w:t>
            </w:r>
            <w:r>
              <w:rPr>
                <w:rFonts w:hint="eastAsia" w:ascii="宋体" w:hAnsi="宋体" w:cs="Arial"/>
                <w:bCs/>
                <w:snapToGrid w:val="0"/>
                <w:sz w:val="22"/>
                <w:szCs w:val="22"/>
                <w:lang w:val="en-US" w:eastAsia="zh-CN"/>
              </w:rPr>
              <w:t>的</w:t>
            </w:r>
            <w:r>
              <w:rPr>
                <w:rFonts w:hint="eastAsia" w:ascii="宋体" w:hAnsi="宋体" w:cs="Arial"/>
                <w:bCs/>
                <w:snapToGrid w:val="0"/>
                <w:sz w:val="22"/>
                <w:szCs w:val="22"/>
              </w:rPr>
              <w:t>同类项目</w:t>
            </w:r>
            <w:r>
              <w:rPr>
                <w:rFonts w:hint="eastAsia" w:ascii="宋体" w:hAnsi="宋体" w:cs="Arial"/>
                <w:bCs/>
                <w:snapToGrid w:val="0"/>
                <w:sz w:val="22"/>
                <w:szCs w:val="22"/>
                <w:lang w:eastAsia="zh-CN"/>
              </w:rPr>
              <w:t>（</w:t>
            </w:r>
            <w:r>
              <w:rPr>
                <w:rFonts w:hint="eastAsia" w:ascii="宋体" w:hAnsi="宋体" w:cs="Arial"/>
                <w:bCs/>
                <w:snapToGrid w:val="0"/>
                <w:sz w:val="22"/>
                <w:szCs w:val="22"/>
                <w:lang w:val="en-US" w:eastAsia="zh-CN"/>
              </w:rPr>
              <w:t>柴油</w:t>
            </w:r>
            <w:r>
              <w:rPr>
                <w:rFonts w:hint="eastAsia" w:ascii="宋体" w:hAnsi="宋体" w:cs="Arial"/>
                <w:bCs/>
                <w:snapToGrid w:val="0"/>
                <w:sz w:val="22"/>
                <w:szCs w:val="22"/>
                <w:lang w:eastAsia="zh-CN"/>
              </w:rPr>
              <w:t>）</w:t>
            </w:r>
            <w:r>
              <w:rPr>
                <w:rFonts w:hint="eastAsia" w:ascii="宋体" w:hAnsi="宋体" w:cs="Arial"/>
                <w:bCs/>
                <w:snapToGrid w:val="0"/>
                <w:sz w:val="22"/>
                <w:szCs w:val="22"/>
              </w:rPr>
              <w:t>业绩</w:t>
            </w:r>
            <w:r>
              <w:rPr>
                <w:rFonts w:hint="eastAsia" w:ascii="宋体" w:hAnsi="宋体" w:cs="Arial"/>
                <w:bCs/>
                <w:snapToGrid w:val="0"/>
                <w:sz w:val="22"/>
                <w:szCs w:val="22"/>
                <w:lang w:eastAsia="zh-CN"/>
              </w:rPr>
              <w:t>，</w:t>
            </w:r>
            <w:r>
              <w:rPr>
                <w:rFonts w:hint="eastAsia" w:ascii="宋体" w:hAnsi="宋体" w:cs="Arial"/>
                <w:bCs/>
                <w:snapToGrid w:val="0"/>
                <w:sz w:val="22"/>
                <w:szCs w:val="22"/>
                <w:lang w:val="en-US" w:eastAsia="zh-CN"/>
              </w:rPr>
              <w:t>每提供1个有效业绩得1分，本项最高</w:t>
            </w:r>
            <w:r>
              <w:rPr>
                <w:rFonts w:hint="eastAsia" w:ascii="宋体" w:hAnsi="宋体" w:cs="Arial"/>
                <w:bCs/>
                <w:snapToGrid w:val="0"/>
                <w:sz w:val="22"/>
                <w:szCs w:val="22"/>
              </w:rPr>
              <w:t>得</w:t>
            </w:r>
            <w:r>
              <w:rPr>
                <w:rFonts w:hint="eastAsia" w:ascii="宋体" w:hAnsi="宋体" w:cs="Arial"/>
                <w:bCs/>
                <w:snapToGrid w:val="0"/>
                <w:sz w:val="22"/>
                <w:szCs w:val="22"/>
                <w:lang w:val="en-US" w:eastAsia="zh-CN"/>
              </w:rPr>
              <w:t>3</w:t>
            </w:r>
            <w:r>
              <w:rPr>
                <w:rFonts w:hint="eastAsia" w:ascii="宋体" w:hAnsi="宋体" w:cs="Arial"/>
                <w:bCs/>
                <w:snapToGrid w:val="0"/>
                <w:sz w:val="22"/>
                <w:szCs w:val="22"/>
              </w:rPr>
              <w:t>分。</w:t>
            </w:r>
          </w:p>
          <w:p>
            <w:pPr>
              <w:spacing w:line="240" w:lineRule="auto"/>
              <w:ind w:left="-50" w:leftChars="0"/>
              <w:rPr>
                <w:rFonts w:hint="eastAsia" w:ascii="宋体" w:hAnsi="宋体" w:eastAsia="宋体" w:cs="Arial"/>
                <w:bCs/>
                <w:snapToGrid w:val="0"/>
                <w:kern w:val="2"/>
                <w:sz w:val="22"/>
                <w:szCs w:val="22"/>
                <w:lang w:val="en-US" w:eastAsia="zh-CN" w:bidi="ar-SA"/>
              </w:rPr>
            </w:pPr>
            <w:r>
              <w:rPr>
                <w:rFonts w:hint="eastAsia" w:ascii="宋体" w:hAnsi="宋体" w:cs="Arial"/>
                <w:bCs/>
                <w:snapToGrid w:val="0"/>
                <w:sz w:val="22"/>
                <w:szCs w:val="22"/>
                <w:lang w:val="en-US" w:eastAsia="zh-CN"/>
              </w:rPr>
              <w:t>注：</w:t>
            </w:r>
            <w:r>
              <w:rPr>
                <w:rFonts w:hint="eastAsia" w:ascii="宋体" w:hAnsi="宋体" w:cs="Arial"/>
                <w:bCs/>
                <w:snapToGrid w:val="0"/>
                <w:sz w:val="22"/>
                <w:szCs w:val="22"/>
              </w:rPr>
              <w:t>提供合同</w:t>
            </w:r>
            <w:r>
              <w:rPr>
                <w:rFonts w:hint="eastAsia" w:ascii="宋体" w:hAnsi="宋体" w:cs="Arial"/>
                <w:bCs/>
                <w:snapToGrid w:val="0"/>
                <w:sz w:val="22"/>
                <w:szCs w:val="22"/>
                <w:lang w:val="en-US" w:eastAsia="zh-CN"/>
              </w:rPr>
              <w:t>扫描件加盖投标人公章</w:t>
            </w:r>
            <w:r>
              <w:rPr>
                <w:rFonts w:hint="eastAsia" w:ascii="宋体" w:hAnsi="宋体" w:cs="Arial"/>
                <w:bCs/>
                <w:snapToGrid w:val="0"/>
                <w:sz w:val="22"/>
                <w:szCs w:val="22"/>
              </w:rPr>
              <w:t>或其他采购单位供货证明及评价证明</w:t>
            </w:r>
            <w:r>
              <w:rPr>
                <w:rFonts w:hint="eastAsia" w:ascii="宋体" w:hAnsi="宋体" w:cs="Arial"/>
                <w:bCs/>
                <w:snapToGrid w:val="0"/>
                <w:sz w:val="22"/>
                <w:szCs w:val="22"/>
                <w:lang w:val="en-US" w:eastAsia="zh-CN"/>
              </w:rPr>
              <w:t>材料扫描件加盖公章</w:t>
            </w:r>
            <w:r>
              <w:rPr>
                <w:rFonts w:hint="eastAsia" w:ascii="宋体" w:hAnsi="宋体" w:cs="Arial"/>
                <w:bCs/>
                <w:snapToGrid w:val="0"/>
                <w:sz w:val="22"/>
                <w:szCs w:val="22"/>
              </w:rPr>
              <w:t>。</w:t>
            </w:r>
            <w:r>
              <w:rPr>
                <w:rFonts w:hint="eastAsia" w:ascii="宋体" w:hAnsi="宋体" w:cs="Arial"/>
                <w:bCs/>
                <w:snapToGrid w:val="0"/>
                <w:sz w:val="22"/>
                <w:szCs w:val="22"/>
                <w:lang w:eastAsia="zh-CN"/>
              </w:rPr>
              <w:t>（</w:t>
            </w:r>
            <w:r>
              <w:rPr>
                <w:rFonts w:hint="eastAsia" w:ascii="宋体" w:hAnsi="宋体" w:cs="Arial"/>
                <w:bCs/>
                <w:snapToGrid w:val="0"/>
                <w:sz w:val="22"/>
                <w:szCs w:val="22"/>
                <w:lang w:val="en-US" w:eastAsia="zh-CN"/>
              </w:rPr>
              <w:t>与同一单位签订的多份合同或供货证明视为1个业绩）</w:t>
            </w:r>
          </w:p>
        </w:tc>
      </w:tr>
    </w:tbl>
    <w:p>
      <w:pPr>
        <w:pStyle w:val="13"/>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2、价格</w:t>
      </w:r>
      <w:bookmarkStart w:id="26" w:name="_GoBack"/>
      <w:bookmarkEnd w:id="26"/>
      <w:r>
        <w:rPr>
          <w:rFonts w:hint="eastAsia" w:ascii="新宋体" w:hAnsi="新宋体" w:eastAsia="新宋体" w:cs="新宋体"/>
          <w:b/>
          <w:bCs/>
          <w:color w:val="auto"/>
          <w:sz w:val="24"/>
          <w:szCs w:val="24"/>
          <w:highlight w:val="none"/>
          <w:lang w:val="en-US" w:eastAsia="zh-CN"/>
        </w:rPr>
        <w:t>评分：满分30分</w:t>
      </w:r>
    </w:p>
    <w:p>
      <w:pPr>
        <w:pStyle w:val="4"/>
        <w:jc w:val="center"/>
        <w:rPr>
          <w:rFonts w:hint="eastAsia" w:ascii="新宋体" w:hAnsi="新宋体" w:eastAsia="新宋体" w:cs="新宋体"/>
          <w:b/>
          <w:bCs/>
          <w:color w:val="auto"/>
          <w:kern w:val="2"/>
          <w:sz w:val="28"/>
          <w:szCs w:val="28"/>
          <w:highlight w:val="none"/>
          <w:lang w:val="en-US" w:eastAsia="zh-CN" w:bidi="ar-SA"/>
        </w:rPr>
      </w:pPr>
      <w:r>
        <w:rPr>
          <w:rFonts w:hint="eastAsia" w:ascii="新宋体" w:hAnsi="新宋体" w:eastAsia="新宋体" w:cs="新宋体"/>
          <w:b/>
          <w:bCs/>
          <w:color w:val="auto"/>
          <w:kern w:val="2"/>
          <w:sz w:val="28"/>
          <w:szCs w:val="28"/>
          <w:highlight w:val="none"/>
          <w:lang w:val="en-US" w:eastAsia="zh-CN" w:bidi="ar-SA"/>
        </w:rPr>
        <w:t>报价一览表</w:t>
      </w:r>
    </w:p>
    <w:p>
      <w:pPr>
        <w:rPr>
          <w:rFonts w:hint="eastAsia"/>
          <w:lang w:val="en-US" w:eastAsia="zh-CN"/>
        </w:rPr>
      </w:pPr>
    </w:p>
    <w:p>
      <w:pPr>
        <w:autoSpaceDE w:val="0"/>
        <w:autoSpaceDN w:val="0"/>
        <w:spacing w:line="360" w:lineRule="auto"/>
        <w:ind w:right="893"/>
        <w:textAlignment w:val="bottom"/>
        <w:rPr>
          <w:rFonts w:hint="eastAsia" w:ascii="新宋体" w:hAnsi="新宋体" w:eastAsia="新宋体" w:cs="新宋体"/>
          <w:b w:val="0"/>
          <w:bCs/>
          <w:color w:val="auto"/>
          <w:sz w:val="22"/>
          <w:highlight w:val="none"/>
        </w:rPr>
      </w:pPr>
      <w:r>
        <w:rPr>
          <w:rFonts w:hint="eastAsia" w:ascii="新宋体" w:hAnsi="新宋体" w:eastAsia="新宋体" w:cs="新宋体"/>
          <w:b w:val="0"/>
          <w:bCs/>
          <w:color w:val="auto"/>
          <w:sz w:val="22"/>
          <w:highlight w:val="none"/>
        </w:rPr>
        <w:t>项目名称：</w:t>
      </w:r>
      <w:r>
        <w:rPr>
          <w:rFonts w:hint="eastAsia" w:ascii="宋体" w:hAnsi="宋体" w:cs="宋体"/>
          <w:b w:val="0"/>
          <w:bCs w:val="0"/>
          <w:color w:val="auto"/>
          <w:sz w:val="22"/>
          <w:szCs w:val="22"/>
          <w:highlight w:val="none"/>
          <w:lang w:eastAsia="zh-CN"/>
        </w:rPr>
        <w:t>温州市中医院</w:t>
      </w:r>
      <w:r>
        <w:rPr>
          <w:rFonts w:hint="eastAsia" w:ascii="宋体" w:hAnsi="宋体" w:cs="宋体"/>
          <w:b w:val="0"/>
          <w:bCs w:val="0"/>
          <w:color w:val="auto"/>
          <w:sz w:val="22"/>
          <w:szCs w:val="22"/>
          <w:highlight w:val="none"/>
          <w:lang w:val="en-US" w:eastAsia="zh-CN"/>
        </w:rPr>
        <w:t>0号柴油</w:t>
      </w:r>
      <w:r>
        <w:rPr>
          <w:rFonts w:hint="eastAsia" w:ascii="宋体" w:hAnsi="宋体" w:cs="宋体"/>
          <w:b w:val="0"/>
          <w:bCs w:val="0"/>
          <w:color w:val="auto"/>
          <w:sz w:val="22"/>
          <w:szCs w:val="22"/>
          <w:highlight w:val="none"/>
          <w:lang w:eastAsia="zh-CN"/>
        </w:rPr>
        <w:t>采购</w:t>
      </w:r>
      <w:r>
        <w:rPr>
          <w:rFonts w:hint="eastAsia" w:ascii="新宋体" w:hAnsi="新宋体" w:eastAsia="新宋体" w:cs="新宋体"/>
          <w:b w:val="0"/>
          <w:bCs/>
          <w:color w:val="auto"/>
          <w:sz w:val="22"/>
          <w:szCs w:val="22"/>
          <w:highlight w:val="none"/>
        </w:rPr>
        <w:t xml:space="preserve">    </w:t>
      </w:r>
      <w:r>
        <w:rPr>
          <w:rFonts w:hint="eastAsia" w:ascii="新宋体" w:hAnsi="新宋体" w:eastAsia="新宋体" w:cs="新宋体"/>
          <w:b w:val="0"/>
          <w:bCs/>
          <w:color w:val="auto"/>
          <w:sz w:val="22"/>
          <w:highlight w:val="none"/>
        </w:rPr>
        <w:t xml:space="preserve">                              </w:t>
      </w:r>
    </w:p>
    <w:tbl>
      <w:tblPr>
        <w:tblStyle w:val="9"/>
        <w:tblW w:w="1081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0"/>
        <w:gridCol w:w="1980"/>
        <w:gridCol w:w="1684"/>
        <w:gridCol w:w="1590"/>
        <w:gridCol w:w="37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7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b/>
                <w:szCs w:val="30"/>
              </w:rPr>
            </w:pPr>
            <w:r>
              <w:rPr>
                <w:b/>
                <w:szCs w:val="30"/>
              </w:rPr>
              <w:t>序号</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b/>
                <w:szCs w:val="30"/>
              </w:rPr>
            </w:pPr>
            <w:r>
              <w:rPr>
                <w:b/>
                <w:szCs w:val="30"/>
              </w:rPr>
              <w:t>投标人</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default" w:eastAsia="宋体"/>
                <w:b/>
                <w:szCs w:val="21"/>
                <w:lang w:val="en-US" w:eastAsia="zh-CN"/>
              </w:rPr>
            </w:pPr>
            <w:r>
              <w:rPr>
                <w:rFonts w:hint="eastAsia"/>
                <w:b/>
                <w:szCs w:val="21"/>
                <w:lang w:val="en-US" w:eastAsia="zh-CN"/>
              </w:rPr>
              <w:t>采购内容</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default" w:eastAsia="宋体"/>
                <w:b/>
                <w:szCs w:val="21"/>
                <w:lang w:val="en-US" w:eastAsia="zh-CN"/>
              </w:rPr>
            </w:pPr>
            <w:r>
              <w:rPr>
                <w:rFonts w:hint="eastAsia"/>
                <w:b/>
                <w:szCs w:val="21"/>
                <w:lang w:val="en-US" w:eastAsia="zh-CN"/>
              </w:rPr>
              <w:t>投标折扣率</w:t>
            </w:r>
            <w:r>
              <w:rPr>
                <w:rFonts w:hint="eastAsia"/>
                <w:b/>
                <w:szCs w:val="30"/>
              </w:rPr>
              <w:t>%</w:t>
            </w:r>
          </w:p>
        </w:tc>
        <w:tc>
          <w:tcPr>
            <w:tcW w:w="37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default"/>
                <w:b/>
                <w:szCs w:val="21"/>
                <w:lang w:val="en-US" w:eastAsia="zh-CN"/>
              </w:rPr>
            </w:pPr>
            <w:r>
              <w:rPr>
                <w:rFonts w:hint="eastAsia"/>
                <w:b/>
                <w:szCs w:val="21"/>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04" w:hRule="atLeast"/>
        </w:trPr>
        <w:tc>
          <w:tcPr>
            <w:tcW w:w="17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sz w:val="32"/>
              </w:rPr>
            </w:pPr>
            <w:r>
              <w:rPr>
                <w:b/>
                <w:szCs w:val="30"/>
              </w:rPr>
              <w:t>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b/>
                <w:szCs w:val="30"/>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b/>
                <w:szCs w:val="30"/>
              </w:rPr>
            </w:pPr>
            <w:r>
              <w:rPr>
                <w:rFonts w:hint="eastAsia" w:ascii="宋体" w:hAnsi="宋体" w:cs="宋体"/>
                <w:b w:val="0"/>
                <w:bCs w:val="0"/>
                <w:color w:val="auto"/>
                <w:sz w:val="22"/>
                <w:szCs w:val="22"/>
                <w:highlight w:val="none"/>
                <w:lang w:val="en-US" w:eastAsia="zh-CN"/>
              </w:rPr>
              <w:t>0号柴油</w:t>
            </w:r>
            <w:r>
              <w:rPr>
                <w:rFonts w:hint="eastAsia" w:ascii="宋体" w:hAnsi="宋体" w:cs="宋体"/>
                <w:b w:val="0"/>
                <w:bCs w:val="0"/>
                <w:color w:val="auto"/>
                <w:sz w:val="22"/>
                <w:szCs w:val="22"/>
                <w:highlight w:val="none"/>
                <w:lang w:eastAsia="zh-CN"/>
              </w:rPr>
              <w:t>采购</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b/>
                <w:szCs w:val="30"/>
              </w:rPr>
            </w:pPr>
            <w:r>
              <w:rPr>
                <w:rFonts w:hint="eastAsia"/>
                <w:b/>
                <w:szCs w:val="30"/>
                <w:u w:val="single"/>
              </w:rPr>
              <w:t xml:space="preserve">  </w:t>
            </w:r>
            <w:r>
              <w:rPr>
                <w:b/>
                <w:szCs w:val="30"/>
                <w:u w:val="single"/>
              </w:rPr>
              <w:t xml:space="preserve">   </w:t>
            </w:r>
            <w:r>
              <w:rPr>
                <w:rFonts w:hint="eastAsia"/>
                <w:b/>
                <w:szCs w:val="30"/>
                <w:u w:val="single"/>
              </w:rPr>
              <w:t xml:space="preserve">   </w:t>
            </w:r>
            <w:r>
              <w:rPr>
                <w:rFonts w:hint="eastAsia"/>
                <w:b/>
                <w:szCs w:val="30"/>
              </w:rPr>
              <w:t>%</w:t>
            </w:r>
          </w:p>
        </w:tc>
        <w:tc>
          <w:tcPr>
            <w:tcW w:w="37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b/>
                <w:szCs w:val="30"/>
                <w:u w:val="single"/>
              </w:rPr>
            </w:pPr>
            <w:r>
              <w:rPr>
                <w:rFonts w:hint="eastAsia"/>
                <w:b/>
                <w:szCs w:val="30"/>
                <w:u w:val="single"/>
              </w:rPr>
              <w:t>按照《浙江省发改委最新公布价格》为基准</w:t>
            </w:r>
          </w:p>
        </w:tc>
      </w:tr>
    </w:tbl>
    <w:p>
      <w:p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说明：1、 此栏投标报价应与“分项报价表”中的总计价相一致。</w:t>
      </w:r>
    </w:p>
    <w:p>
      <w:pPr>
        <w:numPr>
          <w:ilvl w:val="0"/>
          <w:numId w:val="5"/>
        </w:numPr>
        <w:spacing w:line="450" w:lineRule="exact"/>
        <w:ind w:left="1214" w:leftChars="0" w:firstLine="0" w:firstLineChars="0"/>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rPr>
        <w:t>不提供此表格将被视为没有实质性响应</w:t>
      </w:r>
      <w:r>
        <w:rPr>
          <w:rFonts w:hint="eastAsia" w:ascii="宋体" w:hAnsi="宋体" w:cs="宋体"/>
          <w:b/>
          <w:color w:val="auto"/>
          <w:sz w:val="22"/>
          <w:highlight w:val="none"/>
          <w:lang w:val="en-US" w:eastAsia="zh-CN"/>
        </w:rPr>
        <w:t>遴选</w:t>
      </w:r>
      <w:r>
        <w:rPr>
          <w:rFonts w:hint="eastAsia" w:ascii="宋体" w:hAnsi="宋体" w:eastAsia="宋体" w:cs="宋体"/>
          <w:b/>
          <w:color w:val="auto"/>
          <w:sz w:val="22"/>
          <w:highlight w:val="none"/>
        </w:rPr>
        <w:t>文件</w:t>
      </w:r>
      <w:r>
        <w:rPr>
          <w:rFonts w:hint="eastAsia" w:ascii="宋体" w:hAnsi="宋体" w:eastAsia="宋体" w:cs="宋体"/>
          <w:b/>
          <w:color w:val="auto"/>
          <w:sz w:val="2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50" w:lineRule="exact"/>
        <w:jc w:val="both"/>
        <w:textAlignment w:val="auto"/>
        <w:outlineLvl w:val="3"/>
        <w:rPr>
          <w:rFonts w:hint="eastAsia" w:ascii="新宋体" w:hAnsi="新宋体" w:eastAsia="新宋体" w:cs="新宋体"/>
          <w:b/>
          <w:bCs/>
          <w:color w:val="auto"/>
          <w:kern w:val="2"/>
          <w:sz w:val="28"/>
          <w:szCs w:val="28"/>
          <w:highlight w:val="none"/>
          <w:lang w:val="en-US" w:eastAsia="zh-CN" w:bidi="ar-SA"/>
        </w:rPr>
      </w:pPr>
    </w:p>
    <w:p>
      <w:pPr>
        <w:pStyle w:val="8"/>
        <w:rPr>
          <w:rFonts w:hint="eastAsia" w:ascii="新宋体" w:hAnsi="新宋体" w:eastAsia="新宋体" w:cs="新宋体"/>
          <w:b/>
          <w:bCs/>
          <w:color w:val="auto"/>
          <w:kern w:val="2"/>
          <w:sz w:val="28"/>
          <w:szCs w:val="28"/>
          <w:highlight w:val="none"/>
          <w:lang w:val="en-US" w:eastAsia="zh-CN" w:bidi="ar-SA"/>
        </w:rPr>
      </w:pPr>
    </w:p>
    <w:p>
      <w:pPr>
        <w:pStyle w:val="8"/>
        <w:rPr>
          <w:rFonts w:hint="eastAsia" w:ascii="新宋体" w:hAnsi="新宋体" w:eastAsia="新宋体" w:cs="新宋体"/>
          <w:b/>
          <w:bCs/>
          <w:color w:val="auto"/>
          <w:kern w:val="2"/>
          <w:sz w:val="28"/>
          <w:szCs w:val="28"/>
          <w:highlight w:val="none"/>
          <w:lang w:val="en-US" w:eastAsia="zh-CN" w:bidi="ar-SA"/>
        </w:rPr>
      </w:pPr>
    </w:p>
    <w:p>
      <w:pPr>
        <w:pStyle w:val="8"/>
        <w:rPr>
          <w:rFonts w:hint="eastAsia" w:ascii="新宋体" w:hAnsi="新宋体" w:eastAsia="新宋体" w:cs="新宋体"/>
          <w:b/>
          <w:bCs/>
          <w:color w:val="auto"/>
          <w:kern w:val="2"/>
          <w:sz w:val="28"/>
          <w:szCs w:val="28"/>
          <w:highlight w:val="none"/>
          <w:lang w:val="en-US" w:eastAsia="zh-CN" w:bidi="ar-SA"/>
        </w:rPr>
      </w:pPr>
    </w:p>
    <w:p>
      <w:pPr>
        <w:pStyle w:val="8"/>
        <w:rPr>
          <w:rFonts w:hint="eastAsia" w:ascii="新宋体" w:hAnsi="新宋体" w:eastAsia="新宋体" w:cs="新宋体"/>
          <w:b/>
          <w:bCs/>
          <w:color w:val="auto"/>
          <w:kern w:val="2"/>
          <w:sz w:val="28"/>
          <w:szCs w:val="28"/>
          <w:highlight w:val="none"/>
          <w:lang w:val="en-US" w:eastAsia="zh-CN" w:bidi="ar-SA"/>
        </w:rPr>
      </w:pPr>
    </w:p>
    <w:p>
      <w:pPr>
        <w:pStyle w:val="8"/>
        <w:rPr>
          <w:rFonts w:hint="eastAsia" w:ascii="新宋体" w:hAnsi="新宋体" w:eastAsia="新宋体" w:cs="新宋体"/>
          <w:b/>
          <w:bCs/>
          <w:color w:val="auto"/>
          <w:kern w:val="2"/>
          <w:sz w:val="28"/>
          <w:szCs w:val="28"/>
          <w:highlight w:val="none"/>
          <w:lang w:val="en-US" w:eastAsia="zh-CN" w:bidi="ar-SA"/>
        </w:rPr>
      </w:pPr>
    </w:p>
    <w:p>
      <w:pPr>
        <w:pStyle w:val="8"/>
        <w:rPr>
          <w:rFonts w:hint="eastAsia" w:ascii="新宋体" w:hAnsi="新宋体" w:eastAsia="新宋体" w:cs="新宋体"/>
          <w:b/>
          <w:bCs/>
          <w:color w:val="auto"/>
          <w:kern w:val="2"/>
          <w:sz w:val="28"/>
          <w:szCs w:val="28"/>
          <w:highlight w:val="none"/>
          <w:lang w:val="en-US" w:eastAsia="zh-CN" w:bidi="ar-SA"/>
        </w:rPr>
      </w:pPr>
    </w:p>
    <w:p>
      <w:pPr>
        <w:pStyle w:val="8"/>
        <w:rPr>
          <w:rFonts w:hint="eastAsia" w:ascii="新宋体" w:hAnsi="新宋体" w:eastAsia="新宋体" w:cs="新宋体"/>
          <w:b/>
          <w:bCs/>
          <w:color w:val="auto"/>
          <w:kern w:val="2"/>
          <w:sz w:val="28"/>
          <w:szCs w:val="28"/>
          <w:highlight w:val="none"/>
          <w:lang w:val="en-US" w:eastAsia="zh-CN" w:bidi="ar-SA"/>
        </w:rPr>
      </w:pPr>
    </w:p>
    <w:p>
      <w:pPr>
        <w:pStyle w:val="8"/>
        <w:rPr>
          <w:rFonts w:hint="eastAsia" w:ascii="新宋体" w:hAnsi="新宋体" w:eastAsia="新宋体" w:cs="新宋体"/>
          <w:b/>
          <w:bCs/>
          <w:color w:val="auto"/>
          <w:kern w:val="2"/>
          <w:sz w:val="28"/>
          <w:szCs w:val="28"/>
          <w:highlight w:val="none"/>
          <w:lang w:val="en-US" w:eastAsia="zh-CN" w:bidi="ar-SA"/>
        </w:rPr>
      </w:pPr>
    </w:p>
    <w:p>
      <w:pPr>
        <w:pStyle w:val="8"/>
        <w:rPr>
          <w:rFonts w:hint="eastAsia" w:ascii="新宋体" w:hAnsi="新宋体" w:eastAsia="新宋体" w:cs="新宋体"/>
          <w:b/>
          <w:bCs/>
          <w:color w:val="auto"/>
          <w:kern w:val="2"/>
          <w:sz w:val="28"/>
          <w:szCs w:val="28"/>
          <w:highlight w:val="none"/>
          <w:lang w:val="en-US" w:eastAsia="zh-CN" w:bidi="ar-SA"/>
        </w:rPr>
      </w:pPr>
    </w:p>
    <w:p>
      <w:pPr>
        <w:pStyle w:val="8"/>
        <w:rPr>
          <w:rFonts w:hint="eastAsia" w:ascii="新宋体" w:hAnsi="新宋体" w:eastAsia="新宋体" w:cs="新宋体"/>
          <w:b/>
          <w:bCs/>
          <w:color w:val="auto"/>
          <w:kern w:val="2"/>
          <w:sz w:val="28"/>
          <w:szCs w:val="28"/>
          <w:highlight w:val="none"/>
          <w:lang w:val="en-US" w:eastAsia="zh-CN" w:bidi="ar-SA"/>
        </w:rPr>
      </w:pPr>
    </w:p>
    <w:p>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全称（盖章）：</w:t>
      </w:r>
    </w:p>
    <w:p>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代表（签字）：</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pPr>
        <w:pStyle w:val="8"/>
        <w:ind w:left="0" w:leftChars="0" w:firstLine="0" w:firstLineChars="0"/>
        <w:rPr>
          <w:rFonts w:hint="eastAsia" w:ascii="新宋体" w:hAnsi="新宋体" w:eastAsia="新宋体" w:cs="新宋体"/>
          <w:b/>
          <w:bCs/>
          <w:color w:val="auto"/>
          <w:kern w:val="2"/>
          <w:sz w:val="28"/>
          <w:szCs w:val="28"/>
          <w:highlight w:val="none"/>
          <w:lang w:val="en-US" w:eastAsia="zh-CN" w:bidi="ar-SA"/>
        </w:rPr>
      </w:pPr>
    </w:p>
    <w:p>
      <w:pPr>
        <w:pStyle w:val="8"/>
        <w:rPr>
          <w:rFonts w:hint="eastAsia" w:ascii="新宋体" w:hAnsi="新宋体" w:eastAsia="新宋体" w:cs="新宋体"/>
          <w:b/>
          <w:bCs/>
          <w:color w:val="auto"/>
          <w:kern w:val="2"/>
          <w:sz w:val="28"/>
          <w:szCs w:val="28"/>
          <w:highlight w:val="none"/>
          <w:lang w:val="en-US" w:eastAsia="zh-CN" w:bidi="ar-SA"/>
        </w:rPr>
      </w:pPr>
    </w:p>
    <w:p>
      <w:pPr>
        <w:autoSpaceDE w:val="0"/>
        <w:autoSpaceDN w:val="0"/>
        <w:spacing w:line="360" w:lineRule="auto"/>
        <w:ind w:right="893"/>
        <w:textAlignment w:val="bottom"/>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 w:val="0"/>
          <w:bCs/>
          <w:color w:val="auto"/>
          <w:sz w:val="22"/>
          <w:highlight w:val="none"/>
        </w:rPr>
        <w:t xml:space="preserve">                            </w:t>
      </w:r>
      <w:r>
        <w:rPr>
          <w:rFonts w:hint="eastAsia" w:ascii="新宋体" w:hAnsi="新宋体" w:eastAsia="新宋体" w:cs="新宋体"/>
          <w:b w:val="0"/>
          <w:bCs/>
          <w:color w:val="auto"/>
          <w:highlight w:val="none"/>
        </w:rPr>
        <w:t xml:space="preserve"> </w:t>
      </w:r>
    </w:p>
    <w:p>
      <w:pPr>
        <w:pStyle w:val="8"/>
        <w:ind w:left="0" w:leftChars="0" w:firstLine="0" w:firstLineChars="0"/>
      </w:pPr>
    </w:p>
    <w:sectPr>
      <w:headerReference r:id="rId3" w:type="default"/>
      <w:footerReference r:id="rId4" w:type="default"/>
      <w:pgSz w:w="11907" w:h="16840"/>
      <w:pgMar w:top="1134" w:right="567" w:bottom="1134" w:left="567" w:header="851" w:footer="992" w:gutter="0"/>
      <w:pgBorders w:offsetFrom="page">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93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6"/>
                          </w:pPr>
                          <w:r>
                            <w:fldChar w:fldCharType="begin"/>
                          </w:r>
                          <w:r>
                            <w:instrText xml:space="preserve"> PAGE  \* MERGEFORMAT </w:instrText>
                          </w:r>
                          <w:r>
                            <w:fldChar w:fldCharType="separate"/>
                          </w:r>
                          <w: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vSsP01wEAALMDAAAOAAAAAAAAAAEA&#10;IAAAACIBAABkcnMvZTJvRG9jLnhtbFBLBQYAAAAABgAGAFkBAABrBQAAAAA=&#10;">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both"/>
    </w:pPr>
    <w:r>
      <w:rPr>
        <w:rFonts w:hint="eastAsia"/>
        <w:lang w:eastAsia="zh-CN"/>
      </w:rPr>
      <w:t>温州市中医院</w:t>
    </w:r>
    <w:r>
      <w:rPr>
        <w:rFonts w:hint="eastAsia"/>
        <w:lang w:val="en-US" w:eastAsia="zh-CN"/>
      </w:rPr>
      <w:t>遴选</w:t>
    </w:r>
    <w:r>
      <w:rPr>
        <w:rFonts w:hint="eastAsia"/>
      </w:rPr>
      <w:t xml:space="preserve">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0823B7"/>
    <w:multiLevelType w:val="singleLevel"/>
    <w:tmpl w:val="170823B7"/>
    <w:lvl w:ilvl="0" w:tentative="0">
      <w:start w:val="6"/>
      <w:numFmt w:val="decimal"/>
      <w:suff w:val="nothing"/>
      <w:lvlText w:val="%1、"/>
      <w:lvlJc w:val="left"/>
    </w:lvl>
  </w:abstractNum>
  <w:abstractNum w:abstractNumId="1">
    <w:nsid w:val="3D488B58"/>
    <w:multiLevelType w:val="singleLevel"/>
    <w:tmpl w:val="3D488B58"/>
    <w:lvl w:ilvl="0" w:tentative="0">
      <w:start w:val="2"/>
      <w:numFmt w:val="decimal"/>
      <w:suff w:val="nothing"/>
      <w:lvlText w:val="%1、"/>
      <w:lvlJc w:val="left"/>
      <w:pPr>
        <w:ind w:left="1214" w:firstLine="0"/>
      </w:pPr>
    </w:lvl>
  </w:abstractNum>
  <w:abstractNum w:abstractNumId="2">
    <w:nsid w:val="58558A8D"/>
    <w:multiLevelType w:val="singleLevel"/>
    <w:tmpl w:val="58558A8D"/>
    <w:lvl w:ilvl="0" w:tentative="0">
      <w:start w:val="3"/>
      <w:numFmt w:val="chineseCounting"/>
      <w:suff w:val="space"/>
      <w:lvlText w:val="第%1部分"/>
      <w:lvlJc w:val="left"/>
      <w:rPr>
        <w:rFonts w:hint="eastAsia"/>
      </w:rPr>
    </w:lvl>
  </w:abstractNum>
  <w:abstractNum w:abstractNumId="3">
    <w:nsid w:val="5BF52EE9"/>
    <w:multiLevelType w:val="singleLevel"/>
    <w:tmpl w:val="5BF52EE9"/>
    <w:lvl w:ilvl="0" w:tentative="0">
      <w:start w:val="3"/>
      <w:numFmt w:val="decimal"/>
      <w:lvlText w:val="%1."/>
      <w:lvlJc w:val="left"/>
      <w:pPr>
        <w:tabs>
          <w:tab w:val="left" w:pos="312"/>
        </w:tabs>
      </w:pPr>
    </w:lvl>
  </w:abstractNum>
  <w:abstractNum w:abstractNumId="4">
    <w:nsid w:val="5D497C9E"/>
    <w:multiLevelType w:val="multilevel"/>
    <w:tmpl w:val="5D497C9E"/>
    <w:lvl w:ilvl="0" w:tentative="0">
      <w:start w:val="1"/>
      <w:numFmt w:val="chineseCountingThousand"/>
      <w:pStyle w:val="3"/>
      <w:suff w:val="nothing"/>
      <w:lvlText w:val="第%1章"/>
      <w:lvlJc w:val="left"/>
      <w:pPr>
        <w:ind w:left="0" w:firstLine="0"/>
      </w:pPr>
      <w:rPr>
        <w:rFonts w:hint="default" w:ascii="Times New Roman" w:hAnsi="Times New Roman" w:eastAsia="黑体"/>
        <w:b/>
        <w:i w:val="0"/>
        <w:sz w:val="32"/>
        <w:szCs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4"/>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Dk4ZjUyNmI5ZWM0NTQwMmI0OWNkNmNiZDhjNjUifQ=="/>
  </w:docVars>
  <w:rsids>
    <w:rsidRoot w:val="00000000"/>
    <w:rsid w:val="00771B68"/>
    <w:rsid w:val="008A48D4"/>
    <w:rsid w:val="011C6F23"/>
    <w:rsid w:val="013C483F"/>
    <w:rsid w:val="04D05CEB"/>
    <w:rsid w:val="05723D6F"/>
    <w:rsid w:val="06891F59"/>
    <w:rsid w:val="07DA0192"/>
    <w:rsid w:val="08A6163C"/>
    <w:rsid w:val="08CD2485"/>
    <w:rsid w:val="0AED1932"/>
    <w:rsid w:val="0AF65B63"/>
    <w:rsid w:val="0C7525BA"/>
    <w:rsid w:val="0FDE047E"/>
    <w:rsid w:val="11B33DA7"/>
    <w:rsid w:val="129512F2"/>
    <w:rsid w:val="13523121"/>
    <w:rsid w:val="13E858DC"/>
    <w:rsid w:val="1561534A"/>
    <w:rsid w:val="165B7B41"/>
    <w:rsid w:val="16F75359"/>
    <w:rsid w:val="18274DA5"/>
    <w:rsid w:val="193A32DB"/>
    <w:rsid w:val="1A606529"/>
    <w:rsid w:val="1BE676EC"/>
    <w:rsid w:val="1DA43419"/>
    <w:rsid w:val="1DD106B2"/>
    <w:rsid w:val="1ECC4A05"/>
    <w:rsid w:val="1F664E2A"/>
    <w:rsid w:val="23414326"/>
    <w:rsid w:val="23E51F2A"/>
    <w:rsid w:val="26997893"/>
    <w:rsid w:val="284F07C1"/>
    <w:rsid w:val="288468E4"/>
    <w:rsid w:val="297A341E"/>
    <w:rsid w:val="29CC6F47"/>
    <w:rsid w:val="2A48028A"/>
    <w:rsid w:val="2A603FC7"/>
    <w:rsid w:val="2A8A18B8"/>
    <w:rsid w:val="2AFC0B7F"/>
    <w:rsid w:val="2C7E3222"/>
    <w:rsid w:val="2C8A24B9"/>
    <w:rsid w:val="2CC7309B"/>
    <w:rsid w:val="2D2742AE"/>
    <w:rsid w:val="2E4D5AE2"/>
    <w:rsid w:val="32844061"/>
    <w:rsid w:val="330469DC"/>
    <w:rsid w:val="339A2735"/>
    <w:rsid w:val="340F388A"/>
    <w:rsid w:val="35747FED"/>
    <w:rsid w:val="35C62742"/>
    <w:rsid w:val="36CB62E7"/>
    <w:rsid w:val="37701440"/>
    <w:rsid w:val="38D8749E"/>
    <w:rsid w:val="38F47062"/>
    <w:rsid w:val="39075182"/>
    <w:rsid w:val="392C4597"/>
    <w:rsid w:val="39EE7A9E"/>
    <w:rsid w:val="3A590E4E"/>
    <w:rsid w:val="3C510C3B"/>
    <w:rsid w:val="3D757489"/>
    <w:rsid w:val="408E3C7B"/>
    <w:rsid w:val="40E80D94"/>
    <w:rsid w:val="41662610"/>
    <w:rsid w:val="45267002"/>
    <w:rsid w:val="454B10C6"/>
    <w:rsid w:val="454D4212"/>
    <w:rsid w:val="48841C04"/>
    <w:rsid w:val="49920446"/>
    <w:rsid w:val="4A372D9B"/>
    <w:rsid w:val="4B3F0159"/>
    <w:rsid w:val="4D0A7B8E"/>
    <w:rsid w:val="4D115B26"/>
    <w:rsid w:val="4E926286"/>
    <w:rsid w:val="4F6753D8"/>
    <w:rsid w:val="4F9D5D96"/>
    <w:rsid w:val="50EC1D9C"/>
    <w:rsid w:val="51577B86"/>
    <w:rsid w:val="531620E8"/>
    <w:rsid w:val="53166176"/>
    <w:rsid w:val="53205839"/>
    <w:rsid w:val="5367154B"/>
    <w:rsid w:val="5552317F"/>
    <w:rsid w:val="56EC2185"/>
    <w:rsid w:val="572A46D5"/>
    <w:rsid w:val="59012A62"/>
    <w:rsid w:val="59936077"/>
    <w:rsid w:val="59CE54CA"/>
    <w:rsid w:val="5BDE576D"/>
    <w:rsid w:val="5BE30FD5"/>
    <w:rsid w:val="5BE57938"/>
    <w:rsid w:val="5C0B1E63"/>
    <w:rsid w:val="5DF41277"/>
    <w:rsid w:val="6071416B"/>
    <w:rsid w:val="62A565E7"/>
    <w:rsid w:val="633C780C"/>
    <w:rsid w:val="64EA2EAB"/>
    <w:rsid w:val="680306D5"/>
    <w:rsid w:val="688C3C05"/>
    <w:rsid w:val="69162670"/>
    <w:rsid w:val="6A7437A1"/>
    <w:rsid w:val="6BEC358E"/>
    <w:rsid w:val="6CEA21C3"/>
    <w:rsid w:val="6F804CAB"/>
    <w:rsid w:val="70FE5DD5"/>
    <w:rsid w:val="711073E9"/>
    <w:rsid w:val="713A076E"/>
    <w:rsid w:val="73EF7326"/>
    <w:rsid w:val="747A5B0C"/>
    <w:rsid w:val="74FF14E2"/>
    <w:rsid w:val="76BA45F8"/>
    <w:rsid w:val="76EF7A88"/>
    <w:rsid w:val="76FB321F"/>
    <w:rsid w:val="77A0632F"/>
    <w:rsid w:val="794B4733"/>
    <w:rsid w:val="7AA8546C"/>
    <w:rsid w:val="7BA46E03"/>
    <w:rsid w:val="7CE04A49"/>
    <w:rsid w:val="7DAA5057"/>
    <w:rsid w:val="7E457BD8"/>
    <w:rsid w:val="7E754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keepNext/>
      <w:numPr>
        <w:ilvl w:val="0"/>
        <w:numId w:val="1"/>
      </w:numPr>
      <w:jc w:val="center"/>
      <w:outlineLvl w:val="0"/>
    </w:pPr>
    <w:rPr>
      <w:rFonts w:eastAsia="黑体"/>
      <w:b/>
      <w:sz w:val="32"/>
      <w:szCs w:val="20"/>
    </w:rPr>
  </w:style>
  <w:style w:type="paragraph" w:styleId="4">
    <w:name w:val="heading 4"/>
    <w:basedOn w:val="1"/>
    <w:next w:val="1"/>
    <w:qFormat/>
    <w:uiPriority w:val="0"/>
    <w:pPr>
      <w:keepNext/>
      <w:keepLines/>
      <w:numPr>
        <w:ilvl w:val="3"/>
        <w:numId w:val="1"/>
      </w:numPr>
      <w:spacing w:line="540" w:lineRule="atLeast"/>
      <w:outlineLvl w:val="3"/>
    </w:pPr>
    <w:rPr>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12" w:lineRule="atLeast"/>
      <w:ind w:firstLine="420"/>
      <w:textAlignment w:val="baseline"/>
    </w:pPr>
    <w:rPr>
      <w:rFonts w:ascii="仿宋_GB2312"/>
      <w:b/>
      <w:kern w:val="0"/>
      <w:szCs w:val="32"/>
    </w:rPr>
  </w:style>
  <w:style w:type="paragraph" w:styleId="5">
    <w:name w:val="Body Text Indent"/>
    <w:basedOn w:val="1"/>
    <w:next w:val="1"/>
    <w:qFormat/>
    <w:uiPriority w:val="0"/>
    <w:pPr>
      <w:ind w:left="480" w:hanging="480" w:hangingChars="200"/>
    </w:pPr>
    <w:rPr>
      <w:sz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qFormat/>
    <w:uiPriority w:val="0"/>
    <w:pPr>
      <w:spacing w:after="120"/>
      <w:ind w:left="420" w:leftChars="200" w:firstLine="420"/>
    </w:pPr>
    <w:rPr>
      <w:rFonts w:cs="宋体"/>
      <w:sz w:val="21"/>
      <w:szCs w:val="21"/>
    </w:rPr>
  </w:style>
  <w:style w:type="table" w:styleId="10">
    <w:name w:val="Table Grid"/>
    <w:basedOn w:val="9"/>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BodyText"/>
    <w:basedOn w:val="1"/>
    <w:next w:val="13"/>
    <w:qFormat/>
    <w:uiPriority w:val="0"/>
    <w:pPr>
      <w:spacing w:after="120"/>
      <w:textAlignment w:val="baseline"/>
    </w:pPr>
    <w:rPr>
      <w:rFonts w:ascii="Tahoma" w:hAnsi="Tahoma"/>
    </w:rPr>
  </w:style>
  <w:style w:type="paragraph" w:customStyle="1" w:styleId="13">
    <w:name w:val="BodyText1I"/>
    <w:basedOn w:val="12"/>
    <w:next w:val="14"/>
    <w:qFormat/>
    <w:uiPriority w:val="0"/>
    <w:pPr>
      <w:ind w:firstLine="420" w:firstLineChars="100"/>
      <w:jc w:val="left"/>
    </w:pPr>
    <w:rPr>
      <w:rFonts w:ascii="仿宋_GB2312" w:hAnsi="Times New Roman"/>
      <w:b/>
      <w:kern w:val="0"/>
      <w:sz w:val="32"/>
      <w:szCs w:val="32"/>
    </w:rPr>
  </w:style>
  <w:style w:type="paragraph" w:customStyle="1" w:styleId="14">
    <w:name w:val="TOC6"/>
    <w:basedOn w:val="1"/>
    <w:next w:val="1"/>
    <w:qFormat/>
    <w:uiPriority w:val="0"/>
    <w:pPr>
      <w:ind w:left="2100" w:leftChars="1000"/>
      <w:jc w:val="left"/>
      <w:textAlignment w:val="baseline"/>
    </w:pPr>
    <w:rPr>
      <w:kern w:val="0"/>
      <w:sz w:val="20"/>
      <w:szCs w:val="20"/>
    </w:rPr>
  </w:style>
  <w:style w:type="paragraph" w:customStyle="1" w:styleId="15">
    <w:name w:val="Normal Indent"/>
    <w:basedOn w:val="1"/>
    <w:qFormat/>
    <w:uiPriority w:val="0"/>
    <w:pPr>
      <w:widowControl/>
      <w:ind w:firstLine="420"/>
      <w:jc w:val="left"/>
    </w:pPr>
    <w:rPr>
      <w:rFonts w:ascii="Times New Roman" w:hAnsi="Times New Roman"/>
      <w:kern w:val="0"/>
      <w:szCs w:val="20"/>
    </w:rPr>
  </w:style>
  <w:style w:type="character" w:customStyle="1" w:styleId="16">
    <w:name w:val="标题 1 Char"/>
    <w:link w:val="3"/>
    <w:qFormat/>
    <w:uiPriority w:val="0"/>
    <w:rPr>
      <w:rFonts w:eastAsia="黑体"/>
      <w:b/>
      <w:sz w:val="32"/>
      <w:szCs w:val="20"/>
    </w:rPr>
  </w:style>
  <w:style w:type="paragraph" w:styleId="17">
    <w:name w:val="List Paragraph"/>
    <w:basedOn w:val="1"/>
    <w:qFormat/>
    <w:uiPriority w:val="99"/>
    <w:pPr>
      <w:spacing w:before="21"/>
      <w:ind w:left="521" w:hanging="17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4014</Words>
  <Characters>4397</Characters>
  <Lines>0</Lines>
  <Paragraphs>0</Paragraphs>
  <TotalTime>82</TotalTime>
  <ScaleCrop>false</ScaleCrop>
  <LinksUpToDate>false</LinksUpToDate>
  <CharactersWithSpaces>4529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2022-11-11T03:06:00Z</dcterms:created>
  <dc:creator>Administrator</dc:creator>
  <cp:lastModifiedBy>天津卫</cp:lastModifiedBy>
  <dcterms:modified xsi:type="dcterms:W3CDTF">2023-09-08T06:03:31Z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0DB1D8D4C7F841CE9506E057915FD305</vt:lpwstr>
  </property>
</Properties>
</file>