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6"/>
          <w:szCs w:val="36"/>
        </w:rPr>
      </w:pPr>
      <w:r>
        <w:rPr>
          <w:rFonts w:hint="eastAsia"/>
          <w:b/>
          <w:bCs/>
          <w:sz w:val="36"/>
          <w:szCs w:val="36"/>
          <w:lang w:val="en-US" w:eastAsia="zh-CN"/>
        </w:rPr>
        <w:t>附件一、</w:t>
      </w:r>
      <w:r>
        <w:rPr>
          <w:rFonts w:hint="eastAsia"/>
          <w:b/>
          <w:bCs/>
          <w:sz w:val="36"/>
          <w:szCs w:val="36"/>
        </w:rPr>
        <w:t>采购</w:t>
      </w:r>
      <w:r>
        <w:rPr>
          <w:rFonts w:hint="eastAsia"/>
          <w:b/>
          <w:bCs/>
          <w:sz w:val="36"/>
          <w:szCs w:val="36"/>
          <w:lang w:val="en-US" w:eastAsia="zh-CN"/>
        </w:rPr>
        <w:t>内容及要求</w:t>
      </w:r>
    </w:p>
    <w:p>
      <w:pPr>
        <w:spacing w:line="360" w:lineRule="auto"/>
        <w:rPr>
          <w:rFonts w:hint="eastAsia" w:ascii="宋体" w:hAnsi="宋体" w:eastAsia="宋体" w:cs="宋体"/>
          <w:b/>
          <w:bCs/>
          <w:sz w:val="24"/>
          <w:u w:val="none"/>
          <w:lang w:val="en-US" w:eastAsia="zh-CN"/>
        </w:rPr>
      </w:pPr>
      <w:r>
        <w:rPr>
          <w:rFonts w:hint="eastAsia" w:ascii="宋体" w:hAnsi="宋体" w:eastAsia="宋体" w:cs="宋体"/>
          <w:b/>
          <w:bCs/>
          <w:sz w:val="24"/>
        </w:rPr>
        <w:t>一、项目名称：</w:t>
      </w:r>
      <w:r>
        <w:rPr>
          <w:rFonts w:hint="eastAsia" w:ascii="宋体" w:hAnsi="宋体" w:eastAsia="宋体" w:cs="宋体"/>
          <w:b/>
          <w:bCs/>
          <w:sz w:val="24"/>
          <w:lang w:val="en-US" w:eastAsia="zh-CN"/>
        </w:rPr>
        <w:t>服务器相关配件及光纤收发器模块</w:t>
      </w:r>
      <w:r>
        <w:rPr>
          <w:rFonts w:hint="eastAsia" w:ascii="宋体" w:hAnsi="宋体" w:eastAsia="宋体" w:cs="宋体"/>
          <w:b/>
          <w:bCs/>
          <w:sz w:val="24"/>
          <w:u w:val="none"/>
          <w:lang w:val="en-US" w:eastAsia="zh-CN"/>
        </w:rPr>
        <w:t>采购</w:t>
      </w:r>
    </w:p>
    <w:p>
      <w:pPr>
        <w:pStyle w:val="2"/>
        <w:spacing w:line="360" w:lineRule="auto"/>
        <w:ind w:firstLine="0" w:firstLineChars="0"/>
        <w:rPr>
          <w:rFonts w:hint="eastAsia" w:ascii="宋体" w:hAnsi="宋体" w:eastAsia="宋体" w:cs="宋体"/>
          <w:b/>
          <w:bCs/>
          <w:sz w:val="24"/>
          <w:lang w:val="en-US" w:eastAsia="zh-CN"/>
        </w:rPr>
      </w:pPr>
      <w:r>
        <w:rPr>
          <w:rFonts w:hint="eastAsia" w:ascii="宋体" w:hAnsi="宋体" w:eastAsia="宋体" w:cs="宋体"/>
          <w:b/>
          <w:bCs/>
          <w:sz w:val="24"/>
          <w:lang w:val="en-US" w:eastAsia="zh-CN"/>
        </w:rPr>
        <w:t>二</w:t>
      </w:r>
      <w:r>
        <w:rPr>
          <w:rFonts w:hint="eastAsia" w:ascii="宋体" w:hAnsi="宋体" w:eastAsia="宋体" w:cs="宋体"/>
          <w:b/>
          <w:bCs/>
          <w:sz w:val="24"/>
        </w:rPr>
        <w:t>、项目预算：</w:t>
      </w:r>
      <w:r>
        <w:rPr>
          <w:rFonts w:hint="eastAsia" w:ascii="宋体" w:hAnsi="宋体" w:eastAsia="宋体" w:cs="宋体"/>
          <w:b/>
          <w:bCs/>
          <w:sz w:val="24"/>
          <w:lang w:val="en-US" w:eastAsia="zh-CN"/>
        </w:rPr>
        <w:t>60000元</w:t>
      </w:r>
    </w:p>
    <w:p>
      <w:pPr>
        <w:pStyle w:val="2"/>
        <w:spacing w:line="360" w:lineRule="auto"/>
        <w:ind w:firstLine="0" w:firstLineChars="0"/>
        <w:rPr>
          <w:rFonts w:hint="eastAsia" w:ascii="宋体" w:hAnsi="宋体" w:eastAsia="宋体" w:cs="宋体"/>
          <w:b/>
          <w:bCs/>
        </w:rPr>
      </w:pPr>
      <w:r>
        <w:rPr>
          <w:rFonts w:hint="eastAsia" w:ascii="宋体" w:hAnsi="宋体" w:eastAsia="宋体" w:cs="宋体"/>
          <w:b/>
          <w:bCs/>
          <w:sz w:val="24"/>
          <w:lang w:val="en-US" w:eastAsia="zh-CN"/>
        </w:rPr>
        <w:t>三</w:t>
      </w:r>
      <w:r>
        <w:rPr>
          <w:rFonts w:hint="eastAsia" w:ascii="宋体" w:hAnsi="宋体" w:eastAsia="宋体" w:cs="宋体"/>
          <w:b/>
          <w:bCs/>
          <w:sz w:val="24"/>
        </w:rPr>
        <w:t>、项目概况及要求</w:t>
      </w:r>
      <w:r>
        <w:rPr>
          <w:rFonts w:hint="eastAsia" w:ascii="宋体" w:hAnsi="宋体" w:eastAsia="宋体" w:cs="宋体"/>
          <w:b/>
          <w:bCs/>
        </w:rPr>
        <w:t>：</w:t>
      </w:r>
    </w:p>
    <w:p>
      <w:pPr>
        <w:pStyle w:val="2"/>
        <w:spacing w:line="360" w:lineRule="auto"/>
        <w:ind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1、服务器相关配件：</w:t>
      </w:r>
    </w:p>
    <w:tbl>
      <w:tblPr>
        <w:tblStyle w:val="10"/>
        <w:tblW w:w="5023" w:type="pct"/>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337"/>
        <w:gridCol w:w="3566"/>
        <w:gridCol w:w="1100"/>
        <w:gridCol w:w="1106"/>
        <w:gridCol w:w="5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trPr>
        <w:tc>
          <w:tcPr>
            <w:tcW w:w="457" w:type="pct"/>
            <w:shd w:val="clear" w:color="auto" w:fill="auto"/>
            <w:vAlign w:val="center"/>
          </w:tcPr>
          <w:p>
            <w:pPr>
              <w:widowControl/>
              <w:spacing w:line="440" w:lineRule="exact"/>
              <w:jc w:val="center"/>
              <w:rPr>
                <w:rFonts w:hint="default"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序号</w:t>
            </w:r>
          </w:p>
        </w:tc>
        <w:tc>
          <w:tcPr>
            <w:tcW w:w="805" w:type="pct"/>
            <w:shd w:val="clear" w:color="auto" w:fill="auto"/>
            <w:vAlign w:val="center"/>
          </w:tcPr>
          <w:p>
            <w:pPr>
              <w:widowControl/>
              <w:spacing w:line="440" w:lineRule="exact"/>
              <w:jc w:val="center"/>
              <w:rPr>
                <w:rFonts w:ascii="宋体" w:hAnsi="宋体" w:eastAsia="宋体" w:cs="宋体"/>
                <w:b w:val="0"/>
                <w:bCs w:val="0"/>
                <w:sz w:val="24"/>
                <w:highlight w:val="none"/>
              </w:rPr>
            </w:pPr>
            <w:r>
              <w:rPr>
                <w:rFonts w:hint="eastAsia" w:ascii="宋体" w:hAnsi="宋体" w:cs="宋体"/>
                <w:b w:val="0"/>
                <w:bCs w:val="0"/>
                <w:sz w:val="24"/>
                <w:highlight w:val="none"/>
                <w:lang w:val="en-US" w:eastAsia="zh-CN"/>
              </w:rPr>
              <w:t>产品</w:t>
            </w:r>
            <w:r>
              <w:rPr>
                <w:rFonts w:hint="eastAsia" w:ascii="宋体" w:hAnsi="宋体" w:cs="宋体"/>
                <w:b w:val="0"/>
                <w:bCs w:val="0"/>
                <w:sz w:val="24"/>
                <w:highlight w:val="none"/>
              </w:rPr>
              <w:t>名称</w:t>
            </w:r>
          </w:p>
        </w:tc>
        <w:tc>
          <w:tcPr>
            <w:tcW w:w="1228" w:type="pct"/>
            <w:shd w:val="clear" w:color="auto" w:fill="auto"/>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服务器品牌型号</w:t>
            </w:r>
          </w:p>
        </w:tc>
        <w:tc>
          <w:tcPr>
            <w:tcW w:w="379" w:type="pct"/>
            <w:shd w:val="clear" w:color="auto" w:fill="auto"/>
            <w:vAlign w:val="center"/>
          </w:tcPr>
          <w:p>
            <w:pPr>
              <w:spacing w:line="440" w:lineRule="exact"/>
              <w:jc w:val="center"/>
              <w:rPr>
                <w:rFonts w:ascii="宋体" w:hAnsi="宋体" w:eastAsia="宋体" w:cs="宋体"/>
                <w:b w:val="0"/>
                <w:bCs w:val="0"/>
                <w:sz w:val="24"/>
                <w:highlight w:val="none"/>
              </w:rPr>
            </w:pPr>
            <w:r>
              <w:rPr>
                <w:rFonts w:hint="eastAsia" w:ascii="宋体" w:hAnsi="宋体" w:eastAsia="宋体" w:cs="宋体"/>
                <w:b w:val="0"/>
                <w:bCs w:val="0"/>
                <w:sz w:val="24"/>
                <w:highlight w:val="none"/>
              </w:rPr>
              <w:t>单位</w:t>
            </w:r>
          </w:p>
        </w:tc>
        <w:tc>
          <w:tcPr>
            <w:tcW w:w="381" w:type="pct"/>
            <w:vAlign w:val="center"/>
          </w:tcPr>
          <w:p>
            <w:pPr>
              <w:spacing w:line="440" w:lineRule="exact"/>
              <w:jc w:val="center"/>
              <w:rPr>
                <w:rFonts w:ascii="宋体" w:hAnsi="宋体" w:eastAsia="宋体" w:cs="宋体"/>
                <w:b w:val="0"/>
                <w:bCs w:val="0"/>
                <w:sz w:val="24"/>
                <w:highlight w:val="none"/>
              </w:rPr>
            </w:pPr>
            <w:r>
              <w:rPr>
                <w:rFonts w:hint="eastAsia" w:ascii="宋体" w:hAnsi="宋体" w:eastAsia="宋体" w:cs="宋体"/>
                <w:b w:val="0"/>
                <w:bCs w:val="0"/>
                <w:sz w:val="24"/>
                <w:highlight w:val="none"/>
              </w:rPr>
              <w:t>数量</w:t>
            </w:r>
          </w:p>
        </w:tc>
        <w:tc>
          <w:tcPr>
            <w:tcW w:w="1748" w:type="pct"/>
            <w:shd w:val="clear" w:color="auto" w:fill="auto"/>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blHeader/>
        </w:trPr>
        <w:tc>
          <w:tcPr>
            <w:tcW w:w="457" w:type="pct"/>
            <w:shd w:val="clear" w:color="auto" w:fill="auto"/>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w:t>
            </w:r>
          </w:p>
        </w:tc>
        <w:tc>
          <w:tcPr>
            <w:tcW w:w="805" w:type="pct"/>
            <w:shd w:val="clear" w:color="auto" w:fill="auto"/>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万兆网卡（含模块）</w:t>
            </w:r>
          </w:p>
        </w:tc>
        <w:tc>
          <w:tcPr>
            <w:tcW w:w="1228"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HUAWEI RH5885 V2</w:t>
            </w:r>
          </w:p>
        </w:tc>
        <w:tc>
          <w:tcPr>
            <w:tcW w:w="379"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val="en-US" w:eastAsia="zh-CN"/>
              </w:rPr>
              <w:t>张</w:t>
            </w:r>
          </w:p>
        </w:tc>
        <w:tc>
          <w:tcPr>
            <w:tcW w:w="381" w:type="pct"/>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12</w:t>
            </w:r>
          </w:p>
        </w:tc>
        <w:tc>
          <w:tcPr>
            <w:tcW w:w="174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1、电源供电：PCIe供电；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2、传输速率：10G/s；</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3、具备2个SFP+接口；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4、需与所列品牌型号的服务器无缝兼容；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eastAsiaTheme="minorEastAsia"/>
                <w:b w:val="0"/>
                <w:bCs w:val="0"/>
                <w:sz w:val="24"/>
                <w:highlight w:val="none"/>
                <w:lang w:val="en-US" w:eastAsia="zh-CN"/>
              </w:rPr>
            </w:pPr>
            <w:r>
              <w:rPr>
                <w:rFonts w:hint="eastAsia" w:ascii="宋体" w:hAnsi="宋体" w:cs="宋体"/>
                <w:b w:val="0"/>
                <w:bCs w:val="0"/>
                <w:sz w:val="24"/>
                <w:highlight w:val="none"/>
                <w:lang w:val="en-US" w:eastAsia="zh-CN"/>
              </w:rPr>
              <w:t>5、原装产品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blHeader/>
        </w:trPr>
        <w:tc>
          <w:tcPr>
            <w:tcW w:w="457" w:type="pct"/>
            <w:shd w:val="clear" w:color="auto" w:fill="auto"/>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w:t>
            </w:r>
          </w:p>
        </w:tc>
        <w:tc>
          <w:tcPr>
            <w:tcW w:w="805" w:type="pct"/>
            <w:shd w:val="clear" w:color="auto" w:fill="auto"/>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万兆网卡（含模块）</w:t>
            </w:r>
          </w:p>
        </w:tc>
        <w:tc>
          <w:tcPr>
            <w:tcW w:w="1228"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HP DL580 G9</w:t>
            </w:r>
          </w:p>
        </w:tc>
        <w:tc>
          <w:tcPr>
            <w:tcW w:w="379" w:type="pct"/>
            <w:shd w:val="clear" w:color="auto" w:fill="auto"/>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张</w:t>
            </w:r>
          </w:p>
        </w:tc>
        <w:tc>
          <w:tcPr>
            <w:tcW w:w="381" w:type="pct"/>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6</w:t>
            </w:r>
          </w:p>
        </w:tc>
        <w:tc>
          <w:tcPr>
            <w:tcW w:w="174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1、电源供电：PCIe供电；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2、传输速率：10G/s；</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3、具备2个SFP+接口；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4、需与所列品牌型号的服务器无缝兼容；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eastAsiaTheme="minorEastAsia"/>
                <w:b w:val="0"/>
                <w:bCs w:val="0"/>
                <w:sz w:val="24"/>
                <w:highlight w:val="none"/>
                <w:lang w:eastAsia="zh-CN"/>
              </w:rPr>
            </w:pPr>
            <w:r>
              <w:rPr>
                <w:rFonts w:hint="eastAsia" w:ascii="宋体" w:hAnsi="宋体" w:cs="宋体"/>
                <w:b w:val="0"/>
                <w:bCs w:val="0"/>
                <w:sz w:val="24"/>
                <w:highlight w:val="none"/>
                <w:lang w:val="en-US" w:eastAsia="zh-CN"/>
              </w:rPr>
              <w:t>5、原装产品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blHeader/>
        </w:trPr>
        <w:tc>
          <w:tcPr>
            <w:tcW w:w="457" w:type="pct"/>
            <w:shd w:val="clear" w:color="auto" w:fill="auto"/>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w:t>
            </w:r>
          </w:p>
        </w:tc>
        <w:tc>
          <w:tcPr>
            <w:tcW w:w="805"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val="en-US" w:eastAsia="zh-CN"/>
              </w:rPr>
              <w:t>内存</w:t>
            </w:r>
          </w:p>
        </w:tc>
        <w:tc>
          <w:tcPr>
            <w:tcW w:w="1228" w:type="pct"/>
            <w:shd w:val="clear" w:color="auto" w:fill="auto"/>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cs="宋体"/>
                <w:b w:val="0"/>
                <w:bCs w:val="0"/>
                <w:sz w:val="24"/>
                <w:highlight w:val="none"/>
                <w:lang w:val="en-US" w:eastAsia="zh-CN"/>
              </w:rPr>
              <w:t>HP DL388 G10/HP DL380 Gen10</w:t>
            </w:r>
          </w:p>
        </w:tc>
        <w:tc>
          <w:tcPr>
            <w:tcW w:w="379"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val="en-US" w:eastAsia="zh-CN"/>
              </w:rPr>
              <w:t>条</w:t>
            </w:r>
          </w:p>
        </w:tc>
        <w:tc>
          <w:tcPr>
            <w:tcW w:w="381" w:type="pct"/>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12</w:t>
            </w:r>
          </w:p>
        </w:tc>
        <w:tc>
          <w:tcPr>
            <w:tcW w:w="174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eastAsiaTheme="minorEastAsia"/>
                <w:b w:val="0"/>
                <w:bCs w:val="0"/>
                <w:sz w:val="24"/>
                <w:highlight w:val="none"/>
                <w:lang w:eastAsia="zh-CN"/>
              </w:rPr>
            </w:pPr>
            <w:r>
              <w:rPr>
                <w:rFonts w:hint="eastAsia" w:ascii="宋体" w:hAnsi="宋体" w:cs="宋体"/>
                <w:b w:val="0"/>
                <w:bCs w:val="0"/>
                <w:sz w:val="24"/>
                <w:highlight w:val="none"/>
                <w:lang w:val="en-US" w:eastAsia="zh-CN"/>
              </w:rPr>
              <w:t>1、</w:t>
            </w:r>
            <w:r>
              <w:rPr>
                <w:rFonts w:hint="eastAsia" w:ascii="宋体" w:hAnsi="宋体" w:cs="宋体" w:eastAsiaTheme="minorEastAsia"/>
                <w:b w:val="0"/>
                <w:bCs w:val="0"/>
                <w:sz w:val="24"/>
                <w:highlight w:val="none"/>
                <w:lang w:eastAsia="zh-CN"/>
              </w:rPr>
              <w:t>类型：DDR4</w:t>
            </w:r>
            <w:r>
              <w:rPr>
                <w:rFonts w:hint="eastAsia" w:ascii="宋体" w:hAnsi="宋体" w:cs="宋体"/>
                <w:b w:val="0"/>
                <w:bCs w:val="0"/>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eastAsiaTheme="minorEastAsia"/>
                <w:b w:val="0"/>
                <w:bCs w:val="0"/>
                <w:sz w:val="24"/>
                <w:highlight w:val="none"/>
                <w:lang w:eastAsia="zh-CN"/>
              </w:rPr>
            </w:pPr>
            <w:r>
              <w:rPr>
                <w:rFonts w:hint="eastAsia" w:ascii="宋体" w:hAnsi="宋体" w:cs="宋体"/>
                <w:b w:val="0"/>
                <w:bCs w:val="0"/>
                <w:sz w:val="24"/>
                <w:highlight w:val="none"/>
                <w:lang w:val="en-US" w:eastAsia="zh-CN"/>
              </w:rPr>
              <w:t>2、单条</w:t>
            </w:r>
            <w:r>
              <w:rPr>
                <w:rFonts w:hint="eastAsia" w:ascii="宋体" w:hAnsi="宋体" w:cs="宋体" w:eastAsiaTheme="minorEastAsia"/>
                <w:b w:val="0"/>
                <w:bCs w:val="0"/>
                <w:sz w:val="24"/>
                <w:highlight w:val="none"/>
                <w:lang w:eastAsia="zh-CN"/>
              </w:rPr>
              <w:t>容量：32GB</w:t>
            </w:r>
            <w:r>
              <w:rPr>
                <w:rFonts w:hint="eastAsia" w:ascii="宋体" w:hAnsi="宋体" w:cs="宋体"/>
                <w:b w:val="0"/>
                <w:bCs w:val="0"/>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val="0"/>
                <w:sz w:val="24"/>
                <w:highlight w:val="none"/>
                <w:lang w:eastAsia="zh-CN"/>
              </w:rPr>
            </w:pPr>
            <w:r>
              <w:rPr>
                <w:rFonts w:hint="eastAsia" w:ascii="宋体" w:hAnsi="宋体" w:cs="宋体"/>
                <w:b w:val="0"/>
                <w:bCs w:val="0"/>
                <w:sz w:val="24"/>
                <w:highlight w:val="none"/>
                <w:lang w:val="en-US" w:eastAsia="zh-CN"/>
              </w:rPr>
              <w:t>3、</w:t>
            </w:r>
            <w:r>
              <w:rPr>
                <w:rFonts w:hint="eastAsia" w:ascii="宋体" w:hAnsi="宋体" w:cs="宋体" w:eastAsiaTheme="minorEastAsia"/>
                <w:b w:val="0"/>
                <w:bCs w:val="0"/>
                <w:sz w:val="24"/>
                <w:highlight w:val="none"/>
                <w:lang w:eastAsia="zh-CN"/>
              </w:rPr>
              <w:t>频率：2933MHz</w:t>
            </w:r>
            <w:r>
              <w:rPr>
                <w:rFonts w:hint="eastAsia" w:ascii="宋体" w:hAnsi="宋体" w:cs="宋体"/>
                <w:b w:val="0"/>
                <w:bCs w:val="0"/>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4、需与所列品牌型号的服务器无缝兼容；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eastAsiaTheme="minorEastAsia"/>
                <w:b w:val="0"/>
                <w:bCs w:val="0"/>
                <w:sz w:val="24"/>
                <w:highlight w:val="none"/>
                <w:lang w:eastAsia="zh-CN"/>
              </w:rPr>
            </w:pPr>
            <w:r>
              <w:rPr>
                <w:rFonts w:hint="eastAsia" w:ascii="宋体" w:hAnsi="宋体" w:cs="宋体"/>
                <w:b w:val="0"/>
                <w:bCs w:val="0"/>
                <w:sz w:val="24"/>
                <w:highlight w:val="none"/>
                <w:lang w:val="en-US" w:eastAsia="zh-CN"/>
              </w:rPr>
              <w:t>5、原装产品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blHeader/>
        </w:trPr>
        <w:tc>
          <w:tcPr>
            <w:tcW w:w="457" w:type="pct"/>
            <w:shd w:val="clear" w:color="auto" w:fill="auto"/>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4</w:t>
            </w:r>
          </w:p>
        </w:tc>
        <w:tc>
          <w:tcPr>
            <w:tcW w:w="805"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val="en-US" w:eastAsia="zh-CN"/>
              </w:rPr>
              <w:t>500W电源</w:t>
            </w:r>
          </w:p>
        </w:tc>
        <w:tc>
          <w:tcPr>
            <w:tcW w:w="1228"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cs="宋体"/>
                <w:b w:val="0"/>
                <w:bCs w:val="0"/>
                <w:sz w:val="24"/>
                <w:highlight w:val="none"/>
                <w:lang w:val="en-US" w:eastAsia="zh-CN"/>
              </w:rPr>
              <w:t>HP DL388 G10</w:t>
            </w:r>
          </w:p>
        </w:tc>
        <w:tc>
          <w:tcPr>
            <w:tcW w:w="379"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val="en-US" w:eastAsia="zh-CN"/>
              </w:rPr>
              <w:t>个</w:t>
            </w:r>
          </w:p>
        </w:tc>
        <w:tc>
          <w:tcPr>
            <w:tcW w:w="381" w:type="pct"/>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w:t>
            </w:r>
          </w:p>
        </w:tc>
        <w:tc>
          <w:tcPr>
            <w:tcW w:w="174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1、需与所列品牌型号的服务器无缝兼容；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eastAsiaTheme="minorEastAsia"/>
                <w:b w:val="0"/>
                <w:bCs w:val="0"/>
                <w:sz w:val="24"/>
                <w:highlight w:val="none"/>
                <w:lang w:eastAsia="zh-CN"/>
              </w:rPr>
            </w:pPr>
            <w:r>
              <w:rPr>
                <w:rFonts w:hint="eastAsia" w:ascii="宋体" w:hAnsi="宋体" w:cs="宋体"/>
                <w:b w:val="0"/>
                <w:bCs w:val="0"/>
                <w:sz w:val="24"/>
                <w:highlight w:val="none"/>
                <w:lang w:val="en-US" w:eastAsia="zh-CN"/>
              </w:rPr>
              <w:t>2、原装产品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blHeader/>
        </w:trPr>
        <w:tc>
          <w:tcPr>
            <w:tcW w:w="457" w:type="pct"/>
            <w:shd w:val="clear" w:color="auto" w:fill="auto"/>
            <w:vAlign w:val="center"/>
          </w:tcPr>
          <w:p>
            <w:pPr>
              <w:spacing w:line="440" w:lineRule="exact"/>
              <w:jc w:val="cente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5</w:t>
            </w:r>
          </w:p>
        </w:tc>
        <w:tc>
          <w:tcPr>
            <w:tcW w:w="805" w:type="pct"/>
            <w:shd w:val="clear" w:color="auto" w:fill="auto"/>
            <w:vAlign w:val="center"/>
          </w:tcPr>
          <w:p>
            <w:pPr>
              <w:spacing w:line="440" w:lineRule="exact"/>
              <w:jc w:val="center"/>
              <w:rPr>
                <w:rFonts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800W电源</w:t>
            </w:r>
          </w:p>
        </w:tc>
        <w:tc>
          <w:tcPr>
            <w:tcW w:w="1228"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cs="宋体"/>
                <w:b w:val="0"/>
                <w:bCs w:val="0"/>
                <w:sz w:val="24"/>
                <w:highlight w:val="none"/>
                <w:lang w:val="en-US" w:eastAsia="zh-CN"/>
              </w:rPr>
              <w:t>HP DL380 Gen10</w:t>
            </w:r>
          </w:p>
        </w:tc>
        <w:tc>
          <w:tcPr>
            <w:tcW w:w="379"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val="en-US" w:eastAsia="zh-CN"/>
              </w:rPr>
              <w:t>个</w:t>
            </w:r>
          </w:p>
        </w:tc>
        <w:tc>
          <w:tcPr>
            <w:tcW w:w="381" w:type="pct"/>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w:t>
            </w:r>
          </w:p>
        </w:tc>
        <w:tc>
          <w:tcPr>
            <w:tcW w:w="174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1、需与所列品牌型号的服务器无缝兼容；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eastAsiaTheme="minorEastAsia"/>
                <w:b w:val="0"/>
                <w:bCs w:val="0"/>
                <w:sz w:val="24"/>
                <w:highlight w:val="none"/>
                <w:lang w:val="en-US" w:eastAsia="zh-CN"/>
              </w:rPr>
            </w:pPr>
            <w:r>
              <w:rPr>
                <w:rFonts w:hint="eastAsia" w:ascii="宋体" w:hAnsi="宋体" w:cs="宋体"/>
                <w:b w:val="0"/>
                <w:bCs w:val="0"/>
                <w:sz w:val="24"/>
                <w:highlight w:val="none"/>
                <w:lang w:val="en-US" w:eastAsia="zh-CN"/>
              </w:rPr>
              <w:t>2、原装产品</w:t>
            </w:r>
          </w:p>
        </w:tc>
      </w:tr>
    </w:tbl>
    <w:p>
      <w:pPr>
        <w:pStyle w:val="2"/>
        <w:ind w:firstLine="0" w:firstLineChars="0"/>
        <w:rPr>
          <w:rFonts w:hint="default" w:ascii="宋体" w:hAnsi="宋体" w:eastAsia="宋体" w:cs="宋体"/>
          <w:sz w:val="24"/>
          <w:lang w:val="en-US" w:eastAsia="zh-CN"/>
        </w:rPr>
      </w:pPr>
    </w:p>
    <w:p>
      <w:pPr>
        <w:pStyle w:val="2"/>
        <w:numPr>
          <w:ilvl w:val="0"/>
          <w:numId w:val="0"/>
        </w:numPr>
        <w:rPr>
          <w:rFonts w:hint="default" w:ascii="宋体" w:hAnsi="宋体" w:eastAsia="宋体" w:cs="宋体"/>
          <w:sz w:val="24"/>
          <w:lang w:val="en-US" w:eastAsia="zh-CN"/>
        </w:rPr>
      </w:pPr>
      <w:r>
        <w:rPr>
          <w:rFonts w:hint="eastAsia" w:ascii="宋体" w:hAnsi="宋体" w:eastAsia="宋体" w:cs="宋体"/>
          <w:sz w:val="24"/>
          <w:lang w:val="en-US" w:eastAsia="zh-CN"/>
        </w:rPr>
        <w:t>2、</w:t>
      </w:r>
      <w:r>
        <w:rPr>
          <w:rFonts w:hint="default" w:ascii="宋体" w:hAnsi="宋体" w:eastAsia="宋体" w:cs="宋体"/>
          <w:sz w:val="24"/>
          <w:lang w:val="en-US" w:eastAsia="zh-CN"/>
        </w:rPr>
        <w:t>光纤收发器模块：</w:t>
      </w:r>
    </w:p>
    <w:tbl>
      <w:tblPr>
        <w:tblStyle w:val="10"/>
        <w:tblW w:w="5023" w:type="pct"/>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2332"/>
        <w:gridCol w:w="3570"/>
        <w:gridCol w:w="1107"/>
        <w:gridCol w:w="1110"/>
        <w:gridCol w:w="5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trPr>
        <w:tc>
          <w:tcPr>
            <w:tcW w:w="455" w:type="pct"/>
            <w:shd w:val="clear" w:color="auto" w:fill="auto"/>
            <w:vAlign w:val="center"/>
          </w:tcPr>
          <w:p>
            <w:pPr>
              <w:widowControl/>
              <w:spacing w:line="440" w:lineRule="exact"/>
              <w:jc w:val="center"/>
              <w:rPr>
                <w:rFonts w:hint="default"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序号</w:t>
            </w:r>
          </w:p>
        </w:tc>
        <w:tc>
          <w:tcPr>
            <w:tcW w:w="803" w:type="pct"/>
            <w:shd w:val="clear" w:color="auto" w:fill="auto"/>
            <w:vAlign w:val="center"/>
          </w:tcPr>
          <w:p>
            <w:pPr>
              <w:widowControl/>
              <w:spacing w:line="440" w:lineRule="exact"/>
              <w:jc w:val="center"/>
              <w:rPr>
                <w:rFonts w:ascii="宋体" w:hAnsi="宋体" w:eastAsia="宋体" w:cs="宋体"/>
                <w:b w:val="0"/>
                <w:bCs w:val="0"/>
                <w:sz w:val="24"/>
                <w:highlight w:val="none"/>
              </w:rPr>
            </w:pPr>
            <w:r>
              <w:rPr>
                <w:rFonts w:hint="eastAsia" w:ascii="宋体" w:hAnsi="宋体" w:cs="宋体"/>
                <w:b w:val="0"/>
                <w:bCs w:val="0"/>
                <w:sz w:val="24"/>
                <w:highlight w:val="none"/>
                <w:lang w:val="en-US" w:eastAsia="zh-CN"/>
              </w:rPr>
              <w:t>产品</w:t>
            </w:r>
            <w:r>
              <w:rPr>
                <w:rFonts w:hint="eastAsia" w:ascii="宋体" w:hAnsi="宋体" w:cs="宋体"/>
                <w:b w:val="0"/>
                <w:bCs w:val="0"/>
                <w:sz w:val="24"/>
                <w:highlight w:val="none"/>
              </w:rPr>
              <w:t>名称</w:t>
            </w:r>
          </w:p>
        </w:tc>
        <w:tc>
          <w:tcPr>
            <w:tcW w:w="1229" w:type="pct"/>
            <w:shd w:val="clear" w:color="auto" w:fill="auto"/>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收发框品牌型号</w:t>
            </w:r>
          </w:p>
        </w:tc>
        <w:tc>
          <w:tcPr>
            <w:tcW w:w="381" w:type="pct"/>
            <w:shd w:val="clear" w:color="auto" w:fill="auto"/>
            <w:vAlign w:val="center"/>
          </w:tcPr>
          <w:p>
            <w:pPr>
              <w:spacing w:line="440" w:lineRule="exact"/>
              <w:jc w:val="center"/>
              <w:rPr>
                <w:rFonts w:ascii="宋体" w:hAnsi="宋体" w:eastAsia="宋体" w:cs="宋体"/>
                <w:b w:val="0"/>
                <w:bCs w:val="0"/>
                <w:sz w:val="24"/>
                <w:highlight w:val="none"/>
              </w:rPr>
            </w:pPr>
            <w:r>
              <w:rPr>
                <w:rFonts w:hint="eastAsia" w:ascii="宋体" w:hAnsi="宋体" w:eastAsia="宋体" w:cs="宋体"/>
                <w:b w:val="0"/>
                <w:bCs w:val="0"/>
                <w:sz w:val="24"/>
                <w:highlight w:val="none"/>
              </w:rPr>
              <w:t>单位</w:t>
            </w:r>
          </w:p>
        </w:tc>
        <w:tc>
          <w:tcPr>
            <w:tcW w:w="382" w:type="pct"/>
            <w:vAlign w:val="center"/>
          </w:tcPr>
          <w:p>
            <w:pPr>
              <w:spacing w:line="440" w:lineRule="exact"/>
              <w:jc w:val="center"/>
              <w:rPr>
                <w:rFonts w:ascii="宋体" w:hAnsi="宋体" w:eastAsia="宋体" w:cs="宋体"/>
                <w:b w:val="0"/>
                <w:bCs w:val="0"/>
                <w:sz w:val="24"/>
                <w:highlight w:val="none"/>
              </w:rPr>
            </w:pPr>
            <w:r>
              <w:rPr>
                <w:rFonts w:hint="eastAsia" w:ascii="宋体" w:hAnsi="宋体" w:eastAsia="宋体" w:cs="宋体"/>
                <w:b w:val="0"/>
                <w:bCs w:val="0"/>
                <w:sz w:val="24"/>
                <w:highlight w:val="none"/>
              </w:rPr>
              <w:t>数量</w:t>
            </w:r>
          </w:p>
        </w:tc>
        <w:tc>
          <w:tcPr>
            <w:tcW w:w="1746" w:type="pct"/>
            <w:shd w:val="clear" w:color="auto" w:fill="auto"/>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blHeader/>
        </w:trPr>
        <w:tc>
          <w:tcPr>
            <w:tcW w:w="455" w:type="pct"/>
            <w:shd w:val="clear" w:color="auto" w:fill="auto"/>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w:t>
            </w:r>
          </w:p>
        </w:tc>
        <w:tc>
          <w:tcPr>
            <w:tcW w:w="803" w:type="pct"/>
            <w:shd w:val="clear" w:color="auto" w:fill="auto"/>
            <w:vAlign w:val="center"/>
          </w:tcPr>
          <w:p>
            <w:pPr>
              <w:spacing w:line="440" w:lineRule="exact"/>
              <w:jc w:val="center"/>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光纤收发器模块</w:t>
            </w:r>
          </w:p>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lang w:val="en-US" w:eastAsia="zh-CN"/>
              </w:rPr>
              <w:t>（百兆，插卡式）</w:t>
            </w:r>
          </w:p>
        </w:tc>
        <w:tc>
          <w:tcPr>
            <w:tcW w:w="1229"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瑞斯康达RC002-16AC/D</w:t>
            </w:r>
          </w:p>
        </w:tc>
        <w:tc>
          <w:tcPr>
            <w:tcW w:w="381"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val="en-US" w:eastAsia="zh-CN"/>
              </w:rPr>
              <w:t>个</w:t>
            </w:r>
          </w:p>
        </w:tc>
        <w:tc>
          <w:tcPr>
            <w:tcW w:w="382" w:type="pct"/>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w:t>
            </w:r>
          </w:p>
        </w:tc>
        <w:tc>
          <w:tcPr>
            <w:tcW w:w="174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1、传输速率（Mbps）：100；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b w:val="0"/>
                <w:bCs w:val="0"/>
                <w:sz w:val="24"/>
                <w:highlight w:val="none"/>
                <w:lang w:eastAsia="zh-CN"/>
              </w:rPr>
            </w:pPr>
            <w:r>
              <w:rPr>
                <w:rFonts w:hint="eastAsia" w:ascii="宋体" w:hAnsi="宋体" w:cs="宋体"/>
                <w:b w:val="0"/>
                <w:bCs w:val="0"/>
                <w:sz w:val="24"/>
                <w:highlight w:val="none"/>
                <w:lang w:val="en-US" w:eastAsia="zh-CN"/>
              </w:rPr>
              <w:t>2、</w:t>
            </w:r>
            <w:r>
              <w:rPr>
                <w:rFonts w:hint="default" w:ascii="宋体" w:hAnsi="宋体" w:cs="宋体"/>
                <w:b w:val="0"/>
                <w:bCs w:val="0"/>
                <w:sz w:val="24"/>
                <w:highlight w:val="none"/>
                <w:lang w:eastAsia="zh-CN"/>
              </w:rPr>
              <w:t>发光：1310nm</w:t>
            </w:r>
            <w:r>
              <w:rPr>
                <w:rFonts w:hint="eastAsia" w:ascii="宋体" w:hAnsi="宋体" w:cs="宋体"/>
                <w:b w:val="0"/>
                <w:bCs w:val="0"/>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val="0"/>
                <w:sz w:val="24"/>
                <w:highlight w:val="none"/>
                <w:lang w:val="en-US" w:eastAsia="zh-CN"/>
              </w:rPr>
            </w:pPr>
            <w:r>
              <w:rPr>
                <w:rFonts w:hint="default" w:ascii="宋体" w:hAnsi="宋体" w:cs="宋体"/>
                <w:b w:val="0"/>
                <w:bCs w:val="0"/>
                <w:sz w:val="24"/>
                <w:highlight w:val="none"/>
                <w:lang w:eastAsia="zh-CN"/>
              </w:rPr>
              <w:t>3、</w:t>
            </w:r>
            <w:r>
              <w:rPr>
                <w:rFonts w:hint="eastAsia" w:ascii="宋体" w:hAnsi="宋体" w:cs="宋体"/>
                <w:b w:val="0"/>
                <w:bCs w:val="0"/>
                <w:sz w:val="24"/>
                <w:highlight w:val="none"/>
                <w:lang w:val="en-US" w:eastAsia="zh-CN"/>
              </w:rPr>
              <w:t>需与所列品牌型号的光纤收发柜无缝兼容；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eastAsiaTheme="minorEastAsia"/>
                <w:b w:val="0"/>
                <w:bCs w:val="0"/>
                <w:sz w:val="24"/>
                <w:highlight w:val="none"/>
                <w:lang w:val="en-US" w:eastAsia="zh-CN"/>
              </w:rPr>
            </w:pPr>
            <w:r>
              <w:rPr>
                <w:rFonts w:hint="default" w:ascii="宋体" w:hAnsi="宋体" w:cs="宋体"/>
                <w:b w:val="0"/>
                <w:bCs w:val="0"/>
                <w:sz w:val="24"/>
                <w:highlight w:val="none"/>
                <w:lang w:eastAsia="zh-CN"/>
              </w:rPr>
              <w:t>4、</w:t>
            </w:r>
            <w:r>
              <w:rPr>
                <w:rFonts w:hint="eastAsia" w:ascii="宋体" w:hAnsi="宋体" w:cs="宋体"/>
                <w:b w:val="0"/>
                <w:bCs w:val="0"/>
                <w:sz w:val="24"/>
                <w:highlight w:val="none"/>
                <w:lang w:val="en-US" w:eastAsia="zh-CN"/>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blHeader/>
        </w:trPr>
        <w:tc>
          <w:tcPr>
            <w:tcW w:w="455" w:type="pct"/>
            <w:shd w:val="clear" w:color="auto" w:fill="auto"/>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w:t>
            </w:r>
          </w:p>
        </w:tc>
        <w:tc>
          <w:tcPr>
            <w:tcW w:w="803" w:type="pct"/>
            <w:shd w:val="clear" w:color="auto" w:fill="auto"/>
            <w:vAlign w:val="center"/>
          </w:tcPr>
          <w:p>
            <w:pPr>
              <w:spacing w:line="440" w:lineRule="exact"/>
              <w:jc w:val="center"/>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光纤收发器模块</w:t>
            </w:r>
          </w:p>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lang w:val="en-US" w:eastAsia="zh-CN"/>
              </w:rPr>
              <w:t>（千兆，插卡式）</w:t>
            </w:r>
          </w:p>
        </w:tc>
        <w:tc>
          <w:tcPr>
            <w:tcW w:w="1229" w:type="pct"/>
            <w:shd w:val="clear" w:color="auto" w:fill="auto"/>
            <w:vAlign w:val="center"/>
          </w:tcPr>
          <w:p>
            <w:pPr>
              <w:spacing w:line="440" w:lineRule="exact"/>
              <w:jc w:val="center"/>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瑞斯康达RC002-16AC/D</w:t>
            </w:r>
          </w:p>
        </w:tc>
        <w:tc>
          <w:tcPr>
            <w:tcW w:w="381" w:type="pct"/>
            <w:shd w:val="clear" w:color="auto" w:fill="auto"/>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个</w:t>
            </w:r>
          </w:p>
        </w:tc>
        <w:tc>
          <w:tcPr>
            <w:tcW w:w="382" w:type="pct"/>
            <w:vAlign w:val="center"/>
          </w:tcPr>
          <w:p>
            <w:pPr>
              <w:spacing w:line="440" w:lineRule="exact"/>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w:t>
            </w:r>
          </w:p>
        </w:tc>
        <w:tc>
          <w:tcPr>
            <w:tcW w:w="174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1、传输速率（Mbps）：1000；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b w:val="0"/>
                <w:bCs w:val="0"/>
                <w:sz w:val="24"/>
                <w:highlight w:val="none"/>
                <w:lang w:eastAsia="zh-CN"/>
              </w:rPr>
            </w:pPr>
            <w:r>
              <w:rPr>
                <w:rFonts w:hint="eastAsia" w:ascii="宋体" w:hAnsi="宋体" w:cs="宋体"/>
                <w:b w:val="0"/>
                <w:bCs w:val="0"/>
                <w:sz w:val="24"/>
                <w:highlight w:val="none"/>
                <w:lang w:val="en-US" w:eastAsia="zh-CN"/>
              </w:rPr>
              <w:t>2</w:t>
            </w:r>
            <w:r>
              <w:rPr>
                <w:rFonts w:hint="default" w:ascii="宋体" w:hAnsi="宋体" w:cs="宋体"/>
                <w:b w:val="0"/>
                <w:bCs w:val="0"/>
                <w:sz w:val="24"/>
                <w:highlight w:val="none"/>
                <w:lang w:eastAsia="zh-CN"/>
              </w:rPr>
              <w:t>、发光：1310nm</w:t>
            </w:r>
            <w:r>
              <w:rPr>
                <w:rFonts w:hint="eastAsia" w:ascii="宋体" w:hAnsi="宋体" w:cs="宋体"/>
                <w:b w:val="0"/>
                <w:bCs w:val="0"/>
                <w:sz w:val="24"/>
                <w:highlight w:val="none"/>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val="0"/>
                <w:sz w:val="24"/>
                <w:highlight w:val="none"/>
                <w:lang w:val="en-US" w:eastAsia="zh-CN"/>
              </w:rPr>
            </w:pPr>
            <w:r>
              <w:rPr>
                <w:rFonts w:hint="default" w:ascii="宋体" w:hAnsi="宋体" w:cs="宋体"/>
                <w:b w:val="0"/>
                <w:bCs w:val="0"/>
                <w:sz w:val="24"/>
                <w:highlight w:val="none"/>
                <w:lang w:eastAsia="zh-CN"/>
              </w:rPr>
              <w:t>3、</w:t>
            </w:r>
            <w:r>
              <w:rPr>
                <w:rFonts w:hint="eastAsia" w:ascii="宋体" w:hAnsi="宋体" w:cs="宋体"/>
                <w:b w:val="0"/>
                <w:bCs w:val="0"/>
                <w:sz w:val="24"/>
                <w:highlight w:val="none"/>
                <w:lang w:val="en-US" w:eastAsia="zh-CN"/>
              </w:rPr>
              <w:t>需与所列品牌型号的光纤收发柜无缝兼容；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eastAsiaTheme="minorEastAsia"/>
                <w:b w:val="0"/>
                <w:bCs w:val="0"/>
                <w:sz w:val="24"/>
                <w:highlight w:val="none"/>
                <w:lang w:eastAsia="zh-CN"/>
              </w:rPr>
            </w:pPr>
            <w:r>
              <w:rPr>
                <w:rFonts w:hint="default" w:ascii="宋体" w:hAnsi="宋体" w:cs="宋体"/>
                <w:b w:val="0"/>
                <w:bCs w:val="0"/>
                <w:sz w:val="24"/>
                <w:highlight w:val="none"/>
                <w:lang w:eastAsia="zh-CN"/>
              </w:rPr>
              <w:t>4</w:t>
            </w:r>
            <w:r>
              <w:rPr>
                <w:rFonts w:hint="eastAsia" w:ascii="宋体" w:hAnsi="宋体" w:cs="宋体"/>
                <w:b w:val="0"/>
                <w:bCs w:val="0"/>
                <w:sz w:val="24"/>
                <w:highlight w:val="none"/>
                <w:lang w:val="en-US" w:eastAsia="zh-CN"/>
              </w:rPr>
              <w:t>、原装产品</w:t>
            </w:r>
          </w:p>
        </w:tc>
      </w:tr>
    </w:tbl>
    <w:p>
      <w:pPr>
        <w:pStyle w:val="2"/>
        <w:numPr>
          <w:ilvl w:val="0"/>
          <w:numId w:val="0"/>
        </w:numPr>
        <w:spacing w:line="360" w:lineRule="auto"/>
        <w:ind w:firstLine="480" w:firstLineChars="200"/>
        <w:rPr>
          <w:rFonts w:hint="default" w:ascii="宋体" w:hAnsi="宋体" w:eastAsia="宋体" w:cs="宋体"/>
          <w:color w:val="FF0000"/>
          <w:sz w:val="24"/>
          <w:highlight w:val="none"/>
          <w:u w:val="single"/>
          <w:lang w:val="en-US" w:eastAsia="zh-CN"/>
        </w:rPr>
      </w:pPr>
      <w:r>
        <w:rPr>
          <w:rFonts w:hint="default" w:ascii="宋体" w:hAnsi="宋体" w:eastAsia="宋体" w:cs="宋体"/>
          <w:color w:val="FF0000"/>
          <w:sz w:val="24"/>
          <w:highlight w:val="none"/>
          <w:u w:val="single"/>
          <w:lang w:val="en-US" w:eastAsia="zh-CN"/>
        </w:rPr>
        <w:t>▲投标人需承诺在中标后提供制造商项目授权书原厂盖章，同时以上材料加盖</w:t>
      </w:r>
      <w:r>
        <w:rPr>
          <w:rFonts w:hint="eastAsia" w:ascii="宋体" w:hAnsi="宋体" w:eastAsia="宋体" w:cs="宋体"/>
          <w:color w:val="FF0000"/>
          <w:sz w:val="24"/>
          <w:highlight w:val="none"/>
          <w:u w:val="single"/>
          <w:lang w:val="en-US" w:eastAsia="zh-CN"/>
        </w:rPr>
        <w:t>投标人</w:t>
      </w:r>
      <w:r>
        <w:rPr>
          <w:rFonts w:hint="default" w:ascii="宋体" w:hAnsi="宋体" w:eastAsia="宋体" w:cs="宋体"/>
          <w:color w:val="FF0000"/>
          <w:sz w:val="24"/>
          <w:highlight w:val="none"/>
          <w:u w:val="single"/>
          <w:lang w:val="en-US" w:eastAsia="zh-CN"/>
        </w:rPr>
        <w:t>公章；以上材料在产品到货安装前提供给采购人，缺一不可。</w:t>
      </w:r>
    </w:p>
    <w:p>
      <w:pPr>
        <w:pStyle w:val="2"/>
        <w:numPr>
          <w:ilvl w:val="0"/>
          <w:numId w:val="1"/>
        </w:numPr>
        <w:spacing w:line="360" w:lineRule="auto"/>
        <w:ind w:firstLine="0" w:firstLineChars="0"/>
        <w:rPr>
          <w:rFonts w:hint="eastAsia" w:ascii="宋体" w:hAnsi="宋体" w:eastAsia="宋体" w:cs="宋体"/>
          <w:b/>
          <w:bCs/>
          <w:sz w:val="24"/>
          <w:lang w:val="en-US" w:eastAsia="zh-CN"/>
        </w:rPr>
      </w:pPr>
      <w:r>
        <w:rPr>
          <w:rFonts w:hint="eastAsia" w:ascii="宋体" w:hAnsi="宋体" w:eastAsia="宋体" w:cs="宋体"/>
          <w:b/>
          <w:bCs/>
          <w:sz w:val="24"/>
          <w:lang w:val="en-US" w:eastAsia="zh-CN"/>
        </w:rPr>
        <w:t>付款方式：</w:t>
      </w:r>
    </w:p>
    <w:p>
      <w:pPr>
        <w:pStyle w:val="2"/>
        <w:numPr>
          <w:ilvl w:val="0"/>
          <w:numId w:val="0"/>
        </w:numPr>
        <w:spacing w:line="360" w:lineRule="auto"/>
        <w:ind w:firstLine="480" w:firstLineChars="200"/>
        <w:rPr>
          <w:rFonts w:hint="default" w:ascii="宋体" w:hAnsi="宋体" w:eastAsia="宋体" w:cs="宋体"/>
          <w:sz w:val="24"/>
          <w:lang w:val="en-US" w:eastAsia="zh-CN"/>
        </w:rPr>
      </w:pPr>
      <w:r>
        <w:rPr>
          <w:rFonts w:hint="default" w:ascii="宋体" w:hAnsi="宋体" w:eastAsia="宋体" w:cs="宋体"/>
          <w:sz w:val="24"/>
          <w:lang w:val="en-US" w:eastAsia="zh-CN"/>
        </w:rPr>
        <w:t>全部货物交付完毕并经最终验收合格后，乙方向甲方开具</w:t>
      </w:r>
      <w:r>
        <w:rPr>
          <w:rFonts w:hint="eastAsia" w:ascii="宋体" w:hAnsi="宋体" w:eastAsia="宋体" w:cs="宋体"/>
          <w:sz w:val="24"/>
          <w:lang w:val="en-US" w:eastAsia="zh-CN"/>
        </w:rPr>
        <w:t>与</w:t>
      </w:r>
      <w:r>
        <w:rPr>
          <w:rFonts w:hint="default" w:ascii="宋体" w:hAnsi="宋体" w:eastAsia="宋体" w:cs="宋体"/>
          <w:sz w:val="24"/>
          <w:lang w:val="en-US" w:eastAsia="zh-CN"/>
        </w:rPr>
        <w:t>合同同等金额</w:t>
      </w:r>
      <w:r>
        <w:rPr>
          <w:rFonts w:hint="eastAsia" w:ascii="宋体" w:hAnsi="宋体" w:eastAsia="宋体" w:cs="宋体"/>
          <w:sz w:val="24"/>
          <w:lang w:val="en-US" w:eastAsia="zh-CN"/>
        </w:rPr>
        <w:t>的</w:t>
      </w:r>
      <w:r>
        <w:rPr>
          <w:rFonts w:hint="default" w:ascii="宋体" w:hAnsi="宋体" w:eastAsia="宋体" w:cs="宋体"/>
          <w:sz w:val="24"/>
          <w:lang w:val="en-US" w:eastAsia="zh-CN"/>
        </w:rPr>
        <w:t>发票，甲方在收到发票后</w:t>
      </w:r>
      <w:r>
        <w:rPr>
          <w:rFonts w:hint="eastAsia" w:ascii="宋体" w:hAnsi="宋体" w:eastAsia="宋体" w:cs="宋体"/>
          <w:sz w:val="24"/>
          <w:lang w:val="en-US" w:eastAsia="zh-CN"/>
        </w:rPr>
        <w:t>3个月</w:t>
      </w:r>
      <w:r>
        <w:rPr>
          <w:rFonts w:hint="default" w:ascii="宋体" w:hAnsi="宋体" w:eastAsia="宋体" w:cs="宋体"/>
          <w:sz w:val="24"/>
          <w:lang w:val="en-US" w:eastAsia="zh-CN"/>
        </w:rPr>
        <w:t>内向乙方支付全部合同价款。</w:t>
      </w:r>
    </w:p>
    <w:p>
      <w:pPr>
        <w:pStyle w:val="2"/>
        <w:numPr>
          <w:ilvl w:val="0"/>
          <w:numId w:val="1"/>
        </w:numPr>
        <w:spacing w:line="360" w:lineRule="auto"/>
        <w:ind w:left="0" w:leftChars="0" w:firstLine="0" w:firstLineChars="0"/>
        <w:rPr>
          <w:rFonts w:hint="eastAsia"/>
          <w:sz w:val="24"/>
          <w:szCs w:val="24"/>
          <w:lang w:eastAsia="zh-CN"/>
        </w:rPr>
      </w:pPr>
      <w:r>
        <w:rPr>
          <w:rFonts w:hint="eastAsia" w:ascii="宋体" w:hAnsi="宋体" w:eastAsia="宋体" w:cs="宋体"/>
          <w:b/>
          <w:bCs/>
          <w:sz w:val="24"/>
          <w:lang w:val="en-US" w:eastAsia="zh-CN"/>
        </w:rPr>
        <w:t>质保期≥3年</w:t>
      </w:r>
      <w:r>
        <w:rPr>
          <w:rFonts w:hint="eastAsia"/>
          <w:b/>
          <w:bCs/>
          <w:sz w:val="24"/>
          <w:szCs w:val="24"/>
        </w:rPr>
        <w:t>（自交货验收合格之日起计）</w:t>
      </w:r>
      <w:r>
        <w:rPr>
          <w:rFonts w:hint="eastAsia"/>
          <w:b/>
          <w:bCs/>
          <w:sz w:val="24"/>
          <w:szCs w:val="24"/>
          <w:lang w:eastAsia="zh-CN"/>
        </w:rPr>
        <w:t>。</w:t>
      </w:r>
    </w:p>
    <w:p>
      <w:pPr>
        <w:pStyle w:val="2"/>
        <w:numPr>
          <w:ilvl w:val="0"/>
          <w:numId w:val="0"/>
        </w:numPr>
        <w:spacing w:line="360" w:lineRule="auto"/>
        <w:ind w:leftChars="0"/>
        <w:rPr>
          <w:rFonts w:hint="eastAsia"/>
          <w:b/>
          <w:bCs/>
          <w:sz w:val="24"/>
          <w:szCs w:val="24"/>
          <w:lang w:val="en-US" w:eastAsia="zh-CN"/>
        </w:rPr>
      </w:pPr>
      <w:r>
        <w:rPr>
          <w:rFonts w:hint="eastAsia"/>
          <w:b/>
          <w:bCs/>
          <w:sz w:val="24"/>
          <w:szCs w:val="24"/>
          <w:lang w:val="en-US" w:eastAsia="zh-CN"/>
        </w:rPr>
        <w:t>六、质量保证及售后服务</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1、所供应的商品是最新生产的符合国家技术规格和质量标准的出厂原装合格产品。</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2、所提供的货物在质保期内因货物本身发生质量问题的，供应商应负责免费更换。对达不到质量要求者，根据实际情况，经双方协商，可按以下办法处理：</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（1）更换：由乙方承担所发生的全部费用。</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（2）贬值处理：由甲乙双方合议定价。</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（3）退货处理：乙方应退还甲方支付的合同款，同时应承担该货物的直接费用（运输、保险、检验、货款利息及银行手续费等）。</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3、在质保期内，乙方应对货物出现的质量及安全问题负责处理解决并承担一切费用。</w:t>
      </w:r>
    </w:p>
    <w:p>
      <w:pPr>
        <w:pStyle w:val="2"/>
        <w:numPr>
          <w:ilvl w:val="0"/>
          <w:numId w:val="0"/>
        </w:numPr>
        <w:spacing w:line="360" w:lineRule="auto"/>
        <w:ind w:leftChars="0" w:firstLine="480" w:firstLineChars="200"/>
        <w:rPr>
          <w:rFonts w:hint="eastAsia"/>
          <w:sz w:val="24"/>
          <w:szCs w:val="24"/>
          <w:lang w:val="en-US" w:eastAsia="zh-CN"/>
        </w:rPr>
      </w:pPr>
    </w:p>
    <w:p>
      <w:pPr>
        <w:pStyle w:val="2"/>
        <w:numPr>
          <w:ilvl w:val="0"/>
          <w:numId w:val="0"/>
        </w:numPr>
        <w:spacing w:line="360" w:lineRule="auto"/>
        <w:rPr>
          <w:rFonts w:hint="default"/>
          <w:b/>
          <w:bCs/>
          <w:sz w:val="24"/>
          <w:szCs w:val="24"/>
          <w:lang w:val="en-US" w:eastAsia="zh-CN"/>
        </w:rPr>
      </w:pPr>
      <w:r>
        <w:rPr>
          <w:rFonts w:hint="eastAsia"/>
          <w:b/>
          <w:bCs/>
          <w:sz w:val="24"/>
          <w:szCs w:val="24"/>
          <w:lang w:val="en-US" w:eastAsia="zh-CN"/>
        </w:rPr>
        <w:t>七、</w:t>
      </w:r>
      <w:r>
        <w:rPr>
          <w:rFonts w:hint="default"/>
          <w:b/>
          <w:bCs/>
          <w:sz w:val="24"/>
          <w:szCs w:val="24"/>
          <w:lang w:val="en-US" w:eastAsia="zh-CN"/>
        </w:rPr>
        <w:t>货物的到货、安装、调试和验收</w:t>
      </w:r>
    </w:p>
    <w:p>
      <w:pPr>
        <w:pStyle w:val="2"/>
        <w:numPr>
          <w:ilvl w:val="0"/>
          <w:numId w:val="0"/>
        </w:numPr>
        <w:spacing w:line="360" w:lineRule="auto"/>
        <w:ind w:firstLine="480" w:firstLineChars="200"/>
        <w:rPr>
          <w:rFonts w:hint="default"/>
          <w:sz w:val="24"/>
          <w:szCs w:val="24"/>
          <w:lang w:val="en-US" w:eastAsia="zh-CN"/>
        </w:rPr>
      </w:pPr>
      <w:r>
        <w:rPr>
          <w:rFonts w:hint="eastAsia"/>
          <w:sz w:val="24"/>
          <w:szCs w:val="24"/>
          <w:lang w:val="en-US" w:eastAsia="zh-CN"/>
        </w:rPr>
        <w:t>1、</w:t>
      </w:r>
      <w:r>
        <w:rPr>
          <w:rFonts w:hint="default"/>
          <w:sz w:val="24"/>
          <w:szCs w:val="24"/>
          <w:lang w:val="en-US" w:eastAsia="zh-CN"/>
        </w:rPr>
        <w:t xml:space="preserve">到货 </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卖方必须在合同规定的时间内完成货物的供货。货物到达现场后，卖方必须派员到现场与买方一起开箱并按供货清单验收</w:t>
      </w:r>
      <w:r>
        <w:rPr>
          <w:rFonts w:hint="eastAsia"/>
          <w:sz w:val="24"/>
          <w:szCs w:val="24"/>
          <w:lang w:val="en-US" w:eastAsia="zh-CN"/>
        </w:rPr>
        <w:t>，</w:t>
      </w:r>
      <w:r>
        <w:rPr>
          <w:rFonts w:hint="default"/>
          <w:sz w:val="24"/>
          <w:szCs w:val="24"/>
          <w:lang w:val="en-US" w:eastAsia="zh-CN"/>
        </w:rPr>
        <w:t>若有缺少或损坏，卖方应立即补足或更换全新同规格产品，直至买方满意为止。</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2</w:t>
      </w:r>
      <w:r>
        <w:rPr>
          <w:rFonts w:hint="eastAsia"/>
          <w:sz w:val="24"/>
          <w:szCs w:val="24"/>
          <w:lang w:val="en-US" w:eastAsia="zh-CN"/>
        </w:rPr>
        <w:t>、</w:t>
      </w:r>
      <w:r>
        <w:rPr>
          <w:rFonts w:hint="default"/>
          <w:sz w:val="24"/>
          <w:szCs w:val="24"/>
          <w:lang w:val="en-US" w:eastAsia="zh-CN"/>
        </w:rPr>
        <w:t>安装</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2.1</w:t>
      </w:r>
      <w:r>
        <w:rPr>
          <w:rFonts w:hint="eastAsia"/>
          <w:sz w:val="24"/>
          <w:szCs w:val="24"/>
          <w:lang w:val="en-US" w:eastAsia="zh-CN"/>
        </w:rPr>
        <w:t xml:space="preserve">  </w:t>
      </w:r>
      <w:r>
        <w:rPr>
          <w:rFonts w:hint="default"/>
          <w:sz w:val="24"/>
          <w:szCs w:val="24"/>
          <w:lang w:val="en-US" w:eastAsia="zh-CN"/>
        </w:rPr>
        <w:t>货物到达买方指定地点后，卖方应按买方规定的日期指派工程技术人员对货物进行安装调试，直至通过验收。货物的安装调试及现场培训应在合同规定的期限内完成。</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2.2  设备的安装必须符合有关标准和规范。安装过程中买方将对货物的安装质量进行监督。</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3</w:t>
      </w:r>
      <w:r>
        <w:rPr>
          <w:rFonts w:hint="eastAsia"/>
          <w:sz w:val="24"/>
          <w:szCs w:val="24"/>
          <w:lang w:val="en-US" w:eastAsia="zh-CN"/>
        </w:rPr>
        <w:t>、</w:t>
      </w:r>
      <w:r>
        <w:rPr>
          <w:rFonts w:hint="default"/>
          <w:sz w:val="24"/>
          <w:szCs w:val="24"/>
          <w:lang w:val="en-US" w:eastAsia="zh-CN"/>
        </w:rPr>
        <w:t>调试</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货物安装就位、校准后，卖方应按事先被买方认可的调试验收计划对货物进行调试，并对货物所标注的各项技术参数进行测试，测试报告将在货物验收完毕后提交给买方，但卖方应对测试的各种数据的真实性负责。买方也可以要求具有检测资质的第三方用专用仪器对货物进行功能 、性能测试，卖方负责所需的一切费用。</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4</w:t>
      </w:r>
      <w:r>
        <w:rPr>
          <w:rFonts w:hint="eastAsia"/>
          <w:sz w:val="24"/>
          <w:szCs w:val="24"/>
          <w:lang w:val="en-US" w:eastAsia="zh-CN"/>
        </w:rPr>
        <w:t>、</w:t>
      </w:r>
      <w:r>
        <w:rPr>
          <w:rFonts w:hint="default"/>
          <w:sz w:val="24"/>
          <w:szCs w:val="24"/>
          <w:lang w:val="en-US" w:eastAsia="zh-CN"/>
        </w:rPr>
        <w:t>验收</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货物经过试运行考核无故障（或存在的故障和隐患均已全部排除），并经相关部门检验合格，所有的技术资料和图纸已向买方提交并被接受，验收视为合格，买卖双方签署验收合格证书。 若因卖方产品质量或安装技术问题导致验收不合格，卖方应及时予以处理，直至验收合格，期间发生的一切相关费用由卖方承担，买方保留向卖方索赔的权利。</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5</w:t>
      </w:r>
      <w:r>
        <w:rPr>
          <w:rFonts w:hint="eastAsia"/>
          <w:sz w:val="24"/>
          <w:szCs w:val="24"/>
          <w:lang w:val="en-US" w:eastAsia="zh-CN"/>
        </w:rPr>
        <w:t>、</w:t>
      </w:r>
      <w:r>
        <w:rPr>
          <w:rFonts w:hint="default"/>
          <w:sz w:val="24"/>
          <w:szCs w:val="24"/>
          <w:lang w:val="en-US" w:eastAsia="zh-CN"/>
        </w:rPr>
        <w:t>若因卖方产品质量或安装技术问题导致货物二次验收都不合格，买方有权选择退货，并保留向卖方索赔的权利。</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6</w:t>
      </w:r>
      <w:r>
        <w:rPr>
          <w:rFonts w:hint="eastAsia"/>
          <w:sz w:val="24"/>
          <w:szCs w:val="24"/>
          <w:lang w:val="en-US" w:eastAsia="zh-CN"/>
        </w:rPr>
        <w:t>、</w:t>
      </w:r>
      <w:r>
        <w:rPr>
          <w:rFonts w:hint="default"/>
          <w:sz w:val="24"/>
          <w:szCs w:val="24"/>
          <w:lang w:val="en-US" w:eastAsia="zh-CN"/>
        </w:rPr>
        <w:t>卖方在货物到货、安装、调试和验收期间应接受买方的协调和管理，卖方应采取严格的防范措施，承担由于自身原因所造成的事故责任及其发生的一切费用。</w:t>
      </w:r>
    </w:p>
    <w:p>
      <w:pPr>
        <w:pStyle w:val="2"/>
        <w:numPr>
          <w:ilvl w:val="0"/>
          <w:numId w:val="0"/>
        </w:numPr>
        <w:spacing w:line="360" w:lineRule="auto"/>
        <w:rPr>
          <w:rFonts w:hint="eastAsia"/>
          <w:b/>
          <w:bCs/>
          <w:sz w:val="24"/>
          <w:szCs w:val="24"/>
          <w:lang w:val="en-US" w:eastAsia="zh-CN"/>
        </w:rPr>
      </w:pPr>
    </w:p>
    <w:p>
      <w:pPr>
        <w:pStyle w:val="2"/>
        <w:numPr>
          <w:ilvl w:val="0"/>
          <w:numId w:val="0"/>
        </w:numPr>
        <w:spacing w:line="360" w:lineRule="auto"/>
        <w:rPr>
          <w:rFonts w:hint="default"/>
          <w:b/>
          <w:bCs/>
          <w:sz w:val="24"/>
          <w:szCs w:val="24"/>
          <w:lang w:val="en-US" w:eastAsia="zh-CN"/>
        </w:rPr>
      </w:pPr>
      <w:r>
        <w:rPr>
          <w:rFonts w:hint="eastAsia"/>
          <w:b/>
          <w:bCs/>
          <w:sz w:val="24"/>
          <w:szCs w:val="24"/>
          <w:lang w:val="en-US" w:eastAsia="zh-CN"/>
        </w:rPr>
        <w:t>八、</w:t>
      </w:r>
      <w:r>
        <w:rPr>
          <w:rFonts w:hint="default"/>
          <w:b/>
          <w:bCs/>
          <w:sz w:val="24"/>
          <w:szCs w:val="24"/>
          <w:lang w:val="en-US" w:eastAsia="zh-CN"/>
        </w:rPr>
        <w:t>技术服务</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1</w:t>
      </w:r>
      <w:r>
        <w:rPr>
          <w:rFonts w:hint="eastAsia"/>
          <w:sz w:val="24"/>
          <w:szCs w:val="24"/>
          <w:lang w:val="en-US" w:eastAsia="zh-CN"/>
        </w:rPr>
        <w:t>、</w:t>
      </w:r>
      <w:r>
        <w:rPr>
          <w:rFonts w:hint="default"/>
          <w:sz w:val="24"/>
          <w:szCs w:val="24"/>
          <w:lang w:val="en-US" w:eastAsia="zh-CN"/>
        </w:rPr>
        <w:t>维修技术服务。出现质量问题而买方无法自行解决的，卖方在接到买方的维修电话或传真通知后10分钟内作出响应，电话沟通无法解决的，卖方维修人员应在60分钟内到达现场进行维修，排除故障，重大质量问题一时无法解决的，卖方应提出解决问题的应急处理预案。提供7×24小时电话咨询服务。</w:t>
      </w:r>
    </w:p>
    <w:p>
      <w:pPr>
        <w:pStyle w:val="2"/>
        <w:numPr>
          <w:ilvl w:val="0"/>
          <w:numId w:val="0"/>
        </w:numPr>
        <w:spacing w:line="360" w:lineRule="auto"/>
        <w:ind w:firstLine="480" w:firstLineChars="200"/>
        <w:rPr>
          <w:rFonts w:hint="default"/>
          <w:sz w:val="24"/>
          <w:szCs w:val="24"/>
          <w:lang w:val="en-US" w:eastAsia="zh-CN"/>
        </w:rPr>
      </w:pPr>
      <w:r>
        <w:rPr>
          <w:rFonts w:hint="eastAsia"/>
          <w:sz w:val="24"/>
          <w:szCs w:val="24"/>
          <w:lang w:val="en-US" w:eastAsia="zh-CN"/>
        </w:rPr>
        <w:t>2、</w:t>
      </w:r>
      <w:r>
        <w:rPr>
          <w:rFonts w:hint="default"/>
          <w:sz w:val="24"/>
          <w:szCs w:val="24"/>
          <w:lang w:val="en-US" w:eastAsia="zh-CN"/>
        </w:rPr>
        <w:t>质保期满后，卖方工程技术、维修人员也须不定期的进行回访，并为买方提供优质、优价的终身维修和产品维护保养。</w:t>
      </w:r>
    </w:p>
    <w:p>
      <w:pPr>
        <w:pStyle w:val="2"/>
        <w:numPr>
          <w:ilvl w:val="0"/>
          <w:numId w:val="0"/>
        </w:numPr>
        <w:spacing w:line="360" w:lineRule="auto"/>
        <w:rPr>
          <w:rFonts w:hint="eastAsia"/>
          <w:b/>
          <w:bCs/>
          <w:sz w:val="24"/>
          <w:szCs w:val="24"/>
          <w:lang w:val="en-US" w:eastAsia="zh-CN"/>
        </w:rPr>
      </w:pPr>
      <w:r>
        <w:rPr>
          <w:rFonts w:hint="eastAsia"/>
          <w:b/>
          <w:bCs/>
          <w:sz w:val="24"/>
          <w:szCs w:val="24"/>
          <w:lang w:val="en-US" w:eastAsia="zh-CN"/>
        </w:rPr>
        <w:t>九、其他</w:t>
      </w:r>
    </w:p>
    <w:p>
      <w:pPr>
        <w:pStyle w:val="2"/>
        <w:numPr>
          <w:ilvl w:val="0"/>
          <w:numId w:val="0"/>
        </w:numPr>
        <w:spacing w:line="360" w:lineRule="auto"/>
        <w:ind w:firstLine="480" w:firstLineChars="200"/>
        <w:rPr>
          <w:rFonts w:hint="default"/>
          <w:b w:val="0"/>
          <w:bCs w:val="0"/>
          <w:sz w:val="24"/>
          <w:szCs w:val="24"/>
          <w:u w:val="single"/>
          <w:lang w:val="en-US" w:eastAsia="zh-CN"/>
        </w:rPr>
      </w:pPr>
      <w:r>
        <w:rPr>
          <w:rFonts w:hint="eastAsia"/>
          <w:b w:val="0"/>
          <w:bCs w:val="0"/>
          <w:sz w:val="24"/>
          <w:szCs w:val="24"/>
          <w:lang w:val="en-US" w:eastAsia="zh-CN"/>
        </w:rPr>
        <w:t>1、合同签订后乙方须在</w:t>
      </w:r>
      <w:r>
        <w:rPr>
          <w:rFonts w:hint="eastAsia"/>
          <w:b w:val="0"/>
          <w:bCs w:val="0"/>
          <w:sz w:val="24"/>
          <w:szCs w:val="24"/>
          <w:u w:val="single"/>
          <w:lang w:val="en-US" w:eastAsia="zh-CN"/>
        </w:rPr>
        <w:t xml:space="preserve"> 10 </w:t>
      </w:r>
      <w:r>
        <w:rPr>
          <w:rFonts w:hint="eastAsia"/>
          <w:b w:val="0"/>
          <w:bCs w:val="0"/>
          <w:sz w:val="24"/>
          <w:szCs w:val="24"/>
          <w:u w:val="none"/>
          <w:lang w:val="en-US" w:eastAsia="zh-CN"/>
        </w:rPr>
        <w:t>个</w:t>
      </w:r>
      <w:r>
        <w:rPr>
          <w:rFonts w:hint="eastAsia"/>
          <w:b w:val="0"/>
          <w:bCs w:val="0"/>
          <w:sz w:val="24"/>
          <w:szCs w:val="24"/>
          <w:lang w:val="en-US" w:eastAsia="zh-CN"/>
        </w:rPr>
        <w:t>工作日内完成全部产品的到货。</w:t>
      </w:r>
    </w:p>
    <w:p>
      <w:pPr>
        <w:pStyle w:val="2"/>
        <w:numPr>
          <w:ilvl w:val="0"/>
          <w:numId w:val="0"/>
        </w:numPr>
        <w:spacing w:line="360" w:lineRule="auto"/>
        <w:rPr>
          <w:rFonts w:hint="default"/>
          <w:b/>
          <w:bCs/>
          <w:sz w:val="24"/>
          <w:szCs w:val="24"/>
          <w:lang w:val="en-US" w:eastAsia="zh-CN"/>
        </w:rPr>
      </w:pPr>
      <w:r>
        <w:rPr>
          <w:rFonts w:hint="eastAsia"/>
          <w:b/>
          <w:bCs/>
          <w:sz w:val="24"/>
          <w:szCs w:val="24"/>
          <w:lang w:val="en-US" w:eastAsia="zh-CN"/>
        </w:rPr>
        <w:t>十</w:t>
      </w:r>
      <w:r>
        <w:rPr>
          <w:rFonts w:hint="default"/>
          <w:b/>
          <w:bCs/>
          <w:sz w:val="24"/>
          <w:szCs w:val="24"/>
          <w:lang w:val="en-US" w:eastAsia="zh-CN"/>
        </w:rPr>
        <w:t>、</w:t>
      </w:r>
      <w:r>
        <w:rPr>
          <w:rFonts w:hint="eastAsia"/>
          <w:b/>
          <w:bCs/>
          <w:sz w:val="24"/>
          <w:szCs w:val="24"/>
          <w:lang w:val="en-US" w:eastAsia="zh-CN"/>
        </w:rPr>
        <w:t>合同签署-</w:t>
      </w:r>
      <w:r>
        <w:rPr>
          <w:rFonts w:hint="default"/>
          <w:b/>
          <w:bCs/>
          <w:sz w:val="24"/>
          <w:szCs w:val="24"/>
          <w:lang w:val="en-US" w:eastAsia="zh-CN"/>
        </w:rPr>
        <w:t>违约责任</w:t>
      </w:r>
    </w:p>
    <w:p>
      <w:pPr>
        <w:pStyle w:val="2"/>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1、甲方无正当理由拒收货物的，甲方向乙方偿付拒收货款总值的 百分之五 违约金。</w:t>
      </w:r>
    </w:p>
    <w:p>
      <w:pPr>
        <w:pStyle w:val="2"/>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2、乙方逾期交付货物的，乙方应按逾期交货总额每日 千分之六 向甲方支付违约金，由甲方从待付货款中扣除。逾期超过约定日期 10 个工作日不能交货的，甲方可解除合同。乙方因逾期交货或因其他违约行为导致甲方解除合同的，乙方应向甲方支付合同总值 5 %的违约金，如造成甲方损失超过违约金的，超出部分由乙方继续承担赔偿责任。</w:t>
      </w:r>
    </w:p>
    <w:p>
      <w:pPr>
        <w:pStyle w:val="2"/>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4、由于乙方所提供的货物存在问题，给第三人人身或财产造成损害的，由乙方承担赔偿责任。若甲方承担赔偿责任后，有权向乙方追偿，包括但不限于律师费、诉讼费、交通费等。</w:t>
      </w:r>
    </w:p>
    <w:p>
      <w:pPr>
        <w:pStyle w:val="2"/>
        <w:numPr>
          <w:ilvl w:val="0"/>
          <w:numId w:val="0"/>
        </w:numPr>
        <w:spacing w:line="360" w:lineRule="auto"/>
        <w:rPr>
          <w:rFonts w:hint="default"/>
          <w:b/>
          <w:bCs/>
          <w:sz w:val="24"/>
          <w:szCs w:val="24"/>
          <w:lang w:val="en-US" w:eastAsia="zh-CN"/>
        </w:rPr>
      </w:pPr>
      <w:r>
        <w:rPr>
          <w:rFonts w:hint="eastAsia"/>
          <w:b/>
          <w:bCs/>
          <w:sz w:val="24"/>
          <w:szCs w:val="24"/>
          <w:lang w:val="en-US" w:eastAsia="zh-CN"/>
        </w:rPr>
        <w:t>十一</w:t>
      </w:r>
      <w:r>
        <w:rPr>
          <w:rFonts w:hint="default"/>
          <w:b/>
          <w:bCs/>
          <w:sz w:val="24"/>
          <w:szCs w:val="24"/>
          <w:lang w:val="en-US" w:eastAsia="zh-CN"/>
        </w:rPr>
        <w:t>、</w:t>
      </w:r>
      <w:r>
        <w:rPr>
          <w:rFonts w:hint="eastAsia"/>
          <w:b/>
          <w:bCs/>
          <w:sz w:val="24"/>
          <w:szCs w:val="24"/>
          <w:lang w:val="en-US" w:eastAsia="zh-CN"/>
        </w:rPr>
        <w:t>合同签署-</w:t>
      </w:r>
      <w:r>
        <w:rPr>
          <w:rFonts w:hint="default"/>
          <w:b/>
          <w:bCs/>
          <w:sz w:val="24"/>
          <w:szCs w:val="24"/>
          <w:lang w:val="en-US" w:eastAsia="zh-CN"/>
        </w:rPr>
        <w:t>不可抗力事件处理</w:t>
      </w:r>
    </w:p>
    <w:p>
      <w:pPr>
        <w:pStyle w:val="2"/>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1、在合同有效期内，任何一方因不可抗力事件导致不能履行合同，则合同履行期可延长，其延长期与不可抗力影响期相同。</w:t>
      </w:r>
    </w:p>
    <w:p>
      <w:pPr>
        <w:pStyle w:val="2"/>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2、不可抗力事件发生后，应立即通知对方，并寄送有关权威机构出具的证明。</w:t>
      </w:r>
    </w:p>
    <w:p>
      <w:pPr>
        <w:pStyle w:val="2"/>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3、不可抗力事件延续 120天以上，双方应通过友好协商，确定是否继续履行合同。</w:t>
      </w:r>
    </w:p>
    <w:p>
      <w:pPr>
        <w:pStyle w:val="2"/>
        <w:numPr>
          <w:ilvl w:val="0"/>
          <w:numId w:val="0"/>
        </w:numPr>
        <w:spacing w:line="360" w:lineRule="auto"/>
        <w:rPr>
          <w:rFonts w:hint="default"/>
          <w:b/>
          <w:bCs/>
          <w:sz w:val="24"/>
          <w:szCs w:val="24"/>
          <w:lang w:val="en-US" w:eastAsia="zh-CN"/>
        </w:rPr>
      </w:pPr>
      <w:r>
        <w:rPr>
          <w:rFonts w:hint="eastAsia"/>
          <w:b/>
          <w:bCs/>
          <w:sz w:val="24"/>
          <w:szCs w:val="24"/>
          <w:lang w:val="en-US" w:eastAsia="zh-CN"/>
        </w:rPr>
        <w:t>十二</w:t>
      </w:r>
      <w:r>
        <w:rPr>
          <w:rFonts w:hint="default"/>
          <w:b/>
          <w:bCs/>
          <w:sz w:val="24"/>
          <w:szCs w:val="24"/>
          <w:lang w:val="en-US" w:eastAsia="zh-CN"/>
        </w:rPr>
        <w:t>、</w:t>
      </w:r>
      <w:r>
        <w:rPr>
          <w:rFonts w:hint="eastAsia"/>
          <w:b/>
          <w:bCs/>
          <w:sz w:val="24"/>
          <w:szCs w:val="24"/>
          <w:lang w:val="en-US" w:eastAsia="zh-CN"/>
        </w:rPr>
        <w:t>合同签署-</w:t>
      </w:r>
      <w:r>
        <w:rPr>
          <w:rFonts w:hint="default"/>
          <w:b/>
          <w:bCs/>
          <w:sz w:val="24"/>
          <w:szCs w:val="24"/>
          <w:lang w:val="en-US" w:eastAsia="zh-CN"/>
        </w:rPr>
        <w:t>诉讼</w:t>
      </w:r>
    </w:p>
    <w:p>
      <w:pPr>
        <w:pStyle w:val="2"/>
        <w:numPr>
          <w:ilvl w:val="0"/>
          <w:numId w:val="0"/>
        </w:numPr>
        <w:spacing w:line="360" w:lineRule="auto"/>
        <w:ind w:firstLine="480" w:firstLineChars="200"/>
        <w:rPr>
          <w:rFonts w:hint="eastAsia"/>
          <w:sz w:val="24"/>
          <w:szCs w:val="24"/>
          <w:lang w:val="en-US" w:eastAsia="zh-CN"/>
        </w:rPr>
      </w:pPr>
      <w:r>
        <w:rPr>
          <w:rFonts w:hint="default"/>
          <w:b w:val="0"/>
          <w:bCs w:val="0"/>
          <w:sz w:val="24"/>
          <w:szCs w:val="24"/>
          <w:lang w:val="en-US" w:eastAsia="zh-CN"/>
        </w:rPr>
        <w:t>双方在履行合同中所发生的一切争议，应通过协商解决。如协商不成，向甲方所在地法院起诉。</w:t>
      </w:r>
    </w:p>
    <w:sectPr>
      <w:pgSz w:w="16838" w:h="11906" w:orient="landscape"/>
      <w:pgMar w:top="680" w:right="1304" w:bottom="68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1FC988"/>
    <w:multiLevelType w:val="singleLevel"/>
    <w:tmpl w:val="F41FC988"/>
    <w:lvl w:ilvl="0" w:tentative="0">
      <w:start w:val="4"/>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MDk4ZjUyNmI5ZWM0NTQwMmI0OWNkNmNiZDhjNjUifQ=="/>
  </w:docVars>
  <w:rsids>
    <w:rsidRoot w:val="00A02A37"/>
    <w:rsid w:val="0007646E"/>
    <w:rsid w:val="002A0406"/>
    <w:rsid w:val="007373BC"/>
    <w:rsid w:val="00A02A37"/>
    <w:rsid w:val="00A457FA"/>
    <w:rsid w:val="00F0269D"/>
    <w:rsid w:val="04684506"/>
    <w:rsid w:val="048055C5"/>
    <w:rsid w:val="05255951"/>
    <w:rsid w:val="10C71F5A"/>
    <w:rsid w:val="12900868"/>
    <w:rsid w:val="12A74BF4"/>
    <w:rsid w:val="12F9465F"/>
    <w:rsid w:val="1D3C515C"/>
    <w:rsid w:val="1D577421"/>
    <w:rsid w:val="209B4FA7"/>
    <w:rsid w:val="21DA0877"/>
    <w:rsid w:val="252217F3"/>
    <w:rsid w:val="2921523E"/>
    <w:rsid w:val="2AC41535"/>
    <w:rsid w:val="2EBF307B"/>
    <w:rsid w:val="2F523A97"/>
    <w:rsid w:val="321150C9"/>
    <w:rsid w:val="3AB111F7"/>
    <w:rsid w:val="3DD35929"/>
    <w:rsid w:val="3EC97C4B"/>
    <w:rsid w:val="41192A66"/>
    <w:rsid w:val="44553C00"/>
    <w:rsid w:val="48C84ABD"/>
    <w:rsid w:val="4B501BFA"/>
    <w:rsid w:val="53837859"/>
    <w:rsid w:val="5A0F768E"/>
    <w:rsid w:val="5FC85836"/>
    <w:rsid w:val="62F51FB2"/>
    <w:rsid w:val="63AB6D47"/>
    <w:rsid w:val="68AC65E3"/>
    <w:rsid w:val="6EAD47D5"/>
    <w:rsid w:val="71C32FE3"/>
    <w:rsid w:val="7479583A"/>
    <w:rsid w:val="747B3DF6"/>
    <w:rsid w:val="765A5288"/>
    <w:rsid w:val="7F8E4C30"/>
    <w:rsid w:val="7FE11989"/>
    <w:rsid w:val="EFFBB5E9"/>
    <w:rsid w:val="FF5F50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2"/>
    <w:qFormat/>
    <w:uiPriority w:val="0"/>
    <w:pPr>
      <w:ind w:firstLine="555"/>
    </w:pPr>
  </w:style>
  <w:style w:type="paragraph" w:styleId="4">
    <w:name w:val="Normal Indent"/>
    <w:basedOn w:val="1"/>
    <w:next w:val="3"/>
    <w:qFormat/>
    <w:uiPriority w:val="0"/>
    <w:pPr>
      <w:ind w:firstLine="420"/>
    </w:pPr>
    <w:rPr>
      <w:szCs w:val="20"/>
    </w:rPr>
  </w:style>
  <w:style w:type="paragraph" w:styleId="5">
    <w:name w:val="Body Text"/>
    <w:basedOn w:val="1"/>
    <w:next w:val="1"/>
    <w:qFormat/>
    <w:uiPriority w:val="0"/>
    <w:pPr>
      <w:spacing w:after="120"/>
    </w:pPr>
  </w:style>
  <w:style w:type="paragraph" w:styleId="6">
    <w:name w:val="Balloon Text"/>
    <w:basedOn w:val="1"/>
    <w:link w:val="12"/>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5"/>
    <w:qFormat/>
    <w:uiPriority w:val="0"/>
    <w:pPr>
      <w:ind w:firstLine="420" w:firstLineChars="100"/>
    </w:pPr>
  </w:style>
  <w:style w:type="character" w:customStyle="1" w:styleId="12">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5</Pages>
  <Words>2390</Words>
  <Characters>2421</Characters>
  <Lines>1</Lines>
  <Paragraphs>1</Paragraphs>
  <TotalTime>4</TotalTime>
  <ScaleCrop>false</ScaleCrop>
  <LinksUpToDate>false</LinksUpToDate>
  <CharactersWithSpaces>2447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2022-04-15T18:54:00Z</dcterms:created>
  <dc:creator>1</dc:creator>
  <cp:lastModifiedBy>天津卫</cp:lastModifiedBy>
  <dcterms:modified xsi:type="dcterms:W3CDTF">2023-09-07T03:07:26Z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7C5A16EDF2E647309599E4BF75944C46</vt:lpwstr>
  </property>
</Properties>
</file>