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sz w:val="36"/>
          <w:szCs w:val="36"/>
          <w:lang w:val="en-US" w:eastAsia="zh-CN"/>
        </w:rPr>
        <w:t>附件一、</w:t>
      </w:r>
      <w:r>
        <w:rPr>
          <w:rFonts w:hint="eastAsia"/>
          <w:b/>
          <w:bCs/>
          <w:sz w:val="36"/>
          <w:szCs w:val="36"/>
        </w:rPr>
        <w:t>采购</w:t>
      </w:r>
      <w:r>
        <w:rPr>
          <w:rFonts w:hint="eastAsia"/>
          <w:b/>
          <w:bCs/>
          <w:sz w:val="36"/>
          <w:szCs w:val="36"/>
          <w:lang w:val="en-US" w:eastAsia="zh-CN"/>
        </w:rPr>
        <w:t>内容及要求</w:t>
      </w:r>
    </w:p>
    <w:p>
      <w:pPr>
        <w:spacing w:line="360" w:lineRule="auto"/>
        <w:rPr>
          <w:rFonts w:hint="eastAsia" w:ascii="宋体" w:hAnsi="宋体" w:eastAsia="宋体" w:cs="宋体"/>
          <w:b/>
          <w:bCs/>
          <w:sz w:val="24"/>
          <w:u w:val="none"/>
          <w:lang w:val="en-US" w:eastAsia="zh-CN"/>
        </w:rPr>
      </w:pPr>
      <w:r>
        <w:rPr>
          <w:rFonts w:hint="eastAsia" w:ascii="宋体" w:hAnsi="宋体" w:eastAsia="宋体" w:cs="宋体"/>
          <w:b/>
          <w:bCs/>
          <w:sz w:val="24"/>
        </w:rPr>
        <w:t>一、项目名称：</w:t>
      </w:r>
      <w:r>
        <w:rPr>
          <w:rFonts w:hint="eastAsia" w:ascii="宋体" w:hAnsi="宋体" w:eastAsia="宋体" w:cs="宋体"/>
          <w:b/>
          <w:bCs/>
          <w:sz w:val="24"/>
          <w:u w:val="none"/>
          <w:lang w:val="en-US" w:eastAsia="zh-CN"/>
        </w:rPr>
        <w:t>龙湾院区发电机及排烟管采购安装</w:t>
      </w:r>
    </w:p>
    <w:p>
      <w:pPr>
        <w:pStyle w:val="2"/>
        <w:spacing w:line="360" w:lineRule="auto"/>
        <w:ind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二</w:t>
      </w:r>
      <w:r>
        <w:rPr>
          <w:rFonts w:hint="eastAsia" w:ascii="宋体" w:hAnsi="宋体" w:eastAsia="宋体" w:cs="宋体"/>
          <w:b/>
          <w:bCs/>
          <w:sz w:val="24"/>
        </w:rPr>
        <w:t>、项目预算：</w:t>
      </w:r>
      <w:r>
        <w:rPr>
          <w:rFonts w:hint="eastAsia" w:ascii="宋体" w:hAnsi="宋体" w:eastAsia="宋体" w:cs="宋体"/>
          <w:b/>
          <w:bCs/>
          <w:sz w:val="24"/>
          <w:lang w:val="en-US" w:eastAsia="zh-CN"/>
        </w:rPr>
        <w:t>6.6万元</w:t>
      </w:r>
      <w:bookmarkStart w:id="0" w:name="_GoBack"/>
      <w:bookmarkEnd w:id="0"/>
    </w:p>
    <w:p>
      <w:pPr>
        <w:pStyle w:val="2"/>
        <w:spacing w:line="360" w:lineRule="auto"/>
        <w:ind w:firstLine="0" w:firstLineChars="0"/>
        <w:rPr>
          <w:rFonts w:hint="eastAsia" w:ascii="宋体" w:hAnsi="宋体" w:eastAsia="宋体" w:cs="宋体"/>
          <w:b/>
          <w:bCs/>
        </w:rPr>
      </w:pPr>
      <w:r>
        <w:rPr>
          <w:rFonts w:hint="eastAsia" w:ascii="宋体" w:hAnsi="宋体" w:eastAsia="宋体" w:cs="宋体"/>
          <w:b/>
          <w:bCs/>
          <w:sz w:val="24"/>
          <w:lang w:val="en-US" w:eastAsia="zh-CN"/>
        </w:rPr>
        <w:t>三</w:t>
      </w:r>
      <w:r>
        <w:rPr>
          <w:rFonts w:hint="eastAsia" w:ascii="宋体" w:hAnsi="宋体" w:eastAsia="宋体" w:cs="宋体"/>
          <w:b/>
          <w:bCs/>
          <w:sz w:val="24"/>
        </w:rPr>
        <w:t>、项目概况及要求</w:t>
      </w:r>
      <w:r>
        <w:rPr>
          <w:rFonts w:hint="eastAsia" w:ascii="宋体" w:hAnsi="宋体" w:eastAsia="宋体" w:cs="宋体"/>
          <w:b/>
          <w:bCs/>
        </w:rPr>
        <w:t>：</w:t>
      </w:r>
    </w:p>
    <w:tbl>
      <w:tblPr>
        <w:tblStyle w:val="1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1795"/>
        <w:gridCol w:w="1876"/>
        <w:gridCol w:w="1671"/>
        <w:gridCol w:w="1181"/>
        <w:gridCol w:w="1207"/>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blHeader/>
        </w:trPr>
        <w:tc>
          <w:tcPr>
            <w:tcW w:w="838" w:type="pct"/>
            <w:shd w:val="clear" w:color="auto" w:fill="auto"/>
            <w:vAlign w:val="center"/>
          </w:tcPr>
          <w:p>
            <w:pPr>
              <w:widowControl/>
              <w:spacing w:line="440" w:lineRule="exact"/>
              <w:jc w:val="center"/>
              <w:rPr>
                <w:rFonts w:ascii="宋体" w:hAnsi="宋体" w:eastAsia="宋体" w:cs="宋体"/>
                <w:b w:val="0"/>
                <w:bCs w:val="0"/>
                <w:sz w:val="24"/>
                <w:highlight w:val="none"/>
              </w:rPr>
            </w:pPr>
            <w:r>
              <w:rPr>
                <w:rFonts w:hint="eastAsia" w:ascii="宋体" w:hAnsi="宋体" w:cs="宋体"/>
                <w:b w:val="0"/>
                <w:bCs w:val="0"/>
                <w:sz w:val="24"/>
                <w:highlight w:val="none"/>
              </w:rPr>
              <w:t>设备材料名称</w:t>
            </w:r>
          </w:p>
        </w:tc>
        <w:tc>
          <w:tcPr>
            <w:tcW w:w="622"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规格/型号</w:t>
            </w:r>
          </w:p>
        </w:tc>
        <w:tc>
          <w:tcPr>
            <w:tcW w:w="650"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单位</w:t>
            </w:r>
          </w:p>
        </w:tc>
        <w:tc>
          <w:tcPr>
            <w:tcW w:w="579" w:type="pct"/>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数量</w:t>
            </w:r>
          </w:p>
        </w:tc>
        <w:tc>
          <w:tcPr>
            <w:tcW w:w="409"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单价/元</w:t>
            </w:r>
          </w:p>
        </w:tc>
        <w:tc>
          <w:tcPr>
            <w:tcW w:w="418"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总价/元</w:t>
            </w:r>
          </w:p>
        </w:tc>
        <w:tc>
          <w:tcPr>
            <w:tcW w:w="1480" w:type="pct"/>
            <w:shd w:val="clear" w:color="auto" w:fill="auto"/>
            <w:vAlign w:val="center"/>
          </w:tcPr>
          <w:p>
            <w:pPr>
              <w:spacing w:line="440" w:lineRule="exact"/>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柴油发电机组</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机组功率 不低于80kW</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台</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bCs/>
                <w:sz w:val="24"/>
                <w:highlight w:val="none"/>
                <w:lang w:eastAsia="zh-CN"/>
              </w:rPr>
              <w:t>推荐品牌潍柴、玉柴、上柴三个品牌</w:t>
            </w:r>
            <w:r>
              <w:rPr>
                <w:rFonts w:hint="eastAsia" w:ascii="宋体" w:hAnsi="宋体" w:cs="宋体" w:eastAsiaTheme="minorEastAsia"/>
                <w:b w:val="0"/>
                <w:bCs w:val="0"/>
                <w:sz w:val="24"/>
                <w:highlight w:val="none"/>
                <w:lang w:eastAsia="zh-CN"/>
              </w:rPr>
              <w:t>、一体式储油箱容量应满足满负荷使用8个小时以上，电机均采用全铜线圈电机，适用于医院设备使用。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排烟管</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不锈钢(304) DN160*2mm</w:t>
            </w:r>
          </w:p>
        </w:tc>
        <w:tc>
          <w:tcPr>
            <w:tcW w:w="650"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米</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25</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到屋面；不锈钢管，含支架固定、</w:t>
            </w:r>
            <w:r>
              <w:rPr>
                <w:rFonts w:hint="eastAsia" w:ascii="宋体" w:hAnsi="宋体" w:cs="宋体"/>
                <w:b w:val="0"/>
                <w:bCs w:val="0"/>
                <w:sz w:val="24"/>
                <w:highlight w:val="none"/>
                <w:lang w:val="en-US" w:eastAsia="zh-CN"/>
              </w:rPr>
              <w:t xml:space="preserve">     </w:t>
            </w:r>
            <w:r>
              <w:rPr>
                <w:rFonts w:hint="eastAsia" w:ascii="宋体" w:hAnsi="宋体" w:cs="宋体" w:eastAsiaTheme="minorEastAsia"/>
                <w:b w:val="0"/>
                <w:bCs w:val="0"/>
                <w:sz w:val="24"/>
                <w:highlight w:val="none"/>
                <w:lang w:eastAsia="zh-CN"/>
              </w:rPr>
              <w:t>防雨帽，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trPr>
        <w:tc>
          <w:tcPr>
            <w:tcW w:w="5000" w:type="pct"/>
            <w:gridSpan w:val="7"/>
            <w:shd w:val="clear" w:color="auto" w:fill="auto"/>
            <w:vAlign w:val="center"/>
          </w:tcPr>
          <w:p>
            <w:pPr>
              <w:tabs>
                <w:tab w:val="left" w:pos="5615"/>
              </w:tabs>
              <w:bidi w:val="0"/>
              <w:ind w:firstLine="5250" w:firstLineChars="2500"/>
              <w:jc w:val="both"/>
              <w:rPr>
                <w:rFonts w:hint="eastAsia" w:asciiTheme="minorHAnsi" w:hAnsiTheme="minorHAnsi" w:eastAsiaTheme="minorEastAsia" w:cstheme="minorBidi"/>
                <w:b w:val="0"/>
                <w:bCs w:val="0"/>
                <w:kern w:val="2"/>
                <w:sz w:val="21"/>
                <w:szCs w:val="24"/>
                <w:highlight w:val="none"/>
                <w:lang w:val="en-US" w:eastAsia="zh-CN" w:bidi="ar-SA"/>
              </w:rPr>
            </w:pPr>
            <w:r>
              <w:rPr>
                <w:rFonts w:hint="eastAsia" w:cstheme="minorBidi"/>
                <w:b w:val="0"/>
                <w:bCs w:val="0"/>
                <w:kern w:val="2"/>
                <w:sz w:val="21"/>
                <w:szCs w:val="24"/>
                <w:highlight w:val="none"/>
                <w:lang w:val="en-US" w:eastAsia="zh-CN" w:bidi="ar-SA"/>
              </w:rPr>
              <w:t>以下为机组辅材及配件（包含在总价中）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自控系统</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套</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匹配发电机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启动蓄电池</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项</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匹配发电机</w:t>
            </w:r>
            <w:r>
              <w:rPr>
                <w:rFonts w:hint="eastAsia" w:ascii="宋体" w:hAnsi="宋体" w:cs="宋体"/>
                <w:b w:val="0"/>
                <w:bCs w:val="0"/>
                <w:sz w:val="24"/>
                <w:highlight w:val="none"/>
                <w:lang w:eastAsia="zh-CN"/>
              </w:rPr>
              <w:t>，</w:t>
            </w:r>
            <w:r>
              <w:rPr>
                <w:rFonts w:hint="eastAsia" w:ascii="宋体" w:hAnsi="宋体" w:eastAsia="宋体" w:cs="宋体"/>
                <w:b w:val="0"/>
                <w:bCs w:val="0"/>
                <w:sz w:val="24"/>
                <w:highlight w:val="none"/>
                <w:lang w:eastAsia="zh-CN"/>
              </w:rPr>
              <w:t>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自启动浮充</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套</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b w:val="0"/>
                <w:bCs w:val="0"/>
                <w:sz w:val="24"/>
                <w:highlight w:val="none"/>
                <w:lang w:val="en-US" w:eastAsia="zh-CN"/>
              </w:rPr>
            </w:pPr>
            <w:r>
              <w:rPr>
                <w:rFonts w:hint="eastAsia" w:ascii="宋体" w:hAnsi="宋体" w:cs="宋体"/>
                <w:b w:val="0"/>
                <w:bCs w:val="0"/>
                <w:sz w:val="24"/>
                <w:highlight w:val="none"/>
                <w:lang w:val="en-US" w:eastAsia="zh-CN"/>
              </w:rPr>
              <w:t>市电浮充，保持电池电量，具有逆电流保护装置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散热水箱</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套</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防冻液加入设备内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减震器</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套</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b w:val="0"/>
                <w:bCs w:val="0"/>
                <w:sz w:val="24"/>
                <w:highlight w:val="none"/>
                <w:lang w:val="en-US" w:eastAsia="zh-CN"/>
              </w:rPr>
            </w:pPr>
            <w:r>
              <w:rPr>
                <w:rFonts w:hint="eastAsia" w:ascii="宋体" w:hAnsi="宋体" w:cs="宋体"/>
                <w:b w:val="0"/>
                <w:bCs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共同底座</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套</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满足机组摆放、安装及防震要求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排烟消声器</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套</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厂家配套宁静型消声器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波纹管</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套</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不锈钢式波纹管减震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烟管</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套</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b w:val="0"/>
                <w:bCs w:val="0"/>
                <w:sz w:val="24"/>
                <w:highlight w:val="none"/>
                <w:lang w:eastAsia="zh-CN"/>
              </w:rPr>
              <w:t>发电机自带的排烟管，</w:t>
            </w:r>
            <w:r>
              <w:rPr>
                <w:rFonts w:hint="eastAsia" w:ascii="宋体" w:hAnsi="宋体" w:cs="宋体" w:eastAsiaTheme="minorEastAsia"/>
                <w:b w:val="0"/>
                <w:bCs w:val="0"/>
                <w:sz w:val="24"/>
                <w:highlight w:val="none"/>
                <w:lang w:eastAsia="zh-CN"/>
              </w:rPr>
              <w:t>根据柴油机涡轮增压口径配套</w:t>
            </w:r>
            <w:r>
              <w:rPr>
                <w:rFonts w:hint="eastAsia" w:ascii="宋体" w:hAnsi="宋体" w:cs="宋体"/>
                <w:b w:val="0"/>
                <w:bCs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专用工具</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台</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厂家配套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运输</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项</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厂家专车运输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卸货</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项</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根据现场安装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调试、培训</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项</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安装完毕调试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blHeader/>
        </w:trPr>
        <w:tc>
          <w:tcPr>
            <w:tcW w:w="838"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其他</w:t>
            </w:r>
          </w:p>
        </w:tc>
        <w:tc>
          <w:tcPr>
            <w:tcW w:w="622"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w:t>
            </w:r>
          </w:p>
        </w:tc>
        <w:tc>
          <w:tcPr>
            <w:tcW w:w="650"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套</w:t>
            </w:r>
          </w:p>
        </w:tc>
        <w:tc>
          <w:tcPr>
            <w:tcW w:w="579"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409"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4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eastAsia="宋体" w:cs="宋体"/>
                <w:b w:val="0"/>
                <w:bCs w:val="0"/>
                <w:sz w:val="24"/>
                <w:highlight w:val="none"/>
                <w:lang w:eastAsia="zh-CN"/>
              </w:rPr>
              <w:t>含总价内</w:t>
            </w:r>
          </w:p>
        </w:tc>
        <w:tc>
          <w:tcPr>
            <w:tcW w:w="1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b w:val="0"/>
                <w:bCs w:val="0"/>
                <w:sz w:val="24"/>
                <w:highlight w:val="none"/>
                <w:lang w:eastAsia="zh-CN"/>
              </w:rPr>
            </w:pPr>
            <w:r>
              <w:rPr>
                <w:rFonts w:hint="eastAsia" w:ascii="宋体" w:hAnsi="宋体" w:cs="宋体" w:eastAsiaTheme="minorEastAsia"/>
                <w:b w:val="0"/>
                <w:bCs w:val="0"/>
                <w:sz w:val="24"/>
                <w:highlight w:val="none"/>
                <w:lang w:eastAsia="zh-CN"/>
              </w:rPr>
              <w:t>备品备件、专用工具、设备安装、 调试、验收、技术联络等</w:t>
            </w:r>
          </w:p>
        </w:tc>
      </w:tr>
    </w:tbl>
    <w:p>
      <w:pPr>
        <w:pStyle w:val="2"/>
        <w:ind w:firstLine="0" w:firstLineChars="0"/>
        <w:rPr>
          <w:rFonts w:hint="default" w:ascii="宋体" w:hAnsi="宋体" w:eastAsia="宋体" w:cs="宋体"/>
          <w:sz w:val="24"/>
          <w:lang w:val="en-US" w:eastAsia="zh-CN"/>
        </w:rPr>
      </w:pPr>
    </w:p>
    <w:p>
      <w:pPr>
        <w:pStyle w:val="2"/>
        <w:spacing w:line="360" w:lineRule="auto"/>
        <w:ind w:left="0" w:leftChars="0" w:firstLine="0" w:firstLineChars="0"/>
        <w:rPr>
          <w:rFonts w:hint="default" w:ascii="宋体" w:hAnsi="宋体" w:eastAsia="宋体" w:cs="宋体"/>
          <w:sz w:val="24"/>
          <w:lang w:val="en-US" w:eastAsia="zh-CN"/>
        </w:rPr>
      </w:pPr>
      <w:r>
        <w:rPr>
          <w:rFonts w:hint="default"/>
          <w:b/>
          <w:bCs/>
          <w:u w:val="single"/>
          <w:lang w:val="en-US" w:eastAsia="zh-CN"/>
        </w:rPr>
        <w:t>▲</w:t>
      </w:r>
      <w:r>
        <w:rPr>
          <w:rFonts w:hint="eastAsia"/>
          <w:b/>
          <w:bCs/>
          <w:u w:val="single"/>
          <w:lang w:val="en-US" w:eastAsia="zh-CN"/>
        </w:rPr>
        <w:t>注：上述产品如有规定建议品牌，</w:t>
      </w:r>
      <w:r>
        <w:rPr>
          <w:rFonts w:hint="default"/>
          <w:b/>
          <w:bCs/>
          <w:u w:val="single"/>
          <w:lang w:val="en-US" w:eastAsia="zh-CN"/>
        </w:rPr>
        <w:t>投标人需自行选择其中一个</w:t>
      </w:r>
      <w:r>
        <w:rPr>
          <w:rFonts w:hint="eastAsia"/>
          <w:b/>
          <w:bCs/>
          <w:u w:val="single"/>
          <w:lang w:val="en-US" w:eastAsia="zh-CN"/>
        </w:rPr>
        <w:t>建议</w:t>
      </w:r>
      <w:r>
        <w:rPr>
          <w:rFonts w:hint="default"/>
          <w:b/>
          <w:bCs/>
          <w:u w:val="single"/>
          <w:lang w:val="en-US" w:eastAsia="zh-CN"/>
        </w:rPr>
        <w:t>品牌进行投标，</w:t>
      </w:r>
      <w:r>
        <w:rPr>
          <w:rFonts w:hint="eastAsia"/>
          <w:b/>
          <w:bCs/>
          <w:u w:val="single"/>
          <w:lang w:val="en-US" w:eastAsia="zh-CN"/>
        </w:rPr>
        <w:t>且</w:t>
      </w:r>
      <w:r>
        <w:rPr>
          <w:rFonts w:hint="default"/>
          <w:b/>
          <w:bCs/>
          <w:u w:val="single"/>
          <w:lang w:val="en-US" w:eastAsia="zh-CN"/>
        </w:rPr>
        <w:t>投标仅限于上方表格中的建议品牌。</w:t>
      </w:r>
    </w:p>
    <w:p>
      <w:pPr>
        <w:pStyle w:val="2"/>
        <w:numPr>
          <w:ilvl w:val="0"/>
          <w:numId w:val="1"/>
        </w:numPr>
        <w:spacing w:line="360" w:lineRule="auto"/>
        <w:ind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付款方式：</w:t>
      </w:r>
    </w:p>
    <w:p>
      <w:pPr>
        <w:pStyle w:val="2"/>
        <w:numPr>
          <w:ilvl w:val="0"/>
          <w:numId w:val="0"/>
        </w:num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发票，甲方在收到发票后</w:t>
      </w:r>
      <w:r>
        <w:rPr>
          <w:rFonts w:hint="eastAsia" w:ascii="宋体" w:hAnsi="宋体" w:eastAsia="宋体" w:cs="宋体"/>
          <w:sz w:val="24"/>
          <w:lang w:val="en-US" w:eastAsia="zh-CN"/>
        </w:rPr>
        <w:t>3个月</w:t>
      </w:r>
      <w:r>
        <w:rPr>
          <w:rFonts w:hint="default" w:ascii="宋体" w:hAnsi="宋体" w:eastAsia="宋体" w:cs="宋体"/>
          <w:sz w:val="24"/>
          <w:lang w:val="en-US" w:eastAsia="zh-CN"/>
        </w:rPr>
        <w:t>内向乙方支付全部合同价款。</w:t>
      </w:r>
    </w:p>
    <w:p>
      <w:pPr>
        <w:pStyle w:val="2"/>
        <w:numPr>
          <w:ilvl w:val="0"/>
          <w:numId w:val="1"/>
        </w:numPr>
        <w:spacing w:line="360" w:lineRule="auto"/>
        <w:ind w:left="0" w:leftChars="0" w:firstLine="0" w:firstLineChars="0"/>
        <w:rPr>
          <w:rFonts w:hint="eastAsia"/>
          <w:sz w:val="24"/>
          <w:szCs w:val="24"/>
          <w:lang w:eastAsia="zh-CN"/>
        </w:rPr>
      </w:pPr>
      <w:r>
        <w:rPr>
          <w:rFonts w:hint="eastAsia" w:ascii="宋体" w:hAnsi="宋体" w:eastAsia="宋体" w:cs="宋体"/>
          <w:b/>
          <w:bCs/>
          <w:sz w:val="24"/>
          <w:lang w:val="en-US" w:eastAsia="zh-CN"/>
        </w:rPr>
        <w:t>质保期≥1年</w:t>
      </w:r>
      <w:r>
        <w:rPr>
          <w:rFonts w:hint="eastAsia"/>
          <w:b/>
          <w:bCs/>
          <w:sz w:val="24"/>
          <w:szCs w:val="24"/>
        </w:rPr>
        <w:t>（自交货验收合格之日起计）</w:t>
      </w:r>
      <w:r>
        <w:rPr>
          <w:rFonts w:hint="eastAsia"/>
          <w:b/>
          <w:bCs/>
          <w:sz w:val="24"/>
          <w:szCs w:val="24"/>
          <w:lang w:eastAsia="zh-CN"/>
        </w:rPr>
        <w:t>。</w:t>
      </w:r>
    </w:p>
    <w:p>
      <w:pPr>
        <w:pStyle w:val="2"/>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六、质量保证及售后服务</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1、所供应的商品是最新生产的符合国家技术规格和质量标准的出厂原装合格产品。</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2、所提供的货物在质保期内因货物本身发生质量问题的，供应商应负责免费更换。对达不到质量要求者，根据实际情况，经双方协商，可按以下办法处理：</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2"/>
        <w:numPr>
          <w:ilvl w:val="0"/>
          <w:numId w:val="0"/>
        </w:numPr>
        <w:spacing w:line="360" w:lineRule="auto"/>
        <w:ind w:leftChars="0" w:firstLine="480" w:firstLineChars="200"/>
        <w:rPr>
          <w:rFonts w:hint="eastAsia"/>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七、</w:t>
      </w:r>
      <w:r>
        <w:rPr>
          <w:rFonts w:hint="default"/>
          <w:b/>
          <w:bCs/>
          <w:sz w:val="24"/>
          <w:szCs w:val="24"/>
          <w:lang w:val="en-US" w:eastAsia="zh-CN"/>
        </w:rPr>
        <w:t>货物的到货、安装、调试和验收</w:t>
      </w:r>
    </w:p>
    <w:p>
      <w:pPr>
        <w:pStyle w:val="2"/>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到货 </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卖方必须在合同规定的时间内完成货物的供货。货物到达现场后，卖方必须派员到现场与买方一起开箱并按供货清单验收</w:t>
      </w:r>
      <w:r>
        <w:rPr>
          <w:rFonts w:hint="eastAsia"/>
          <w:sz w:val="24"/>
          <w:szCs w:val="24"/>
          <w:lang w:val="en-US" w:eastAsia="zh-CN"/>
        </w:rPr>
        <w:t>，</w:t>
      </w:r>
      <w:r>
        <w:rPr>
          <w:rFonts w:hint="default"/>
          <w:sz w:val="24"/>
          <w:szCs w:val="24"/>
          <w:lang w:val="en-US" w:eastAsia="zh-CN"/>
        </w:rPr>
        <w:t>若有缺少或损坏，卖方应立即补足或更换全新同规格产品，直至买方满意为止。</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安装</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2.1</w:t>
      </w:r>
      <w:r>
        <w:rPr>
          <w:rFonts w:hint="eastAsia"/>
          <w:sz w:val="24"/>
          <w:szCs w:val="24"/>
          <w:lang w:val="en-US" w:eastAsia="zh-CN"/>
        </w:rPr>
        <w:t xml:space="preserve">  </w:t>
      </w:r>
      <w:r>
        <w:rPr>
          <w:rFonts w:hint="default"/>
          <w:sz w:val="24"/>
          <w:szCs w:val="24"/>
          <w:lang w:val="en-US" w:eastAsia="zh-CN"/>
        </w:rPr>
        <w:t>货物到达买方指定地点后，卖方应按买方规定的日期指派工程技术人员对货物进行安装调试，直至通过验收。货物的安装调试及现场培训应在合同规定的期限内完成。</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2.2  设备的安装必须符合有关标准和规范。安装过程中买方将对货物的安装质量进行监督。</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调试</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安装就位、校准后，卖方应按事先被买方认可的调试验收计划对货物进行调试，并对货物所标注的各项技术参数进行测试，测试报告将在货物验收完毕后提交给买方，但卖方应对测试的各种数据的真实性负责。买方也可以要求具有检测资质的第三方用专用仪器对货物进行功能 、性能测试，卖方负责所需的一切费用。</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4</w:t>
      </w:r>
      <w:r>
        <w:rPr>
          <w:rFonts w:hint="eastAsia"/>
          <w:sz w:val="24"/>
          <w:szCs w:val="24"/>
          <w:lang w:val="en-US" w:eastAsia="zh-CN"/>
        </w:rPr>
        <w:t>、</w:t>
      </w:r>
      <w:r>
        <w:rPr>
          <w:rFonts w:hint="default"/>
          <w:sz w:val="24"/>
          <w:szCs w:val="24"/>
          <w:lang w:val="en-US" w:eastAsia="zh-CN"/>
        </w:rPr>
        <w:t>验收</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货物经过试运行考核无故障（或存在的故障和隐患均已全部排除），并经相关部门检验合格，所有的技术资料和图纸已向买方提交并被接受，验收视为合格，买卖双方签署验收合格证书。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若因卖方产品质量或安装技术问题导致货物二次验收都不合格，买方有权选择退货，并保留向卖方索赔的权利。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6</w:t>
      </w:r>
      <w:r>
        <w:rPr>
          <w:rFonts w:hint="eastAsia"/>
          <w:sz w:val="24"/>
          <w:szCs w:val="24"/>
          <w:lang w:val="en-US" w:eastAsia="zh-CN"/>
        </w:rPr>
        <w:t>、</w:t>
      </w:r>
      <w:r>
        <w:rPr>
          <w:rFonts w:hint="default"/>
          <w:sz w:val="24"/>
          <w:szCs w:val="24"/>
          <w:lang w:val="en-US" w:eastAsia="zh-CN"/>
        </w:rPr>
        <w:t>卖方在货物到货、安装、调试和验收期间应接受买方的协调和管理，卖方应采取严格的防范措施，承担由于自身原因所造成的事故责任及其发生的一切费用。</w:t>
      </w: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八、</w:t>
      </w:r>
      <w:r>
        <w:rPr>
          <w:rFonts w:hint="default"/>
          <w:b/>
          <w:bCs/>
          <w:sz w:val="24"/>
          <w:szCs w:val="24"/>
          <w:lang w:val="en-US" w:eastAsia="zh-CN"/>
        </w:rPr>
        <w:t>技术服务</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维修技术服务。出现质量问题而买方无法自行解决的，卖方在接到买方的维修电话或传真通知后10分钟内作出响应，电话沟通无法解决的，卖方维修人员应在60分钟内到达现场进行维修，排除故障，重大质量问题一时无法解决的，卖方应提出解决问题的应急处理预案。提供7×24小时电话咨询服务。</w:t>
      </w:r>
    </w:p>
    <w:p>
      <w:pPr>
        <w:pStyle w:val="2"/>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2、</w:t>
      </w:r>
      <w:r>
        <w:rPr>
          <w:rFonts w:hint="default"/>
          <w:sz w:val="24"/>
          <w:szCs w:val="24"/>
          <w:lang w:val="en-US" w:eastAsia="zh-CN"/>
        </w:rPr>
        <w:t>质保期满后，卖方工程技术、维修人员也须不定期的进行回访，并为买方提供优质、优价的终身维修和产品维护保养。</w:t>
      </w:r>
    </w:p>
    <w:p>
      <w:pPr>
        <w:pStyle w:val="2"/>
        <w:numPr>
          <w:ilvl w:val="0"/>
          <w:numId w:val="0"/>
        </w:numPr>
        <w:spacing w:line="360" w:lineRule="auto"/>
        <w:rPr>
          <w:rFonts w:hint="eastAsia"/>
          <w:b/>
          <w:bCs/>
          <w:sz w:val="24"/>
          <w:szCs w:val="24"/>
          <w:lang w:val="en-US" w:eastAsia="zh-CN"/>
        </w:rPr>
      </w:pPr>
      <w:r>
        <w:rPr>
          <w:rFonts w:hint="eastAsia"/>
          <w:b/>
          <w:bCs/>
          <w:sz w:val="24"/>
          <w:szCs w:val="24"/>
          <w:lang w:val="en-US" w:eastAsia="zh-CN"/>
        </w:rPr>
        <w:t>九、其他</w:t>
      </w:r>
    </w:p>
    <w:p>
      <w:pPr>
        <w:pStyle w:val="2"/>
        <w:numPr>
          <w:ilvl w:val="0"/>
          <w:numId w:val="0"/>
        </w:numPr>
        <w:spacing w:line="360" w:lineRule="auto"/>
        <w:ind w:firstLine="480" w:firstLineChars="200"/>
        <w:rPr>
          <w:rFonts w:hint="default"/>
          <w:b w:val="0"/>
          <w:bCs w:val="0"/>
          <w:sz w:val="24"/>
          <w:szCs w:val="24"/>
          <w:u w:val="single"/>
          <w:lang w:val="en-US" w:eastAsia="zh-CN"/>
        </w:rPr>
      </w:pPr>
      <w:r>
        <w:rPr>
          <w:rFonts w:hint="eastAsia"/>
          <w:b w:val="0"/>
          <w:bCs w:val="0"/>
          <w:sz w:val="24"/>
          <w:szCs w:val="24"/>
          <w:lang w:val="en-US" w:eastAsia="zh-CN"/>
        </w:rPr>
        <w:t>1、合同签订后乙方须在</w:t>
      </w:r>
      <w:r>
        <w:rPr>
          <w:rFonts w:hint="eastAsia"/>
          <w:b w:val="0"/>
          <w:bCs w:val="0"/>
          <w:sz w:val="24"/>
          <w:szCs w:val="24"/>
          <w:u w:val="single"/>
          <w:lang w:val="en-US" w:eastAsia="zh-CN"/>
        </w:rPr>
        <w:t xml:space="preserve"> 10 </w:t>
      </w:r>
      <w:r>
        <w:rPr>
          <w:rFonts w:hint="eastAsia"/>
          <w:b w:val="0"/>
          <w:bCs w:val="0"/>
          <w:sz w:val="24"/>
          <w:szCs w:val="24"/>
          <w:u w:val="none"/>
          <w:lang w:val="en-US" w:eastAsia="zh-CN"/>
        </w:rPr>
        <w:t>个</w:t>
      </w:r>
      <w:r>
        <w:rPr>
          <w:rFonts w:hint="eastAsia"/>
          <w:b w:val="0"/>
          <w:bCs w:val="0"/>
          <w:sz w:val="24"/>
          <w:szCs w:val="24"/>
          <w:lang w:val="en-US" w:eastAsia="zh-CN"/>
        </w:rPr>
        <w:t>工作日内完成全部产品的到货。</w:t>
      </w: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十</w:t>
      </w:r>
      <w:r>
        <w:rPr>
          <w:rFonts w:hint="default"/>
          <w:b/>
          <w:bCs/>
          <w:sz w:val="24"/>
          <w:szCs w:val="24"/>
          <w:lang w:val="en-US" w:eastAsia="zh-CN"/>
        </w:rPr>
        <w:t>、</w:t>
      </w:r>
      <w:r>
        <w:rPr>
          <w:rFonts w:hint="eastAsia"/>
          <w:b/>
          <w:bCs/>
          <w:sz w:val="24"/>
          <w:szCs w:val="24"/>
          <w:lang w:val="en-US" w:eastAsia="zh-CN"/>
        </w:rPr>
        <w:t>合同签署-</w:t>
      </w:r>
      <w:r>
        <w:rPr>
          <w:rFonts w:hint="default"/>
          <w:b/>
          <w:bCs/>
          <w:sz w:val="24"/>
          <w:szCs w:val="24"/>
          <w:lang w:val="en-US" w:eastAsia="zh-CN"/>
        </w:rPr>
        <w:t>违约责任</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1、甲方无正当理由拒收货物的，甲方向乙方偿付拒收货款总值的 百分之五 违约金。</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2、乙方逾期交付货物的，乙方应按逾期交货总额每日 千分之六 向甲方支付违约金，由甲方从待付货款中扣除。逾期超过约定日期 10 个工作日不能交货的，甲方可解除合同。乙方因逾期交货或因其他违约行为导致甲方解除合同的，乙方应向甲方支付合同总值 5 %的违约金，如造成甲方损失超过违约金的，超出部分由乙方继续承担赔偿责任。</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4、由于乙方所提供的货物存在问题，给第三人人身或财产造成损害的，由乙方承担赔偿责任。若甲方承担赔偿责任后，有权向乙方追偿，包括但不限于律师费、诉讼费、交通费等。</w:t>
      </w: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十一</w:t>
      </w:r>
      <w:r>
        <w:rPr>
          <w:rFonts w:hint="default"/>
          <w:b/>
          <w:bCs/>
          <w:sz w:val="24"/>
          <w:szCs w:val="24"/>
          <w:lang w:val="en-US" w:eastAsia="zh-CN"/>
        </w:rPr>
        <w:t>、</w:t>
      </w:r>
      <w:r>
        <w:rPr>
          <w:rFonts w:hint="eastAsia"/>
          <w:b/>
          <w:bCs/>
          <w:sz w:val="24"/>
          <w:szCs w:val="24"/>
          <w:lang w:val="en-US" w:eastAsia="zh-CN"/>
        </w:rPr>
        <w:t>合同签署-</w:t>
      </w:r>
      <w:r>
        <w:rPr>
          <w:rFonts w:hint="default"/>
          <w:b/>
          <w:bCs/>
          <w:sz w:val="24"/>
          <w:szCs w:val="24"/>
          <w:lang w:val="en-US" w:eastAsia="zh-CN"/>
        </w:rPr>
        <w:t>不可抗力事件处理</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1、在合同有效期内，任何一方因不可抗力事件导致不能履行合同，则合同履行期可延长，其延长期与不可抗力影响期相同。</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2、不可抗力事件发生后，应立即通知对方，并寄送有关权威机构出具的证明。</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3、不可抗力事件延续 120天以上，双方应通过友好协商，确定是否继续履行合同。</w:t>
      </w: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十二</w:t>
      </w:r>
      <w:r>
        <w:rPr>
          <w:rFonts w:hint="default"/>
          <w:b/>
          <w:bCs/>
          <w:sz w:val="24"/>
          <w:szCs w:val="24"/>
          <w:lang w:val="en-US" w:eastAsia="zh-CN"/>
        </w:rPr>
        <w:t>、</w:t>
      </w:r>
      <w:r>
        <w:rPr>
          <w:rFonts w:hint="eastAsia"/>
          <w:b/>
          <w:bCs/>
          <w:sz w:val="24"/>
          <w:szCs w:val="24"/>
          <w:lang w:val="en-US" w:eastAsia="zh-CN"/>
        </w:rPr>
        <w:t>合同签署-</w:t>
      </w:r>
      <w:r>
        <w:rPr>
          <w:rFonts w:hint="default"/>
          <w:b/>
          <w:bCs/>
          <w:sz w:val="24"/>
          <w:szCs w:val="24"/>
          <w:lang w:val="en-US" w:eastAsia="zh-CN"/>
        </w:rPr>
        <w:t>诉讼</w:t>
      </w:r>
    </w:p>
    <w:p>
      <w:pPr>
        <w:pStyle w:val="2"/>
        <w:numPr>
          <w:ilvl w:val="0"/>
          <w:numId w:val="0"/>
        </w:numPr>
        <w:spacing w:line="360" w:lineRule="auto"/>
        <w:ind w:firstLine="480" w:firstLineChars="200"/>
        <w:rPr>
          <w:rFonts w:hint="eastAsia"/>
          <w:sz w:val="24"/>
          <w:szCs w:val="24"/>
          <w:lang w:val="en-US" w:eastAsia="zh-CN"/>
        </w:rPr>
      </w:pPr>
      <w:r>
        <w:rPr>
          <w:rFonts w:hint="default"/>
          <w:b w:val="0"/>
          <w:bCs w:val="0"/>
          <w:sz w:val="24"/>
          <w:szCs w:val="24"/>
          <w:lang w:val="en-US" w:eastAsia="zh-CN"/>
        </w:rPr>
        <w:t>双方在履行合同中所发生的一切争议，应通过协商解决。如协商不成，向甲方所在地法院起诉。</w:t>
      </w:r>
    </w:p>
    <w:sectPr>
      <w:pgSz w:w="16838" w:h="11906" w:orient="landscape"/>
      <w:pgMar w:top="680" w:right="1304" w:bottom="68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FC988"/>
    <w:multiLevelType w:val="singleLevel"/>
    <w:tmpl w:val="F41FC988"/>
    <w:lvl w:ilvl="0" w:tentative="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N2FlZGQyNmExMDc1YTc1OWIxYmFlNmE1NTFhMTUifQ=="/>
  </w:docVars>
  <w:rsids>
    <w:rsidRoot w:val="00A02A37"/>
    <w:rsid w:val="0007646E"/>
    <w:rsid w:val="002A0406"/>
    <w:rsid w:val="007373BC"/>
    <w:rsid w:val="00A02A37"/>
    <w:rsid w:val="00A457FA"/>
    <w:rsid w:val="00F0269D"/>
    <w:rsid w:val="04684506"/>
    <w:rsid w:val="05255951"/>
    <w:rsid w:val="10C71F5A"/>
    <w:rsid w:val="12900868"/>
    <w:rsid w:val="1D3C515C"/>
    <w:rsid w:val="209B4FA7"/>
    <w:rsid w:val="21DA0877"/>
    <w:rsid w:val="252217F3"/>
    <w:rsid w:val="2AC41535"/>
    <w:rsid w:val="2EBF307B"/>
    <w:rsid w:val="2F523A97"/>
    <w:rsid w:val="321150C9"/>
    <w:rsid w:val="3AB111F7"/>
    <w:rsid w:val="3DD35929"/>
    <w:rsid w:val="3EC97C4B"/>
    <w:rsid w:val="41192A66"/>
    <w:rsid w:val="48C84ABD"/>
    <w:rsid w:val="4B501BFA"/>
    <w:rsid w:val="53837859"/>
    <w:rsid w:val="5A0F768E"/>
    <w:rsid w:val="62F51FB2"/>
    <w:rsid w:val="68AC65E3"/>
    <w:rsid w:val="6EAD47D5"/>
    <w:rsid w:val="71C32FE3"/>
    <w:rsid w:val="747B3DF6"/>
    <w:rsid w:val="765A5288"/>
    <w:rsid w:val="7F8E4C30"/>
    <w:rsid w:val="7FE1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2"/>
    <w:qFormat/>
    <w:uiPriority w:val="0"/>
    <w:pPr>
      <w:ind w:firstLine="555"/>
    </w:pPr>
  </w:style>
  <w:style w:type="paragraph" w:styleId="4">
    <w:name w:val="Normal Indent"/>
    <w:basedOn w:val="1"/>
    <w:next w:val="3"/>
    <w:qFormat/>
    <w:uiPriority w:val="0"/>
    <w:pPr>
      <w:ind w:firstLine="420"/>
    </w:pPr>
    <w:rPr>
      <w:szCs w:val="20"/>
    </w:rPr>
  </w:style>
  <w:style w:type="paragraph" w:styleId="5">
    <w:name w:val="Body Text"/>
    <w:basedOn w:val="1"/>
    <w:next w:val="1"/>
    <w:qFormat/>
    <w:uiPriority w:val="0"/>
    <w:pPr>
      <w:spacing w:after="120"/>
    </w:p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qFormat/>
    <w:uiPriority w:val="0"/>
    <w:pPr>
      <w:ind w:firstLine="420" w:firstLineChars="100"/>
    </w:pPr>
  </w:style>
  <w:style w:type="character" w:customStyle="1" w:styleId="12">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2247</Words>
  <Characters>2324</Characters>
  <Lines>1</Lines>
  <Paragraphs>1</Paragraphs>
  <TotalTime>7</TotalTime>
  <ScaleCrop>false</ScaleCrop>
  <LinksUpToDate>false</LinksUpToDate>
  <CharactersWithSpaces>2342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Administrator</cp:lastModifiedBy>
  <dcterms:modified xsi:type="dcterms:W3CDTF">2023-08-25T07:11:02Z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7C5A16EDF2E647309599E4BF75944C46</vt:lpwstr>
  </property>
</Properties>
</file>