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clear" w:pos="840"/>
        </w:tabs>
        <w:adjustRightInd/>
        <w:snapToGrid/>
        <w:spacing w:before="120" w:after="120" w:line="300" w:lineRule="exact"/>
        <w:jc w:val="center"/>
        <w:rPr>
          <w:rFonts w:hint="eastAsia" w:ascii="宋体" w:hAnsi="宋体" w:eastAsia="宋体" w:cs="宋体"/>
          <w:color w:val="auto"/>
          <w:sz w:val="32"/>
          <w:szCs w:val="32"/>
          <w:highlight w:val="none"/>
          <w:lang w:val="en-US" w:eastAsia="zh-CN"/>
        </w:rPr>
      </w:pPr>
      <w:bookmarkStart w:id="0" w:name="_Toc451522337"/>
      <w:r>
        <w:rPr>
          <w:rFonts w:hint="eastAsia" w:ascii="宋体" w:hAnsi="宋体" w:eastAsia="宋体" w:cs="宋体"/>
          <w:color w:val="auto"/>
          <w:sz w:val="32"/>
          <w:szCs w:val="32"/>
          <w:highlight w:val="none"/>
          <w:lang w:val="en-US" w:eastAsia="zh-CN"/>
        </w:rPr>
        <w:t>温州市中医院勤廉大家谈视频、清廉专题微视频项目</w:t>
      </w:r>
      <w:bookmarkEnd w:id="0"/>
      <w:r>
        <w:rPr>
          <w:rFonts w:hint="eastAsia" w:hAnsi="宋体" w:cs="宋体"/>
          <w:color w:val="auto"/>
          <w:sz w:val="32"/>
          <w:szCs w:val="32"/>
          <w:highlight w:val="none"/>
          <w:lang w:val="en-US" w:eastAsia="zh-CN"/>
        </w:rPr>
        <w:t>遴选</w:t>
      </w:r>
      <w:r>
        <w:rPr>
          <w:rFonts w:hint="eastAsia" w:ascii="宋体" w:hAnsi="宋体" w:eastAsia="宋体" w:cs="宋体"/>
          <w:color w:val="auto"/>
          <w:sz w:val="32"/>
          <w:szCs w:val="32"/>
          <w:highlight w:val="none"/>
          <w:lang w:val="en-US" w:eastAsia="zh-CN"/>
        </w:rPr>
        <w:t>文件</w:t>
      </w:r>
    </w:p>
    <w:p>
      <w:pPr>
        <w:rPr>
          <w:rFonts w:hint="eastAsia"/>
          <w:b/>
          <w:bCs/>
          <w:color w:val="auto"/>
          <w:sz w:val="28"/>
          <w:szCs w:val="28"/>
          <w:highlight w:val="none"/>
        </w:rPr>
      </w:pPr>
      <w:r>
        <w:rPr>
          <w:rFonts w:hint="eastAsia"/>
          <w:b/>
          <w:bCs/>
          <w:color w:val="auto"/>
          <w:sz w:val="28"/>
          <w:szCs w:val="28"/>
          <w:highlight w:val="none"/>
        </w:rPr>
        <w:t>一、项目概况</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温州市中医院勤廉大家谈</w:t>
      </w:r>
      <w:r>
        <w:rPr>
          <w:rFonts w:hint="eastAsia" w:ascii="宋体" w:hAnsi="宋体" w:cs="宋体"/>
          <w:color w:val="auto"/>
          <w:sz w:val="21"/>
          <w:szCs w:val="21"/>
          <w:highlight w:val="none"/>
          <w:lang w:val="en-US" w:eastAsia="zh-CN"/>
        </w:rPr>
        <w:t>视频</w:t>
      </w:r>
      <w:r>
        <w:rPr>
          <w:rFonts w:hint="eastAsia" w:ascii="宋体" w:hAnsi="宋体" w:eastAsia="宋体" w:cs="宋体"/>
          <w:color w:val="auto"/>
          <w:sz w:val="21"/>
          <w:szCs w:val="21"/>
          <w:highlight w:val="none"/>
          <w:lang w:val="en-US" w:eastAsia="zh-CN"/>
        </w:rPr>
        <w:t>、清廉专题微视频</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采购方式：公开遴选（非政府</w:t>
      </w:r>
      <w:bookmarkStart w:id="3" w:name="_GoBack"/>
      <w:r>
        <w:rPr>
          <w:rFonts w:hint="eastAsia" w:ascii="宋体" w:hAnsi="宋体" w:eastAsia="宋体" w:cs="宋体"/>
          <w:color w:val="auto"/>
          <w:sz w:val="21"/>
          <w:szCs w:val="21"/>
          <w:highlight w:val="none"/>
          <w:lang w:val="en-US" w:eastAsia="zh-CN"/>
        </w:rPr>
        <w:t>采购</w:t>
      </w:r>
      <w:bookmarkEnd w:id="3"/>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预算金额：60000元</w:t>
      </w:r>
    </w:p>
    <w:p>
      <w:pPr>
        <w:spacing w:line="360" w:lineRule="auto"/>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二</w:t>
      </w:r>
      <w:r>
        <w:rPr>
          <w:rFonts w:hint="eastAsia" w:ascii="宋体" w:hAnsi="宋体"/>
          <w:b/>
          <w:bCs/>
          <w:color w:val="auto"/>
          <w:sz w:val="28"/>
          <w:szCs w:val="28"/>
          <w:highlight w:val="none"/>
        </w:rPr>
        <w:t>、</w:t>
      </w:r>
      <w:r>
        <w:rPr>
          <w:rFonts w:hint="eastAsia" w:ascii="宋体" w:hAnsi="宋体"/>
          <w:b/>
          <w:bCs/>
          <w:color w:val="auto"/>
          <w:sz w:val="28"/>
          <w:szCs w:val="28"/>
          <w:highlight w:val="none"/>
          <w:lang w:val="en-US" w:eastAsia="zh-CN"/>
        </w:rPr>
        <w:t>付款方式</w:t>
      </w:r>
    </w:p>
    <w:p>
      <w:pPr>
        <w:spacing w:line="360" w:lineRule="auto"/>
        <w:ind w:firstLine="420" w:firstLineChars="200"/>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勤廉大家谈视频、清廉专题微视频1期内容</w:t>
      </w:r>
      <w:r>
        <w:rPr>
          <w:rFonts w:hint="eastAsia" w:ascii="宋体" w:hAnsi="宋体" w:eastAsia="宋体" w:cs="宋体"/>
          <w:b w:val="0"/>
          <w:bCs w:val="0"/>
          <w:color w:val="auto"/>
          <w:sz w:val="21"/>
          <w:szCs w:val="21"/>
          <w:highlight w:val="none"/>
          <w:lang w:val="en-US" w:eastAsia="zh-CN"/>
        </w:rPr>
        <w:t>完成</w:t>
      </w:r>
      <w:r>
        <w:rPr>
          <w:rFonts w:hint="eastAsia" w:ascii="宋体" w:hAnsi="宋体" w:cs="宋体"/>
          <w:b w:val="0"/>
          <w:bCs w:val="0"/>
          <w:color w:val="auto"/>
          <w:sz w:val="21"/>
          <w:szCs w:val="21"/>
          <w:highlight w:val="none"/>
          <w:lang w:val="en-US" w:eastAsia="zh-CN"/>
        </w:rPr>
        <w:t>并</w:t>
      </w:r>
      <w:r>
        <w:rPr>
          <w:rFonts w:hint="eastAsia" w:ascii="宋体" w:hAnsi="宋体" w:eastAsia="宋体" w:cs="宋体"/>
          <w:b w:val="0"/>
          <w:bCs w:val="0"/>
          <w:color w:val="auto"/>
          <w:sz w:val="21"/>
          <w:szCs w:val="21"/>
          <w:highlight w:val="none"/>
          <w:lang w:val="en-US" w:eastAsia="zh-CN"/>
        </w:rPr>
        <w:t>通过</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最终验收合格后</w:t>
      </w:r>
      <w:r>
        <w:rPr>
          <w:rFonts w:hint="eastAsia" w:ascii="宋体" w:hAnsi="宋体" w:cs="宋体"/>
          <w:b w:val="0"/>
          <w:bCs w:val="0"/>
          <w:color w:val="auto"/>
          <w:sz w:val="21"/>
          <w:szCs w:val="21"/>
          <w:highlight w:val="none"/>
          <w:lang w:val="en-US" w:eastAsia="zh-CN"/>
        </w:rPr>
        <w:t>，采购人在收到发票后</w:t>
      </w:r>
      <w:r>
        <w:rPr>
          <w:rFonts w:hint="eastAsia" w:ascii="宋体" w:hAnsi="宋体" w:cs="宋体"/>
          <w:b w:val="0"/>
          <w:bCs w:val="0"/>
          <w:color w:val="auto"/>
          <w:sz w:val="21"/>
          <w:szCs w:val="21"/>
          <w:highlight w:val="none"/>
          <w:u w:val="single"/>
          <w:lang w:val="en-US" w:eastAsia="zh-CN"/>
        </w:rPr>
        <w:t xml:space="preserve"> 30个工作日 </w:t>
      </w:r>
      <w:r>
        <w:rPr>
          <w:rFonts w:hint="eastAsia" w:ascii="宋体" w:hAnsi="宋体" w:cs="宋体"/>
          <w:b w:val="0"/>
          <w:bCs w:val="0"/>
          <w:color w:val="auto"/>
          <w:sz w:val="21"/>
          <w:szCs w:val="21"/>
          <w:highlight w:val="none"/>
          <w:lang w:val="en-US" w:eastAsia="zh-CN"/>
        </w:rPr>
        <w:t>内向中标人支付全部合同价款的40%，清廉专题微视频2期、3期内容完成并</w:t>
      </w:r>
      <w:r>
        <w:rPr>
          <w:rFonts w:hint="eastAsia" w:ascii="宋体" w:hAnsi="宋体" w:eastAsia="宋体" w:cs="宋体"/>
          <w:b w:val="0"/>
          <w:bCs w:val="0"/>
          <w:color w:val="auto"/>
          <w:sz w:val="21"/>
          <w:szCs w:val="21"/>
          <w:highlight w:val="none"/>
          <w:lang w:val="en-US" w:eastAsia="zh-CN"/>
        </w:rPr>
        <w:t>通过</w:t>
      </w:r>
      <w:r>
        <w:rPr>
          <w:rFonts w:hint="eastAsia" w:ascii="宋体" w:hAnsi="宋体" w:cs="宋体"/>
          <w:b w:val="0"/>
          <w:bCs w:val="0"/>
          <w:color w:val="auto"/>
          <w:sz w:val="21"/>
          <w:szCs w:val="21"/>
          <w:highlight w:val="none"/>
          <w:lang w:val="en-US" w:eastAsia="zh-CN"/>
        </w:rPr>
        <w:t>采购人</w:t>
      </w:r>
      <w:r>
        <w:rPr>
          <w:rFonts w:hint="eastAsia" w:ascii="宋体" w:hAnsi="宋体" w:eastAsia="宋体" w:cs="宋体"/>
          <w:b w:val="0"/>
          <w:bCs w:val="0"/>
          <w:color w:val="auto"/>
          <w:sz w:val="21"/>
          <w:szCs w:val="21"/>
          <w:highlight w:val="none"/>
          <w:lang w:val="en-US" w:eastAsia="zh-CN"/>
        </w:rPr>
        <w:t>最终验收合格后</w:t>
      </w:r>
      <w:r>
        <w:rPr>
          <w:rFonts w:hint="eastAsia" w:ascii="宋体" w:hAnsi="宋体" w:cs="宋体"/>
          <w:b w:val="0"/>
          <w:bCs w:val="0"/>
          <w:color w:val="auto"/>
          <w:sz w:val="21"/>
          <w:szCs w:val="21"/>
          <w:highlight w:val="none"/>
          <w:lang w:val="en-US" w:eastAsia="zh-CN"/>
        </w:rPr>
        <w:t>，采购人在30个工作日内向中标人支付全部合同价款剩余的60%。</w:t>
      </w:r>
    </w:p>
    <w:p>
      <w:pPr>
        <w:spacing w:line="360" w:lineRule="auto"/>
        <w:rPr>
          <w:rFonts w:hint="default" w:ascii="宋体" w:hAnsi="宋体" w:eastAsia="宋体"/>
          <w:b/>
          <w:bCs/>
          <w:color w:val="auto"/>
          <w:sz w:val="28"/>
          <w:szCs w:val="28"/>
          <w:highlight w:val="none"/>
          <w:lang w:val="en-US" w:eastAsia="zh-CN"/>
        </w:rPr>
      </w:pPr>
      <w:r>
        <w:rPr>
          <w:rFonts w:hint="eastAsia" w:ascii="宋体" w:hAnsi="宋体"/>
          <w:b/>
          <w:bCs/>
          <w:color w:val="auto"/>
          <w:sz w:val="28"/>
          <w:szCs w:val="28"/>
          <w:highlight w:val="none"/>
          <w:lang w:val="en-US" w:eastAsia="zh-CN"/>
        </w:rPr>
        <w:t>三</w:t>
      </w:r>
      <w:r>
        <w:rPr>
          <w:rFonts w:hint="eastAsia" w:ascii="宋体" w:hAnsi="宋体"/>
          <w:b/>
          <w:bCs/>
          <w:color w:val="auto"/>
          <w:sz w:val="28"/>
          <w:szCs w:val="28"/>
          <w:highlight w:val="none"/>
        </w:rPr>
        <w:t>、</w:t>
      </w:r>
      <w:r>
        <w:rPr>
          <w:rFonts w:hint="eastAsia" w:ascii="宋体" w:hAnsi="宋体"/>
          <w:b/>
          <w:bCs/>
          <w:color w:val="auto"/>
          <w:sz w:val="28"/>
          <w:szCs w:val="28"/>
          <w:highlight w:val="none"/>
          <w:lang w:val="en-US" w:eastAsia="zh-CN"/>
        </w:rPr>
        <w:t>项目完成时间</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 xml:space="preserve">7日内 </w:t>
      </w:r>
      <w:r>
        <w:rPr>
          <w:rFonts w:hint="eastAsia" w:ascii="宋体" w:hAnsi="宋体" w:cs="宋体"/>
          <w:b w:val="0"/>
          <w:bCs w:val="0"/>
          <w:color w:val="auto"/>
          <w:sz w:val="21"/>
          <w:szCs w:val="21"/>
          <w:highlight w:val="none"/>
          <w:u w:val="none"/>
          <w:lang w:val="en-US" w:eastAsia="zh-CN"/>
        </w:rPr>
        <w:t>完成</w:t>
      </w:r>
      <w:r>
        <w:rPr>
          <w:rFonts w:hint="eastAsia" w:ascii="宋体" w:hAnsi="宋体" w:eastAsia="宋体" w:cs="宋体"/>
          <w:color w:val="auto"/>
          <w:sz w:val="21"/>
          <w:szCs w:val="21"/>
          <w:highlight w:val="none"/>
          <w:lang w:val="en-US" w:eastAsia="zh-CN"/>
        </w:rPr>
        <w:t>勤廉大家谈</w:t>
      </w:r>
      <w:r>
        <w:rPr>
          <w:rFonts w:hint="eastAsia" w:ascii="宋体" w:hAnsi="宋体" w:cs="宋体"/>
          <w:color w:val="auto"/>
          <w:sz w:val="21"/>
          <w:szCs w:val="21"/>
          <w:highlight w:val="none"/>
          <w:lang w:val="en-US" w:eastAsia="zh-CN"/>
        </w:rPr>
        <w:t>视频，</w:t>
      </w:r>
      <w:r>
        <w:rPr>
          <w:rFonts w:hint="eastAsia" w:ascii="宋体" w:hAnsi="宋体" w:cs="宋体"/>
          <w:b/>
          <w:bCs/>
          <w:color w:val="auto"/>
          <w:sz w:val="21"/>
          <w:szCs w:val="21"/>
          <w:highlight w:val="none"/>
          <w:u w:val="single"/>
          <w:lang w:val="en-US" w:eastAsia="zh-CN"/>
        </w:rPr>
        <w:t>30日内</w:t>
      </w:r>
      <w:r>
        <w:rPr>
          <w:rFonts w:hint="eastAsia" w:ascii="宋体" w:hAnsi="宋体" w:cs="宋体"/>
          <w:b w:val="0"/>
          <w:bCs w:val="0"/>
          <w:color w:val="auto"/>
          <w:sz w:val="21"/>
          <w:szCs w:val="21"/>
          <w:highlight w:val="none"/>
          <w:u w:val="none"/>
          <w:lang w:val="en-US" w:eastAsia="zh-CN"/>
        </w:rPr>
        <w:t>完成</w:t>
      </w:r>
      <w:r>
        <w:rPr>
          <w:rFonts w:hint="eastAsia" w:ascii="宋体" w:hAnsi="宋体" w:eastAsia="宋体" w:cs="宋体"/>
          <w:color w:val="auto"/>
          <w:sz w:val="21"/>
          <w:szCs w:val="21"/>
          <w:highlight w:val="none"/>
          <w:lang w:val="en-US" w:eastAsia="zh-CN"/>
        </w:rPr>
        <w:t>清廉</w:t>
      </w:r>
      <w:r>
        <w:rPr>
          <w:rFonts w:hint="eastAsia" w:ascii="宋体" w:hAnsi="宋体" w:cs="宋体"/>
          <w:color w:val="auto"/>
          <w:sz w:val="21"/>
          <w:szCs w:val="21"/>
          <w:highlight w:val="none"/>
          <w:lang w:val="en-US" w:eastAsia="zh-CN"/>
        </w:rPr>
        <w:t>专题微</w:t>
      </w:r>
      <w:r>
        <w:rPr>
          <w:rFonts w:hint="eastAsia" w:ascii="宋体" w:hAnsi="宋体" w:eastAsia="宋体" w:cs="宋体"/>
          <w:color w:val="auto"/>
          <w:sz w:val="21"/>
          <w:szCs w:val="21"/>
          <w:highlight w:val="none"/>
          <w:lang w:val="en-US" w:eastAsia="zh-CN"/>
        </w:rPr>
        <w:t>视频1期</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合同签订后</w:t>
      </w:r>
      <w:r>
        <w:rPr>
          <w:rFonts w:hint="eastAsia" w:ascii="宋体" w:hAnsi="宋体" w:cs="宋体"/>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150日内</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完成</w:t>
      </w:r>
      <w:r>
        <w:rPr>
          <w:rFonts w:hint="eastAsia" w:ascii="宋体" w:hAnsi="宋体" w:eastAsia="宋体" w:cs="宋体"/>
          <w:color w:val="auto"/>
          <w:sz w:val="21"/>
          <w:szCs w:val="21"/>
          <w:highlight w:val="none"/>
          <w:lang w:val="en-US" w:eastAsia="zh-CN"/>
        </w:rPr>
        <w:t>清廉</w:t>
      </w:r>
      <w:r>
        <w:rPr>
          <w:rFonts w:hint="eastAsia" w:ascii="宋体" w:hAnsi="宋体" w:cs="宋体"/>
          <w:color w:val="auto"/>
          <w:sz w:val="21"/>
          <w:szCs w:val="21"/>
          <w:highlight w:val="none"/>
          <w:lang w:val="en-US" w:eastAsia="zh-CN"/>
        </w:rPr>
        <w:t>专题微</w:t>
      </w:r>
      <w:r>
        <w:rPr>
          <w:rFonts w:hint="eastAsia" w:ascii="宋体" w:hAnsi="宋体" w:eastAsia="宋体" w:cs="宋体"/>
          <w:color w:val="auto"/>
          <w:sz w:val="21"/>
          <w:szCs w:val="21"/>
          <w:highlight w:val="none"/>
          <w:lang w:val="en-US" w:eastAsia="zh-CN"/>
        </w:rPr>
        <w:t>视频2</w:t>
      </w:r>
      <w:r>
        <w:rPr>
          <w:rFonts w:hint="eastAsia" w:ascii="宋体" w:hAnsi="宋体" w:cs="宋体"/>
          <w:color w:val="auto"/>
          <w:sz w:val="21"/>
          <w:szCs w:val="21"/>
          <w:highlight w:val="none"/>
          <w:lang w:val="en-US" w:eastAsia="zh-CN"/>
        </w:rPr>
        <w:t>期</w:t>
      </w:r>
      <w:r>
        <w:rPr>
          <w:rFonts w:hint="eastAsia" w:ascii="宋体" w:hAnsi="宋体" w:eastAsia="宋体" w:cs="宋体"/>
          <w:color w:val="auto"/>
          <w:sz w:val="21"/>
          <w:szCs w:val="21"/>
          <w:highlight w:val="none"/>
          <w:lang w:val="en-US" w:eastAsia="zh-CN"/>
        </w:rPr>
        <w:t>、3期</w:t>
      </w:r>
      <w:r>
        <w:rPr>
          <w:rFonts w:hint="eastAsia" w:ascii="宋体" w:hAnsi="宋体" w:cs="宋体"/>
          <w:color w:val="auto"/>
          <w:sz w:val="21"/>
          <w:szCs w:val="21"/>
          <w:highlight w:val="none"/>
          <w:lang w:val="en-US" w:eastAsia="zh-CN"/>
        </w:rPr>
        <w:t>。（注：项目完成是指</w:t>
      </w:r>
      <w:r>
        <w:rPr>
          <w:rFonts w:hint="eastAsia" w:ascii="宋体" w:hAnsi="宋体" w:eastAsia="宋体" w:cs="宋体"/>
          <w:color w:val="auto"/>
          <w:sz w:val="21"/>
          <w:szCs w:val="21"/>
          <w:highlight w:val="none"/>
          <w:lang w:val="en-US" w:eastAsia="zh-CN"/>
        </w:rPr>
        <w:t>项目的所有工作内容</w:t>
      </w:r>
      <w:r>
        <w:rPr>
          <w:rFonts w:hint="eastAsia" w:ascii="宋体" w:hAnsi="宋体" w:cs="宋体"/>
          <w:color w:val="auto"/>
          <w:sz w:val="21"/>
          <w:szCs w:val="21"/>
          <w:highlight w:val="none"/>
          <w:lang w:val="en-US" w:eastAsia="zh-CN"/>
        </w:rPr>
        <w:t>通过</w:t>
      </w:r>
      <w:r>
        <w:rPr>
          <w:rFonts w:hint="eastAsia" w:ascii="宋体" w:hAnsi="宋体" w:eastAsia="宋体" w:cs="宋体"/>
          <w:color w:val="auto"/>
          <w:sz w:val="21"/>
          <w:szCs w:val="21"/>
          <w:highlight w:val="none"/>
          <w:lang w:val="en-US" w:eastAsia="zh-CN"/>
        </w:rPr>
        <w:t>最终验收合格</w:t>
      </w:r>
      <w:r>
        <w:rPr>
          <w:rFonts w:hint="eastAsia" w:ascii="宋体" w:hAnsi="宋体" w:cs="宋体"/>
          <w:color w:val="auto"/>
          <w:sz w:val="21"/>
          <w:szCs w:val="21"/>
          <w:highlight w:val="none"/>
          <w:lang w:val="en-US" w:eastAsia="zh-CN"/>
        </w:rPr>
        <w:t>交付采购人使用）</w:t>
      </w:r>
    </w:p>
    <w:p>
      <w:pPr>
        <w:spacing w:line="360" w:lineRule="auto"/>
        <w:rPr>
          <w:rFonts w:hint="default" w:eastAsia="宋体"/>
          <w:b/>
          <w:bCs/>
          <w:color w:val="auto"/>
          <w:sz w:val="28"/>
          <w:szCs w:val="28"/>
          <w:highlight w:val="none"/>
          <w:lang w:val="en-US" w:eastAsia="zh-CN"/>
        </w:rPr>
      </w:pPr>
      <w:r>
        <w:rPr>
          <w:rFonts w:hint="eastAsia"/>
          <w:b/>
          <w:bCs/>
          <w:color w:val="auto"/>
          <w:sz w:val="28"/>
          <w:szCs w:val="28"/>
          <w:highlight w:val="none"/>
          <w:lang w:val="en-US" w:eastAsia="zh-CN"/>
        </w:rPr>
        <w:t>四</w:t>
      </w:r>
      <w:r>
        <w:rPr>
          <w:rFonts w:hint="eastAsia"/>
          <w:b/>
          <w:bCs/>
          <w:color w:val="auto"/>
          <w:sz w:val="28"/>
          <w:szCs w:val="28"/>
          <w:highlight w:val="none"/>
        </w:rPr>
        <w:t>、</w:t>
      </w:r>
      <w:r>
        <w:rPr>
          <w:rFonts w:hint="eastAsia"/>
          <w:b/>
          <w:bCs/>
          <w:color w:val="auto"/>
          <w:sz w:val="28"/>
          <w:szCs w:val="28"/>
          <w:highlight w:val="none"/>
          <w:lang w:val="en-US" w:eastAsia="zh-CN"/>
        </w:rPr>
        <w:t>采购内容与要求</w:t>
      </w:r>
    </w:p>
    <w:p>
      <w:pPr>
        <w:pStyle w:val="5"/>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（一）拍摄内容</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1、片种：勤廉大家谈视频、清廉专题微视频</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2、时长：勤廉大家谈视频6-8分钟一期；清廉专题微视频共三期，每期1分30秒—2分钟</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3、手法：实拍+特效</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4、地点：浙江中医药大学·附属温州市中医院及其他各院区</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5、制作：后期根据要求及时制作、修改</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6、涵盖内容：</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（1）清廉主题人物卡通形象设计</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（2）医院清廉建设介绍</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（3）团体和个人清廉访谈内容拍摄</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（4）九项准则载体呈现</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（5）近年来有关国家违法违纪案件或有关精神传达场景呈现</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（6）领导管理</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（7）工作场景</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（8）医院有关清廉荣誉</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（9）人文情怀</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 xml:space="preserve">（10）医院理念  </w:t>
      </w:r>
    </w:p>
    <w:p>
      <w:pPr>
        <w:pStyle w:val="5"/>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（二）创作要求：</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风格：整体构思新颖独特，体现发展历史厚重感,符合浙江中医药大学·附属温州市中医院清廉建设理念，有力展示浙江中医药大学·附属温州市中医院清廉建设历程；画面主题突出、富有表现力、冲击性强、自然大气、构图优美；文字旁白涵盖全面、精辟扎实，音乐伴奏精准、有感染力。</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 xml:space="preserve">2、摄制：采用电影级标准、广告拍摄技术、艺术手段进行拍摄，根据实际表现需要运用摇臂、轨道、广角镜、航拍器等现代拍摄器材和手段，适当使用模特和化妆等。根据宣传片表现需要，进行3D技术创作和应用，采取虚实结合，将影像实拍与动画等技术融合，构造出一部极具高品质、高水准、深层次，高端形象宣传片。 </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3、创作要求以突出浙江中医药大学·附属温州市中医院清廉建设正面形象作为宣传片主旨，展现医院全貌及各院区环境，突出医院清廉建设的理念、行动、形象、创新精神和深厚人文情怀等。</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 xml:space="preserve">4、打破传统形象宣传片拍摄框架与拍摄效果，将医院清廉建设和科室、支部、个人清廉建设、清廉荣誉、清廉建设成效和就医体验与潮流元素和技巧相融合，构建新颖的视觉效果。 </w:t>
      </w:r>
    </w:p>
    <w:p>
      <w:pPr>
        <w:pStyle w:val="5"/>
        <w:rPr>
          <w:rFonts w:hint="eastAsia" w:asciiTheme="majorEastAsia" w:hAnsiTheme="majorEastAsia" w:eastAsiaTheme="majorEastAsia" w:cstheme="majorEastAsia"/>
          <w:b w:val="0"/>
          <w:bCs w:val="0"/>
          <w:color w:val="auto"/>
          <w:sz w:val="21"/>
          <w:szCs w:val="21"/>
          <w:highlight w:val="none"/>
          <w:lang w:val="en-US" w:eastAsia="zh-CN"/>
        </w:rPr>
      </w:pPr>
    </w:p>
    <w:p>
      <w:pPr>
        <w:pStyle w:val="5"/>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（三）拍摄要求</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1、由摄影公司进行专业撰稿、创意、拍摄、摄影、配音、配乐、串词、后期剪辑制作、刻碟等项目，方案需现实可行。</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摄制前须根据浙江中医药大学·附属温州市中医院简介，结合浙江中医药大学·附属温州市中医院清廉建医院设定详细的总体拍摄方案和分镜头文字脚本，方案需现实可行，5个日历天内完成脚本设计交采购人审核并定稿。</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3、脚本确定之后，采购人协调好拍摄场地和需要采访的领导、员工，由中标公司派摄制组携带拍摄器材来院拍摄。</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4、后期编辑需按照采购人要求进行调整，并积极配合修改、补充拍摄镜头，确保制作效果。</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5、宣传片制作完成后，经采购人审核通过完成。宣传片版权归浙江中医药大学·附属温州市中医院所有，且应保证采购人一旦使用其设计拍摄方案不会受到第三方的侵权诉讼或索赔，否则投标方应承担由此产生的一切责任。</w:t>
      </w:r>
    </w:p>
    <w:p>
      <w:pPr>
        <w:pStyle w:val="5"/>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（四）参考内容：</w:t>
      </w:r>
    </w:p>
    <w:p>
      <w:pPr>
        <w:pStyle w:val="5"/>
        <w:jc w:val="cente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浙江中医药大学·附属温州市中医院清廉医院建设简介</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温州市中医院创建于1923年，医院前身是由工商界开明人士蔡冠夫、陈子明、陶履臣等人筹款创办的“专以施医施药救济贫病者为宗旨”的医疗慈善机构——永嘉募办普安施医施药局。 </w:t>
      </w:r>
    </w:p>
    <w:p>
      <w:pPr>
        <w:pStyle w:val="5"/>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 xml:space="preserve">   经过近百年的发展，医院现系国家三级甲等中医医院，全国“文明单位”、省级“平安医院”、“绿色医院”，承担浙南地区中医医疗、教学、科研、培训、养生、保健等任务，具有较高的学术水平和良好的社会声誉。医院现有职工1600余人，总占地面积112.7亩，建筑面积13.4万平方米，拥有六虹桥、景山、水心等院区，总开放床位超过1400张。2015年11月，组建成立温州市中医医疗集团，其中下属紧密型专科医院：文成县中医院、洞头区中医院；2018年3月，全面托管泰顺县中医院。医院各大院区的功能定位为：六虹桥院区以综合医疗服务为主；水心院区定位为中西医结合妇产科医院；景山院区定位为康复中心。   </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随着办院规模的不断扩大，医院始终将院训“大医精诚、百年普安”作为办院理念，在医院建设中一直以清廉为主旋律，以廉洁的院风为病人的健康保驾护航。</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近年来，在市卫健委的引领指导下，紧围绕“清廉医院”建设，在加强警示教育、履行监督职能、防控廉政风险、规范诊疗行为、打造普安清廉品牌等方面认真完成了一系列任务。</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1、强化党建引领，抓好“廉”导向。</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持续强化廉洁文化建设，推进党建引领，全面实施党委会“15分钟政治学习第一议题”制度，定期开展学习。坚持落实党委理论学习中心组学习制度并开展集中夜学活动，通过集中学习教育，严纲肃纪，端正院风，不断增强领导、中层干部的理想信念、作风养成、法纪观念，筑牢领导干部思想根基。坚决执行党政领导班子议事决策制度，落实办公会任务督查工作，监督“三重一大”决策事项，建好建强领导班子。党委全面领导清廉医院建设，针对医院重点科室进行廉政风险梳理，开具清廉风险清单，开展清廉医院建设形势研判，扛稳扛牢政治责任，全面推动全面从严治党不断向纵深发展。</w:t>
      </w:r>
    </w:p>
    <w:p>
      <w:pPr>
        <w:pStyle w:val="5"/>
        <w:numPr>
          <w:ilvl w:val="0"/>
          <w:numId w:val="1"/>
        </w:numPr>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强化四责协同，建强“廉”抓手</w:t>
      </w:r>
    </w:p>
    <w:p>
      <w:pPr>
        <w:pStyle w:val="5"/>
        <w:numPr>
          <w:ilvl w:val="0"/>
          <w:numId w:val="0"/>
        </w:numPr>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1）抓好廉政教育。以全面建设清廉医院为目标，强化形势教育、纪法意识、警示震慑、示范引领等为具体抓手，把党组织主体责任、纪检监督责任、党组织书记第一责任和班子成员“一岗双责”的横向协同协作与纵向压力传导结合起来，细化目标任务清单，通过责任具体化项目化，推动业务工作与清廉医院建设有机融合。召开廉情分析会，就重点科室廉政风险进行分析。完成党组织主要负责人与院班子成员廉政谈心谈话等。</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2）细化责任分工。组织党委书记和科主任，科主任和科室人员层层签订年度廉洁从业承诺书。制定清廉医院建设年度重点任务清单及党政领导班子成员清廉医院建设责任清单，并结合责任清单形成反馈机制。对照不正之风专项整治方案要求，督促有关科室落实相应任务。针对违规私自收费、违规线上执业、耗材点评问题等出具纪检监察建议书，并持续进行反馈跟踪。积极对接外部事务所开展年度医院行政财务年报审计及领导干部经济责任情况审查，配合市审计局开展“三医联动”审计项目。</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（3）完善制度建设，聚焦“廉”运行</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①进一步完善阳光来访接待制度。落实“三定一有”，要求相关科室及工作人员在有监控会议室进行药品和器械商洽谈，严禁医护人员私下违规接触药商和供应商。进行药械公司、药械代表线上登记，严格做好来访事由筛查，对递名片式拜访、咨询药事会信息等来访申请均予以拒绝。将阳光来访与药事会工作形成联动，在药事会召开之前把关线上登记备案情况。</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②做好“万人双评议”相关工作。出台医院《年度万人双评议工作实施方案》，组建6支院内督查组，包点督查各参评科室行风服务及工作态度情况，发现问题，均要求整改，扣除医疗积分，</w:t>
      </w:r>
      <w:r>
        <w:rPr>
          <w:rFonts w:hint="default" w:asciiTheme="majorEastAsia" w:hAnsiTheme="majorEastAsia" w:eastAsiaTheme="majorEastAsia" w:cstheme="majorEastAsia"/>
          <w:b w:val="0"/>
          <w:bCs w:val="0"/>
          <w:color w:val="auto"/>
          <w:sz w:val="21"/>
          <w:szCs w:val="21"/>
          <w:highlight w:val="none"/>
          <w:lang w:eastAsia="zh-CN"/>
        </w:rPr>
        <w:t>并</w:t>
      </w:r>
      <w:r>
        <w:rPr>
          <w:rFonts w:hint="eastAsia" w:asciiTheme="majorEastAsia" w:hAnsiTheme="majorEastAsia" w:eastAsiaTheme="majorEastAsia" w:cstheme="majorEastAsia"/>
          <w:b w:val="0"/>
          <w:bCs w:val="0"/>
          <w:color w:val="auto"/>
          <w:sz w:val="21"/>
          <w:szCs w:val="21"/>
          <w:highlight w:val="none"/>
          <w:lang w:val="en-US" w:eastAsia="zh-CN"/>
        </w:rPr>
        <w:t>进行劳动纪律处罚。</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③强化医德行风考评制度管理。强化拒收红包、锦旗、表扬信等把关审核，定期在院报</w:t>
      </w:r>
      <w:r>
        <w:rPr>
          <w:rFonts w:hint="default" w:asciiTheme="majorEastAsia" w:hAnsiTheme="majorEastAsia" w:eastAsiaTheme="majorEastAsia" w:cstheme="majorEastAsia"/>
          <w:b w:val="0"/>
          <w:bCs w:val="0"/>
          <w:color w:val="auto"/>
          <w:sz w:val="21"/>
          <w:szCs w:val="21"/>
          <w:highlight w:val="none"/>
          <w:lang w:eastAsia="zh-CN"/>
        </w:rPr>
        <w:t>进</w:t>
      </w:r>
      <w:r>
        <w:rPr>
          <w:rFonts w:hint="eastAsia" w:asciiTheme="majorEastAsia" w:hAnsiTheme="majorEastAsia" w:eastAsiaTheme="majorEastAsia" w:cstheme="majorEastAsia"/>
          <w:b w:val="0"/>
          <w:bCs w:val="0"/>
          <w:color w:val="auto"/>
          <w:sz w:val="21"/>
          <w:szCs w:val="21"/>
          <w:highlight w:val="none"/>
          <w:lang w:val="en-US" w:eastAsia="zh-CN"/>
        </w:rPr>
        <w:t>行表扬，并在医德行风考评和医疗积分中予以加分鼓励，以积分推动廉洁长效机制运行。</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（4）打造文化阵地，营造“廉”氛围</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①强化“普安清风”廉政品牌建设。通过微信公众号设置普安清风专栏，宣传清廉人物、家风建设、网格管理等系列廉洁举措。每年6月开展“清廉文化教育月”系列活动，通过绘制清廉主题风筝，交流清廉书籍心得体会，组织九项准则现场测试等活动，强化医院廉政文化教育建设。持续更新普安清风长廊，宣传医院清廉模范，同时结合中医特色用中医术语述廉、喻廉。每月院周会组织观看医疗服务领域的廉政警示教育片；针对院领导班子、中层干部、纪检监察人员、党员、网格员及全院职工分级分类开展警示教育。</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②强化正面教育及警示教育。用好专家讲座</w:t>
      </w:r>
      <w:r>
        <w:rPr>
          <w:rFonts w:hint="default" w:asciiTheme="majorEastAsia" w:hAnsiTheme="majorEastAsia" w:eastAsiaTheme="majorEastAsia" w:cstheme="majorEastAsia"/>
          <w:b w:val="0"/>
          <w:bCs w:val="0"/>
          <w:color w:val="auto"/>
          <w:sz w:val="21"/>
          <w:szCs w:val="21"/>
          <w:highlight w:val="none"/>
          <w:lang w:eastAsia="zh-CN"/>
        </w:rPr>
        <w:t>，</w:t>
      </w:r>
      <w:r>
        <w:rPr>
          <w:rFonts w:hint="eastAsia" w:asciiTheme="majorEastAsia" w:hAnsiTheme="majorEastAsia" w:eastAsiaTheme="majorEastAsia" w:cstheme="majorEastAsia"/>
          <w:b w:val="0"/>
          <w:bCs w:val="0"/>
          <w:color w:val="auto"/>
          <w:sz w:val="21"/>
          <w:szCs w:val="21"/>
          <w:highlight w:val="none"/>
          <w:lang w:val="en-US" w:eastAsia="zh-CN"/>
        </w:rPr>
        <w:t>特邀温州市纪委监委第一监督检查室副主任林时献作题为《温州医疗卫生行业腐败案件的分析与思考》的廉政教育专题讲座。充分发挥典型案例的警示教育作用，医院党委班子及中层干部、重点岗位人员至瓯海区人民法院参加现场庭审旁听廉政警示教育活动，“以人为镜，可以明得失”，现身说法式警示教育给在场广大党员干部以灵魂的“洗礼”。</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（5）紧联监察网格，督访“廉”行风</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①持续落实纪委书记“督行风”工作。纪委书记带队深入临床走访调研，结合前期各科室药品和耗材使用摸排及各网格反馈情况，开展现场“督行风”及廉政教育集体谈话会。通过“督行风”工作收集发现问题意见，协调落实解决科室难题。</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②紧抓三级网格化监督管理，充分发挥各级网格员的作用，收集线上问卷及廉情月报；针对网格提出的建议与问题线索，及时反映处理，帮助解决问题。每季度由支部纪检委员结合月报质量及工作配合度，推选优秀监察网格员。</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（6）强化重点领域，着眼“廉”调查</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①针对重点领域规范建设，有目标、有计划的推进管理。梳理出上一年度排名前10的药品和耗材目录，制定重点监控清单。定期进行重点药品、耗材的用量动态监控，进行同类、同品、同质药品、耗材的使用对比，结合DRGs病种费用模型，分析科室使用的变化趋势，形成重点监控药品、耗材、试剂等的闭环管理，做好及时预警告知。结合国家、省集采政策，把握相应药品和耗材的使用导向变化，有针对性的设置药品和耗材的预警机制，提供下一步监督重点。初步实现对重点科室（骨伤科）医务人员的临床诊疗行为进行动态监管分析，规范其临床诊疗行为，对发现的违规收费行为进行了及时的预警制止及相应的处罚。</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②落实纪检监察建议制度，发放纪检监察建议书。督促医务科、采购中心落实好每季度的耗材点评工作。督促采购部门完成敷料供应商的遴选和型号的精简，充分考虑临床治疗需求的同时，实实在在降低患者的就诊费用。</w:t>
      </w:r>
    </w:p>
    <w:p>
      <w:pPr>
        <w:pStyle w:val="5"/>
        <w:ind w:firstLine="420" w:firstLineChars="200"/>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（7）防控廉政风险，发挥“廉”执纪</w:t>
      </w:r>
    </w:p>
    <w:p>
      <w:pPr>
        <w:pStyle w:val="5"/>
        <w:rPr>
          <w:rFonts w:hint="eastAsia" w:asciiTheme="majorEastAsia" w:hAnsiTheme="majorEastAsia" w:eastAsiaTheme="majorEastAsia" w:cstheme="majorEastAsia"/>
          <w:b w:val="0"/>
          <w:bCs w:val="0"/>
          <w:color w:val="auto"/>
          <w:sz w:val="21"/>
          <w:szCs w:val="21"/>
          <w:highlight w:val="none"/>
          <w:lang w:val="en-US" w:eastAsia="zh-CN"/>
        </w:rPr>
      </w:pPr>
      <w:r>
        <w:rPr>
          <w:rFonts w:hint="eastAsia" w:asciiTheme="majorEastAsia" w:hAnsiTheme="majorEastAsia" w:eastAsiaTheme="majorEastAsia" w:cstheme="majorEastAsia"/>
          <w:b w:val="0"/>
          <w:bCs w:val="0"/>
          <w:color w:val="auto"/>
          <w:sz w:val="21"/>
          <w:szCs w:val="21"/>
          <w:highlight w:val="none"/>
          <w:lang w:val="en-US" w:eastAsia="zh-CN"/>
        </w:rPr>
        <w:t>设立客服沟通中心，第一时间处理各类投诉。每季度开展投诉分析会，召集给相关科室参会，对发现的问题实时整改，并同步进行投诉责任认定。不定期开展院内正风肃纪、作风效能突击检查、医药代表巡查，发现情况，及时作出问责处理，在医院周会上进行重点传达，发挥监督执纪的威慑力。</w:t>
      </w:r>
    </w:p>
    <w:p>
      <w:pPr>
        <w:pStyle w:val="5"/>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（注：投标人须在遴选现场演示此前为其他单位拍摄的原创宣传片作品，演示限时10分钟，演示所需设备由投标供应商自行准备）</w:t>
      </w:r>
    </w:p>
    <w:p>
      <w:pPr>
        <w:numPr>
          <w:ilvl w:val="0"/>
          <w:numId w:val="0"/>
        </w:numPr>
        <w:rPr>
          <w:rFonts w:hint="eastAsia"/>
          <w:b/>
          <w:bCs/>
          <w:color w:val="auto"/>
          <w:sz w:val="28"/>
          <w:szCs w:val="28"/>
          <w:highlight w:val="none"/>
          <w:lang w:val="en-US" w:eastAsia="zh-CN"/>
        </w:rPr>
      </w:pPr>
    </w:p>
    <w:p>
      <w:pPr>
        <w:numPr>
          <w:ilvl w:val="0"/>
          <w:numId w:val="0"/>
        </w:numPr>
        <w:rPr>
          <w:rFonts w:hint="eastAsia"/>
          <w:b/>
          <w:bCs/>
          <w:color w:val="auto"/>
          <w:sz w:val="28"/>
          <w:szCs w:val="28"/>
          <w:highlight w:val="none"/>
          <w:lang w:val="en-US" w:eastAsia="zh-CN"/>
        </w:rPr>
      </w:pPr>
    </w:p>
    <w:p>
      <w:pPr>
        <w:numPr>
          <w:ilvl w:val="0"/>
          <w:numId w:val="0"/>
        </w:numPr>
        <w:rPr>
          <w:rFonts w:hint="eastAsia"/>
          <w:b/>
          <w:bCs/>
          <w:color w:val="auto"/>
          <w:sz w:val="28"/>
          <w:szCs w:val="28"/>
          <w:highlight w:val="none"/>
          <w:lang w:val="en-US" w:eastAsia="zh-CN"/>
        </w:rPr>
      </w:pPr>
    </w:p>
    <w:p>
      <w:pPr>
        <w:numPr>
          <w:ilvl w:val="0"/>
          <w:numId w:val="0"/>
        </w:numPr>
        <w:rPr>
          <w:rFonts w:hint="eastAsia"/>
          <w:b/>
          <w:bCs/>
          <w:color w:val="auto"/>
          <w:sz w:val="28"/>
          <w:szCs w:val="28"/>
          <w:highlight w:val="none"/>
          <w:lang w:val="en-US" w:eastAsia="zh-CN"/>
        </w:rPr>
      </w:pPr>
    </w:p>
    <w:p>
      <w:pPr>
        <w:numPr>
          <w:ilvl w:val="0"/>
          <w:numId w:val="0"/>
        </w:numPr>
        <w:rPr>
          <w:rFonts w:hint="eastAsia"/>
          <w:b/>
          <w:bCs/>
          <w:color w:val="auto"/>
          <w:sz w:val="28"/>
          <w:szCs w:val="28"/>
          <w:highlight w:val="none"/>
          <w:lang w:val="en-US" w:eastAsia="zh-CN"/>
        </w:rPr>
      </w:pPr>
    </w:p>
    <w:p>
      <w:pPr>
        <w:numPr>
          <w:ilvl w:val="0"/>
          <w:numId w:val="0"/>
        </w:numPr>
        <w:rPr>
          <w:rFonts w:hint="eastAsia"/>
          <w:b/>
          <w:bCs/>
          <w:color w:val="auto"/>
          <w:sz w:val="28"/>
          <w:szCs w:val="28"/>
          <w:highlight w:val="none"/>
          <w:lang w:val="en-US" w:eastAsia="zh-CN"/>
        </w:rPr>
      </w:pPr>
    </w:p>
    <w:p>
      <w:pPr>
        <w:numPr>
          <w:ilvl w:val="0"/>
          <w:numId w:val="0"/>
        </w:numPr>
        <w:rPr>
          <w:rFonts w:hint="eastAsia"/>
          <w:b/>
          <w:bCs/>
          <w:color w:val="auto"/>
          <w:sz w:val="28"/>
          <w:szCs w:val="28"/>
          <w:highlight w:val="none"/>
          <w:lang w:val="en-US" w:eastAsia="zh-CN"/>
        </w:rPr>
      </w:pPr>
    </w:p>
    <w:p>
      <w:pPr>
        <w:pStyle w:val="2"/>
        <w:rPr>
          <w:rFonts w:hint="eastAsia"/>
          <w:color w:val="auto"/>
          <w:highlight w:val="none"/>
          <w:lang w:val="en-US" w:eastAsia="zh-CN"/>
        </w:rPr>
      </w:pPr>
    </w:p>
    <w:p>
      <w:pPr>
        <w:numPr>
          <w:ilvl w:val="0"/>
          <w:numId w:val="0"/>
        </w:numPr>
        <w:rPr>
          <w:rFonts w:hint="default" w:eastAsia="宋体"/>
          <w:b/>
          <w:bCs/>
          <w:color w:val="auto"/>
          <w:sz w:val="28"/>
          <w:szCs w:val="28"/>
          <w:highlight w:val="none"/>
          <w:lang w:val="en-US" w:eastAsia="zh-CN"/>
        </w:rPr>
      </w:pPr>
      <w:r>
        <w:rPr>
          <w:rFonts w:hint="eastAsia"/>
          <w:b/>
          <w:bCs/>
          <w:color w:val="auto"/>
          <w:sz w:val="28"/>
          <w:szCs w:val="28"/>
          <w:highlight w:val="none"/>
          <w:lang w:val="en-US" w:eastAsia="zh-CN"/>
        </w:rPr>
        <w:t>五</w:t>
      </w:r>
      <w:r>
        <w:rPr>
          <w:rFonts w:hint="eastAsia"/>
          <w:b/>
          <w:bCs/>
          <w:color w:val="auto"/>
          <w:sz w:val="28"/>
          <w:szCs w:val="28"/>
          <w:highlight w:val="none"/>
        </w:rPr>
        <w:t>、</w:t>
      </w:r>
      <w:r>
        <w:rPr>
          <w:rFonts w:hint="eastAsia"/>
          <w:b/>
          <w:bCs/>
          <w:color w:val="auto"/>
          <w:sz w:val="28"/>
          <w:szCs w:val="28"/>
          <w:highlight w:val="none"/>
          <w:lang w:val="en-US" w:eastAsia="zh-CN"/>
        </w:rPr>
        <w:t>定标方法</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1、确定中标候选人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1.1由评标委员会确定中标候选人。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评标委员会依据法律、法规及招标文件有关规定按评审后得分由高到低顺序排序，得分前二名的投标人确定为该项目的第一和第二中标候选人（得分相同报价低的排序第一；得分且报价相同的，技术指标优的排序第一）向采购人推荐。</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2、确定中标人</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2.1采购人按照评标报告中推荐的中标候选供应商顺序确定中标人；也可以事先授权评标委员会按照推荐的中标候选供应商顺序直接确定中标人。中标候选人并列的，采取随机抽取的方式确定。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如中标人放弃中标、或未能在规定时间内与采购单位签订合同的；或者经质疑，采购人审查后，确因排名第一的候选人在本次采购活动中存在违法违规行为或其他原因使质疑成立的，采购人可以视情况直接确定排名第二的候选人为中标人或重新组织招标。</w:t>
      </w:r>
    </w:p>
    <w:p>
      <w:pPr>
        <w:numPr>
          <w:ilvl w:val="0"/>
          <w:numId w:val="1"/>
        </w:num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中标人确定后，采购人将在温州市中医院官网公告中标结果，采购人向中标人发出中标通知书。</w:t>
      </w:r>
    </w:p>
    <w:p>
      <w:pPr>
        <w:numPr>
          <w:ilvl w:val="0"/>
          <w:numId w:val="0"/>
        </w:numPr>
        <w:rPr>
          <w:rFonts w:hint="eastAsia"/>
          <w:b/>
          <w:bCs/>
          <w:color w:val="auto"/>
          <w:sz w:val="28"/>
          <w:szCs w:val="28"/>
          <w:highlight w:val="none"/>
          <w:lang w:val="en-US" w:eastAsia="zh-CN"/>
        </w:rPr>
      </w:pPr>
    </w:p>
    <w:p>
      <w:pPr>
        <w:numPr>
          <w:ilvl w:val="0"/>
          <w:numId w:val="0"/>
        </w:numPr>
        <w:rPr>
          <w:rFonts w:hint="eastAsia"/>
          <w:b/>
          <w:bCs/>
          <w:color w:val="auto"/>
          <w:sz w:val="28"/>
          <w:szCs w:val="28"/>
          <w:highlight w:val="none"/>
        </w:rPr>
      </w:pPr>
      <w:r>
        <w:rPr>
          <w:rFonts w:hint="eastAsia"/>
          <w:b/>
          <w:bCs/>
          <w:color w:val="auto"/>
          <w:sz w:val="28"/>
          <w:szCs w:val="28"/>
          <w:highlight w:val="none"/>
          <w:lang w:val="en-US" w:eastAsia="zh-CN"/>
        </w:rPr>
        <w:t>六</w:t>
      </w:r>
      <w:r>
        <w:rPr>
          <w:rFonts w:hint="eastAsia"/>
          <w:b/>
          <w:bCs/>
          <w:color w:val="auto"/>
          <w:sz w:val="28"/>
          <w:szCs w:val="28"/>
          <w:highlight w:val="none"/>
        </w:rPr>
        <w:t>、评分细则</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1、技术分的评定（70分)（权值70%）</w:t>
      </w:r>
    </w:p>
    <w:p>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各评委成员按下列评分项目进行评判，每人一张评分计算票，并记名。</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文件各项评分内容由评标委员会成员各自评分，如某张票的一个因素项目超过规定的范围，则该张票无效。各评标委员会成员对各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人的各项评分内容评分的算术平均值为各</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人技术分得分（小数点后按四舍五入保留2位）。</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2、商务标（报价）30分（权值30%）</w:t>
      </w:r>
    </w:p>
    <w:p>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文件要求且报价最低的报价为评审基准价，其余</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人报价与该基准价对比，计算出商务报价评分值（保留小数2位）：</w:t>
      </w:r>
    </w:p>
    <w:p>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1）有效</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人的报价等于评审基准价时其报价分为满分30分；</w:t>
      </w:r>
    </w:p>
    <w:p>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人的价格分按以下公式计算：</w:t>
      </w:r>
    </w:p>
    <w:p>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报价得分=（评分基准价/</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 价格权值 ×100（保留小数2位）</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3、有效</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人的综合得分为技术分和商务（报价）分的总和。</w:t>
      </w:r>
    </w:p>
    <w:p>
      <w:pPr>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4、评标委员会认为</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人的报价明显低于其他通过符合性审查</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人不能证明其报价合理性的，评标委员会应当将其作为无效</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处理。</w:t>
      </w:r>
    </w:p>
    <w:p>
      <w:pPr>
        <w:pStyle w:val="8"/>
        <w:numPr>
          <w:ilvl w:val="0"/>
          <w:numId w:val="0"/>
        </w:numPr>
        <w:rPr>
          <w:rFonts w:hint="eastAsia"/>
          <w:color w:val="auto"/>
          <w:highlight w:val="none"/>
          <w:lang w:val="en-US" w:eastAsia="zh-CN"/>
        </w:rPr>
      </w:pPr>
    </w:p>
    <w:p>
      <w:pPr>
        <w:pStyle w:val="4"/>
        <w:spacing w:line="360" w:lineRule="auto"/>
        <w:rPr>
          <w:rFonts w:hint="default" w:eastAsia="宋体"/>
          <w:color w:val="auto"/>
          <w:sz w:val="28"/>
          <w:szCs w:val="28"/>
          <w:highlight w:val="none"/>
          <w:lang w:val="en-US" w:eastAsia="zh-CN"/>
        </w:rPr>
      </w:pPr>
      <w:r>
        <w:rPr>
          <w:rFonts w:hint="eastAsia"/>
          <w:color w:val="auto"/>
          <w:sz w:val="28"/>
          <w:szCs w:val="28"/>
          <w:highlight w:val="none"/>
          <w:lang w:val="en-US" w:eastAsia="zh-CN"/>
        </w:rPr>
        <w:t>七、附件</w:t>
      </w:r>
    </w:p>
    <w:p>
      <w:pPr>
        <w:spacing w:line="360" w:lineRule="auto"/>
        <w:rPr>
          <w:rFonts w:hint="eastAsia" w:ascii="宋体" w:hAnsi="宋体"/>
          <w:b/>
          <w:color w:val="auto"/>
          <w:sz w:val="22"/>
          <w:szCs w:val="22"/>
          <w:highlight w:val="none"/>
        </w:rPr>
      </w:pP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技术</w:t>
      </w:r>
      <w:r>
        <w:rPr>
          <w:rFonts w:hint="eastAsia" w:ascii="宋体" w:hAnsi="宋体"/>
          <w:b/>
          <w:color w:val="auto"/>
          <w:sz w:val="22"/>
          <w:szCs w:val="22"/>
          <w:highlight w:val="none"/>
          <w:lang w:val="en-US" w:eastAsia="zh-CN"/>
        </w:rPr>
        <w:t>评分：满分7</w:t>
      </w:r>
      <w:r>
        <w:rPr>
          <w:rFonts w:hint="eastAsia" w:ascii="宋体" w:hAnsi="宋体"/>
          <w:b/>
          <w:color w:val="auto"/>
          <w:sz w:val="22"/>
          <w:szCs w:val="22"/>
          <w:highlight w:val="none"/>
        </w:rPr>
        <w:t>0分</w:t>
      </w:r>
    </w:p>
    <w:tbl>
      <w:tblPr>
        <w:tblStyle w:val="6"/>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037"/>
        <w:gridCol w:w="6308"/>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37" w:type="dxa"/>
            <w:noWrap/>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序号</w:t>
            </w:r>
          </w:p>
        </w:tc>
        <w:tc>
          <w:tcPr>
            <w:tcW w:w="8345" w:type="dxa"/>
            <w:gridSpan w:val="2"/>
            <w:noWrap/>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评分内容和标准</w:t>
            </w:r>
          </w:p>
        </w:tc>
        <w:tc>
          <w:tcPr>
            <w:tcW w:w="741" w:type="dxa"/>
            <w:noWrap/>
            <w:vAlign w:val="center"/>
          </w:tcPr>
          <w:p>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737" w:type="dxa"/>
            <w:vMerge w:val="restart"/>
            <w:noWrap w:val="0"/>
            <w:vAlign w:val="center"/>
          </w:tcPr>
          <w:p>
            <w:pPr>
              <w:widowControl/>
              <w:spacing w:line="48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037" w:type="dxa"/>
            <w:vMerge w:val="restart"/>
            <w:noWrap w:val="0"/>
            <w:vAlign w:val="center"/>
          </w:tcPr>
          <w:p>
            <w:pPr>
              <w:spacing w:line="480" w:lineRule="exact"/>
              <w:ind w:right="-21" w:rightChars="-1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策划创意、实施方案：根据供应商对</w:t>
            </w:r>
            <w:r>
              <w:rPr>
                <w:rFonts w:hint="eastAsia" w:ascii="宋体" w:hAnsi="宋体" w:cs="宋体"/>
                <w:color w:val="auto"/>
                <w:sz w:val="22"/>
                <w:szCs w:val="22"/>
                <w:highlight w:val="none"/>
                <w:lang w:val="en-US" w:eastAsia="zh-CN"/>
              </w:rPr>
              <w:t>视频（微视频）</w:t>
            </w:r>
            <w:r>
              <w:rPr>
                <w:rFonts w:hint="eastAsia" w:ascii="宋体" w:hAnsi="宋体" w:cs="宋体"/>
                <w:color w:val="auto"/>
                <w:sz w:val="22"/>
                <w:szCs w:val="22"/>
                <w:highlight w:val="none"/>
              </w:rPr>
              <w:t>主线和节奏把握能力以及创新能力等进行综合评定</w:t>
            </w:r>
          </w:p>
        </w:tc>
        <w:tc>
          <w:tcPr>
            <w:tcW w:w="6308" w:type="dxa"/>
            <w:noWrap w:val="0"/>
            <w:vAlign w:val="center"/>
          </w:tcPr>
          <w:p>
            <w:pPr>
              <w:spacing w:line="480" w:lineRule="exact"/>
              <w:ind w:right="-21" w:rightChars="-10"/>
              <w:rPr>
                <w:rFonts w:hint="eastAsia" w:ascii="宋体" w:hAnsi="宋体" w:cs="宋体"/>
                <w:color w:val="auto"/>
                <w:sz w:val="22"/>
                <w:szCs w:val="22"/>
                <w:highlight w:val="none"/>
              </w:rPr>
            </w:pPr>
            <w:r>
              <w:rPr>
                <w:rFonts w:hint="eastAsia" w:ascii="宋体" w:hAnsi="宋体" w:cs="宋体"/>
                <w:color w:val="auto"/>
                <w:sz w:val="22"/>
                <w:szCs w:val="22"/>
                <w:highlight w:val="none"/>
              </w:rPr>
              <w:t>针对本项目的需求，供应商提供的整体服务方案合理且内容设计深入全面，视听语言鲜明的，综合比较评定（0-</w:t>
            </w:r>
            <w:r>
              <w:rPr>
                <w:rFonts w:ascii="宋体" w:hAnsi="宋体" w:cs="宋体"/>
                <w:color w:val="auto"/>
                <w:sz w:val="22"/>
                <w:szCs w:val="22"/>
                <w:highlight w:val="none"/>
              </w:rPr>
              <w:t>8</w:t>
            </w:r>
            <w:r>
              <w:rPr>
                <w:rFonts w:hint="eastAsia" w:ascii="宋体" w:hAnsi="宋体" w:cs="宋体"/>
                <w:color w:val="auto"/>
                <w:sz w:val="22"/>
                <w:szCs w:val="22"/>
                <w:highlight w:val="none"/>
              </w:rPr>
              <w:t>分）。</w:t>
            </w:r>
          </w:p>
        </w:tc>
        <w:tc>
          <w:tcPr>
            <w:tcW w:w="741" w:type="dxa"/>
            <w:noWrap w:val="0"/>
            <w:vAlign w:val="center"/>
          </w:tcPr>
          <w:p>
            <w:pPr>
              <w:spacing w:line="480" w:lineRule="exact"/>
              <w:jc w:val="center"/>
              <w:rPr>
                <w:rFonts w:hint="eastAsia" w:ascii="宋体" w:hAnsi="宋体" w:cs="宋体"/>
                <w:b/>
                <w:bCs/>
                <w:color w:val="auto"/>
                <w:kern w:val="0"/>
                <w:sz w:val="22"/>
                <w:szCs w:val="22"/>
                <w:highlight w:val="none"/>
              </w:rPr>
            </w:pPr>
            <w:r>
              <w:rPr>
                <w:rFonts w:ascii="宋体" w:hAnsi="宋体" w:cs="宋体"/>
                <w:color w:val="auto"/>
                <w:sz w:val="22"/>
                <w:szCs w:val="22"/>
                <w:highlight w:val="none"/>
              </w:rPr>
              <w:t>8</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Merge w:val="continue"/>
            <w:noWrap w:val="0"/>
            <w:vAlign w:val="center"/>
          </w:tcPr>
          <w:p>
            <w:pPr>
              <w:widowControl/>
              <w:spacing w:line="480" w:lineRule="exact"/>
              <w:jc w:val="center"/>
              <w:rPr>
                <w:rFonts w:hint="eastAsia" w:ascii="宋体" w:hAnsi="宋体" w:cs="宋体"/>
                <w:color w:val="auto"/>
                <w:kern w:val="0"/>
                <w:sz w:val="22"/>
                <w:szCs w:val="22"/>
                <w:highlight w:val="none"/>
              </w:rPr>
            </w:pPr>
          </w:p>
        </w:tc>
        <w:tc>
          <w:tcPr>
            <w:tcW w:w="2037" w:type="dxa"/>
            <w:vMerge w:val="continue"/>
            <w:noWrap w:val="0"/>
            <w:vAlign w:val="center"/>
          </w:tcPr>
          <w:p>
            <w:pPr>
              <w:spacing w:line="480" w:lineRule="exact"/>
              <w:ind w:right="-21" w:rightChars="-10"/>
              <w:jc w:val="center"/>
              <w:rPr>
                <w:rFonts w:hint="eastAsia" w:ascii="宋体" w:hAnsi="宋体" w:cs="宋体"/>
                <w:color w:val="auto"/>
                <w:sz w:val="22"/>
                <w:szCs w:val="22"/>
                <w:highlight w:val="none"/>
              </w:rPr>
            </w:pPr>
          </w:p>
        </w:tc>
        <w:tc>
          <w:tcPr>
            <w:tcW w:w="6308" w:type="dxa"/>
            <w:noWrap w:val="0"/>
            <w:vAlign w:val="center"/>
          </w:tcPr>
          <w:p>
            <w:pPr>
              <w:spacing w:line="480" w:lineRule="exact"/>
              <w:ind w:right="-21" w:rightChars="-1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视频（微视频）</w:t>
            </w:r>
            <w:r>
              <w:rPr>
                <w:rFonts w:hint="eastAsia" w:ascii="宋体" w:hAnsi="宋体" w:cs="宋体"/>
                <w:color w:val="auto"/>
                <w:sz w:val="22"/>
                <w:szCs w:val="22"/>
                <w:highlight w:val="none"/>
              </w:rPr>
              <w:t>主线梳理清晰、详尽、合理的得</w:t>
            </w:r>
            <w:r>
              <w:rPr>
                <w:rFonts w:ascii="宋体" w:hAnsi="宋体" w:cs="宋体"/>
                <w:color w:val="auto"/>
                <w:sz w:val="22"/>
                <w:szCs w:val="22"/>
                <w:highlight w:val="none"/>
              </w:rPr>
              <w:t>8</w:t>
            </w:r>
            <w:r>
              <w:rPr>
                <w:rFonts w:hint="eastAsia" w:ascii="宋体" w:hAnsi="宋体" w:cs="宋体"/>
                <w:color w:val="auto"/>
                <w:sz w:val="22"/>
                <w:szCs w:val="22"/>
                <w:highlight w:val="none"/>
              </w:rPr>
              <w:t>-</w:t>
            </w:r>
            <w:r>
              <w:rPr>
                <w:rFonts w:ascii="宋体" w:hAnsi="宋体" w:cs="宋体"/>
                <w:color w:val="auto"/>
                <w:sz w:val="22"/>
                <w:szCs w:val="22"/>
                <w:highlight w:val="none"/>
              </w:rPr>
              <w:t>7</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en-US" w:eastAsia="zh-CN"/>
              </w:rPr>
              <w:t>视频（微视频）</w:t>
            </w:r>
            <w:r>
              <w:rPr>
                <w:rFonts w:hint="eastAsia" w:ascii="宋体" w:hAnsi="宋体" w:cs="宋体"/>
                <w:color w:val="auto"/>
                <w:sz w:val="22"/>
                <w:szCs w:val="22"/>
                <w:highlight w:val="none"/>
              </w:rPr>
              <w:t>主线梳理一般的得</w:t>
            </w:r>
            <w:r>
              <w:rPr>
                <w:rFonts w:ascii="宋体" w:hAnsi="宋体" w:cs="宋体"/>
                <w:color w:val="auto"/>
                <w:sz w:val="22"/>
                <w:szCs w:val="22"/>
                <w:highlight w:val="none"/>
              </w:rPr>
              <w:t>6</w:t>
            </w:r>
            <w:r>
              <w:rPr>
                <w:rFonts w:hint="eastAsia" w:ascii="宋体" w:hAnsi="宋体" w:cs="宋体"/>
                <w:color w:val="auto"/>
                <w:sz w:val="22"/>
                <w:szCs w:val="22"/>
                <w:highlight w:val="none"/>
              </w:rPr>
              <w:t>-</w:t>
            </w:r>
            <w:r>
              <w:rPr>
                <w:rFonts w:ascii="宋体" w:hAnsi="宋体" w:cs="宋体"/>
                <w:color w:val="auto"/>
                <w:sz w:val="22"/>
                <w:szCs w:val="22"/>
                <w:highlight w:val="none"/>
              </w:rPr>
              <w:t>5</w:t>
            </w:r>
            <w:r>
              <w:rPr>
                <w:rFonts w:hint="eastAsia" w:ascii="宋体" w:hAnsi="宋体" w:cs="宋体"/>
                <w:color w:val="auto"/>
                <w:sz w:val="22"/>
                <w:szCs w:val="22"/>
                <w:highlight w:val="none"/>
              </w:rPr>
              <w:t>分，</w:t>
            </w:r>
            <w:r>
              <w:rPr>
                <w:rFonts w:hint="eastAsia" w:ascii="宋体" w:hAnsi="宋体" w:cs="宋体"/>
                <w:color w:val="auto"/>
                <w:sz w:val="22"/>
                <w:szCs w:val="22"/>
                <w:highlight w:val="none"/>
                <w:lang w:val="en-US" w:eastAsia="zh-CN"/>
              </w:rPr>
              <w:t>视频</w:t>
            </w:r>
            <w:r>
              <w:rPr>
                <w:rFonts w:hint="eastAsia" w:ascii="宋体" w:hAnsi="宋体" w:cs="宋体"/>
                <w:color w:val="auto"/>
                <w:sz w:val="22"/>
                <w:szCs w:val="22"/>
                <w:highlight w:val="none"/>
              </w:rPr>
              <w:t>主线梳理欠缺的得</w:t>
            </w:r>
            <w:r>
              <w:rPr>
                <w:rFonts w:ascii="宋体" w:hAnsi="宋体" w:cs="宋体"/>
                <w:color w:val="auto"/>
                <w:sz w:val="22"/>
                <w:szCs w:val="22"/>
                <w:highlight w:val="none"/>
              </w:rPr>
              <w:t>4</w:t>
            </w:r>
            <w:r>
              <w:rPr>
                <w:rFonts w:hint="eastAsia" w:ascii="宋体" w:hAnsi="宋体" w:cs="宋体"/>
                <w:color w:val="auto"/>
                <w:sz w:val="22"/>
                <w:szCs w:val="22"/>
                <w:highlight w:val="none"/>
              </w:rPr>
              <w:t>-0分。</w:t>
            </w:r>
          </w:p>
        </w:tc>
        <w:tc>
          <w:tcPr>
            <w:tcW w:w="741" w:type="dxa"/>
            <w:noWrap w:val="0"/>
            <w:vAlign w:val="center"/>
          </w:tcPr>
          <w:p>
            <w:pPr>
              <w:spacing w:line="480" w:lineRule="exact"/>
              <w:jc w:val="center"/>
              <w:rPr>
                <w:rFonts w:hint="eastAsia" w:ascii="宋体" w:hAnsi="宋体" w:cs="宋体"/>
                <w:color w:val="auto"/>
                <w:sz w:val="22"/>
                <w:szCs w:val="22"/>
                <w:highlight w:val="none"/>
              </w:rPr>
            </w:pPr>
            <w:r>
              <w:rPr>
                <w:rFonts w:ascii="宋体" w:hAnsi="宋体" w:cs="宋体"/>
                <w:color w:val="auto"/>
                <w:sz w:val="22"/>
                <w:szCs w:val="22"/>
                <w:highlight w:val="none"/>
              </w:rPr>
              <w:t>8</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Merge w:val="continue"/>
            <w:noWrap w:val="0"/>
            <w:vAlign w:val="center"/>
          </w:tcPr>
          <w:p>
            <w:pPr>
              <w:spacing w:line="480" w:lineRule="exact"/>
              <w:ind w:right="-21" w:rightChars="-10"/>
              <w:rPr>
                <w:color w:val="auto"/>
                <w:highlight w:val="none"/>
              </w:rPr>
            </w:pPr>
          </w:p>
        </w:tc>
        <w:tc>
          <w:tcPr>
            <w:tcW w:w="2037" w:type="dxa"/>
            <w:vMerge w:val="continue"/>
            <w:noWrap w:val="0"/>
            <w:vAlign w:val="center"/>
          </w:tcPr>
          <w:p>
            <w:pPr>
              <w:spacing w:line="480" w:lineRule="exact"/>
              <w:ind w:right="-21" w:rightChars="-10"/>
              <w:rPr>
                <w:color w:val="auto"/>
                <w:highlight w:val="none"/>
              </w:rPr>
            </w:pPr>
          </w:p>
        </w:tc>
        <w:tc>
          <w:tcPr>
            <w:tcW w:w="6308" w:type="dxa"/>
            <w:noWrap w:val="0"/>
            <w:vAlign w:val="center"/>
          </w:tcPr>
          <w:p>
            <w:pPr>
              <w:spacing w:line="480" w:lineRule="exact"/>
              <w:ind w:right="-21" w:rightChars="-10"/>
              <w:rPr>
                <w:rFonts w:hint="eastAsia" w:ascii="宋体" w:hAnsi="宋体" w:cs="宋体"/>
                <w:color w:val="auto"/>
                <w:sz w:val="22"/>
                <w:szCs w:val="22"/>
                <w:highlight w:val="none"/>
              </w:rPr>
            </w:pPr>
            <w:r>
              <w:rPr>
                <w:rFonts w:hint="eastAsia" w:ascii="宋体" w:hAnsi="宋体" w:cs="宋体"/>
                <w:color w:val="auto"/>
                <w:sz w:val="22"/>
                <w:szCs w:val="22"/>
                <w:highlight w:val="none"/>
              </w:rPr>
              <w:t>(2)节奏把握能力强、合理的得</w:t>
            </w:r>
            <w:r>
              <w:rPr>
                <w:rFonts w:hint="eastAsia" w:ascii="宋体" w:hAnsi="宋体" w:cs="宋体"/>
                <w:color w:val="auto"/>
                <w:sz w:val="22"/>
                <w:szCs w:val="22"/>
                <w:highlight w:val="none"/>
                <w:lang w:val="en-US" w:eastAsia="zh-CN"/>
              </w:rPr>
              <w:t>5-4</w:t>
            </w:r>
            <w:r>
              <w:rPr>
                <w:rFonts w:hint="eastAsia" w:ascii="宋体" w:hAnsi="宋体" w:cs="宋体"/>
                <w:color w:val="auto"/>
                <w:sz w:val="22"/>
                <w:szCs w:val="22"/>
                <w:highlight w:val="none"/>
              </w:rPr>
              <w:t>分，节奏把握能力一般的得</w:t>
            </w:r>
            <w:r>
              <w:rPr>
                <w:rFonts w:ascii="宋体" w:hAnsi="宋体" w:cs="宋体"/>
                <w:color w:val="auto"/>
                <w:sz w:val="22"/>
                <w:szCs w:val="22"/>
                <w:highlight w:val="none"/>
              </w:rPr>
              <w:t>3</w:t>
            </w:r>
            <w:r>
              <w:rPr>
                <w:rFonts w:hint="eastAsia" w:ascii="宋体" w:hAnsi="宋体" w:cs="宋体"/>
                <w:color w:val="auto"/>
                <w:sz w:val="22"/>
                <w:szCs w:val="22"/>
                <w:highlight w:val="none"/>
              </w:rPr>
              <w:t>-</w:t>
            </w:r>
            <w:r>
              <w:rPr>
                <w:rFonts w:ascii="宋体" w:hAnsi="宋体" w:cs="宋体"/>
                <w:color w:val="auto"/>
                <w:sz w:val="22"/>
                <w:szCs w:val="22"/>
                <w:highlight w:val="none"/>
              </w:rPr>
              <w:t>2</w:t>
            </w:r>
            <w:r>
              <w:rPr>
                <w:rFonts w:hint="eastAsia" w:ascii="宋体" w:hAnsi="宋体" w:cs="宋体"/>
                <w:color w:val="auto"/>
                <w:sz w:val="22"/>
                <w:szCs w:val="22"/>
                <w:highlight w:val="none"/>
              </w:rPr>
              <w:t>分，节奏把握能力欠缺的得1-0分。</w:t>
            </w:r>
          </w:p>
        </w:tc>
        <w:tc>
          <w:tcPr>
            <w:tcW w:w="741" w:type="dxa"/>
            <w:noWrap w:val="0"/>
            <w:vAlign w:val="center"/>
          </w:tcPr>
          <w:p>
            <w:pPr>
              <w:spacing w:line="480" w:lineRule="exact"/>
              <w:ind w:right="-21" w:rightChars="-10"/>
              <w:jc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7" w:type="dxa"/>
            <w:vMerge w:val="continue"/>
            <w:noWrap w:val="0"/>
            <w:vAlign w:val="center"/>
          </w:tcPr>
          <w:p>
            <w:pPr>
              <w:spacing w:line="480" w:lineRule="exact"/>
              <w:ind w:right="-21" w:rightChars="-10"/>
              <w:rPr>
                <w:rFonts w:hint="eastAsia" w:ascii="宋体" w:hAnsi="宋体" w:cs="宋体"/>
                <w:color w:val="auto"/>
                <w:sz w:val="22"/>
                <w:szCs w:val="22"/>
                <w:highlight w:val="none"/>
              </w:rPr>
            </w:pPr>
          </w:p>
        </w:tc>
        <w:tc>
          <w:tcPr>
            <w:tcW w:w="2037" w:type="dxa"/>
            <w:vMerge w:val="continue"/>
            <w:noWrap w:val="0"/>
            <w:vAlign w:val="center"/>
          </w:tcPr>
          <w:p>
            <w:pPr>
              <w:spacing w:line="480" w:lineRule="exact"/>
              <w:ind w:right="-21" w:rightChars="-10"/>
              <w:rPr>
                <w:rFonts w:hint="eastAsia" w:ascii="宋体" w:hAnsi="宋体" w:cs="宋体"/>
                <w:color w:val="auto"/>
                <w:sz w:val="22"/>
                <w:szCs w:val="22"/>
                <w:highlight w:val="none"/>
              </w:rPr>
            </w:pPr>
          </w:p>
        </w:tc>
        <w:tc>
          <w:tcPr>
            <w:tcW w:w="6308" w:type="dxa"/>
            <w:noWrap w:val="0"/>
            <w:vAlign w:val="center"/>
          </w:tcPr>
          <w:p>
            <w:pPr>
              <w:spacing w:line="480" w:lineRule="exact"/>
              <w:ind w:right="-21" w:rightChars="-10"/>
              <w:rPr>
                <w:rFonts w:hint="eastAsia" w:ascii="宋体" w:hAnsi="宋体" w:cs="宋体"/>
                <w:color w:val="auto"/>
                <w:sz w:val="22"/>
                <w:szCs w:val="22"/>
                <w:highlight w:val="none"/>
              </w:rPr>
            </w:pPr>
            <w:r>
              <w:rPr>
                <w:rFonts w:hint="eastAsia" w:ascii="宋体" w:hAnsi="宋体" w:cs="宋体"/>
                <w:color w:val="auto"/>
                <w:sz w:val="22"/>
                <w:szCs w:val="22"/>
                <w:highlight w:val="none"/>
              </w:rPr>
              <w:t>(3)创新性，创意的文化性详尽、合理的得</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4分，创新性一般的得3-2分，创新性欠缺的得1-0分。</w:t>
            </w:r>
          </w:p>
        </w:tc>
        <w:tc>
          <w:tcPr>
            <w:tcW w:w="741" w:type="dxa"/>
            <w:noWrap w:val="0"/>
            <w:vAlign w:val="center"/>
          </w:tcPr>
          <w:p>
            <w:pPr>
              <w:spacing w:line="480" w:lineRule="exact"/>
              <w:ind w:right="-21" w:rightChars="-10"/>
              <w:jc w:val="center"/>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37" w:type="dxa"/>
            <w:vMerge w:val="restart"/>
            <w:noWrap w:val="0"/>
            <w:vAlign w:val="center"/>
          </w:tcPr>
          <w:p>
            <w:pPr>
              <w:widowControl/>
              <w:spacing w:line="48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037" w:type="dxa"/>
            <w:vMerge w:val="restart"/>
            <w:noWrap w:val="0"/>
            <w:vAlign w:val="center"/>
          </w:tcPr>
          <w:p>
            <w:pPr>
              <w:spacing w:line="480" w:lineRule="exact"/>
              <w:ind w:right="-21" w:rightChars="-1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项目进度、成果质量的保障措施等综合评定</w:t>
            </w:r>
          </w:p>
        </w:tc>
        <w:tc>
          <w:tcPr>
            <w:tcW w:w="6308" w:type="dxa"/>
            <w:vMerge w:val="restart"/>
            <w:noWrap w:val="0"/>
            <w:vAlign w:val="center"/>
          </w:tcPr>
          <w:p>
            <w:pPr>
              <w:spacing w:line="480" w:lineRule="exact"/>
              <w:ind w:right="-21" w:rightChars="-10"/>
              <w:rPr>
                <w:rFonts w:hint="eastAsia" w:ascii="宋体" w:hAnsi="宋体" w:cs="宋体"/>
                <w:color w:val="auto"/>
                <w:sz w:val="22"/>
                <w:szCs w:val="22"/>
                <w:highlight w:val="none"/>
              </w:rPr>
            </w:pPr>
            <w:r>
              <w:rPr>
                <w:rFonts w:hint="eastAsia" w:ascii="宋体" w:hAnsi="宋体" w:cs="宋体"/>
                <w:color w:val="auto"/>
                <w:sz w:val="22"/>
                <w:szCs w:val="22"/>
                <w:highlight w:val="none"/>
              </w:rPr>
              <w:t>项目质量和进度保障措施是否合理可行的，综合评定（0-</w:t>
            </w:r>
            <w:r>
              <w:rPr>
                <w:rFonts w:ascii="宋体" w:hAnsi="宋体" w:cs="宋体"/>
                <w:color w:val="auto"/>
                <w:sz w:val="22"/>
                <w:szCs w:val="22"/>
                <w:highlight w:val="none"/>
              </w:rPr>
              <w:t>8</w:t>
            </w:r>
            <w:r>
              <w:rPr>
                <w:rFonts w:hint="eastAsia" w:ascii="宋体" w:hAnsi="宋体" w:cs="宋体"/>
                <w:color w:val="auto"/>
                <w:sz w:val="22"/>
                <w:szCs w:val="22"/>
                <w:highlight w:val="none"/>
              </w:rPr>
              <w:t>分）。</w:t>
            </w:r>
          </w:p>
        </w:tc>
        <w:tc>
          <w:tcPr>
            <w:tcW w:w="741" w:type="dxa"/>
            <w:vMerge w:val="restart"/>
            <w:noWrap w:val="0"/>
            <w:vAlign w:val="center"/>
          </w:tcPr>
          <w:p>
            <w:pPr>
              <w:spacing w:line="480" w:lineRule="exact"/>
              <w:jc w:val="center"/>
              <w:rPr>
                <w:rFonts w:hint="eastAsia" w:ascii="宋体" w:hAnsi="宋体" w:cs="宋体"/>
                <w:color w:val="auto"/>
                <w:sz w:val="22"/>
                <w:szCs w:val="22"/>
                <w:highlight w:val="none"/>
              </w:rPr>
            </w:pPr>
            <w:r>
              <w:rPr>
                <w:rFonts w:ascii="宋体" w:hAnsi="宋体" w:cs="宋体"/>
                <w:color w:val="auto"/>
                <w:sz w:val="22"/>
                <w:szCs w:val="22"/>
                <w:highlight w:val="none"/>
              </w:rPr>
              <w:t>8</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37" w:type="dxa"/>
            <w:vMerge w:val="continue"/>
            <w:noWrap w:val="0"/>
            <w:vAlign w:val="center"/>
          </w:tcPr>
          <w:p>
            <w:pPr>
              <w:widowControl/>
              <w:spacing w:line="480" w:lineRule="exact"/>
              <w:jc w:val="center"/>
              <w:rPr>
                <w:rFonts w:hint="eastAsia" w:ascii="宋体" w:hAnsi="宋体" w:cs="宋体"/>
                <w:color w:val="auto"/>
                <w:kern w:val="0"/>
                <w:sz w:val="22"/>
                <w:szCs w:val="22"/>
                <w:highlight w:val="none"/>
              </w:rPr>
            </w:pPr>
          </w:p>
        </w:tc>
        <w:tc>
          <w:tcPr>
            <w:tcW w:w="2037" w:type="dxa"/>
            <w:vMerge w:val="continue"/>
            <w:noWrap w:val="0"/>
            <w:vAlign w:val="center"/>
          </w:tcPr>
          <w:p>
            <w:pPr>
              <w:spacing w:line="480" w:lineRule="exact"/>
              <w:ind w:right="-21" w:rightChars="-10"/>
              <w:rPr>
                <w:rFonts w:hint="eastAsia" w:ascii="宋体" w:hAnsi="宋体" w:cs="宋体"/>
                <w:color w:val="auto"/>
                <w:sz w:val="22"/>
                <w:szCs w:val="22"/>
                <w:highlight w:val="none"/>
              </w:rPr>
            </w:pPr>
          </w:p>
        </w:tc>
        <w:tc>
          <w:tcPr>
            <w:tcW w:w="6308" w:type="dxa"/>
            <w:vMerge w:val="continue"/>
            <w:noWrap w:val="0"/>
            <w:vAlign w:val="center"/>
          </w:tcPr>
          <w:p>
            <w:pPr>
              <w:spacing w:line="480" w:lineRule="exact"/>
              <w:ind w:right="-21" w:rightChars="-10"/>
              <w:rPr>
                <w:rFonts w:hint="eastAsia" w:ascii="宋体" w:hAnsi="宋体" w:cs="宋体"/>
                <w:color w:val="auto"/>
                <w:sz w:val="22"/>
                <w:szCs w:val="22"/>
                <w:highlight w:val="none"/>
              </w:rPr>
            </w:pPr>
          </w:p>
        </w:tc>
        <w:tc>
          <w:tcPr>
            <w:tcW w:w="741" w:type="dxa"/>
            <w:vMerge w:val="continue"/>
            <w:noWrap w:val="0"/>
            <w:vAlign w:val="center"/>
          </w:tcPr>
          <w:p>
            <w:pPr>
              <w:spacing w:line="480" w:lineRule="exact"/>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37" w:type="dxa"/>
            <w:noWrap w:val="0"/>
            <w:vAlign w:val="center"/>
          </w:tcPr>
          <w:p>
            <w:pPr>
              <w:widowControl/>
              <w:spacing w:line="4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3</w:t>
            </w:r>
          </w:p>
        </w:tc>
        <w:tc>
          <w:tcPr>
            <w:tcW w:w="8345" w:type="dxa"/>
            <w:gridSpan w:val="2"/>
            <w:noWrap w:val="0"/>
            <w:vAlign w:val="center"/>
          </w:tcPr>
          <w:p>
            <w:pPr>
              <w:spacing w:line="480" w:lineRule="exact"/>
              <w:ind w:right="-21" w:rightChars="-10"/>
              <w:rPr>
                <w:rFonts w:hint="eastAsia" w:ascii="宋体" w:hAnsi="宋体" w:cs="宋体"/>
                <w:color w:val="auto"/>
                <w:sz w:val="22"/>
                <w:szCs w:val="22"/>
                <w:highlight w:val="none"/>
              </w:rPr>
            </w:pPr>
            <w:r>
              <w:rPr>
                <w:rFonts w:hint="eastAsia" w:ascii="宋体" w:hAnsi="宋体" w:cs="宋体"/>
                <w:color w:val="auto"/>
                <w:sz w:val="22"/>
                <w:szCs w:val="22"/>
                <w:highlight w:val="none"/>
              </w:rPr>
              <w:t>供应商应提供公司详细介绍，包括公司简介、相关专业资质证书等。综合评定（0-</w:t>
            </w:r>
            <w:r>
              <w:rPr>
                <w:rFonts w:ascii="宋体" w:hAnsi="宋体" w:cs="宋体"/>
                <w:color w:val="auto"/>
                <w:sz w:val="22"/>
                <w:szCs w:val="22"/>
                <w:highlight w:val="none"/>
              </w:rPr>
              <w:t>5</w:t>
            </w:r>
            <w:r>
              <w:rPr>
                <w:rFonts w:hint="eastAsia" w:ascii="宋体" w:hAnsi="宋体" w:cs="宋体"/>
                <w:color w:val="auto"/>
                <w:sz w:val="22"/>
                <w:szCs w:val="22"/>
                <w:highlight w:val="none"/>
              </w:rPr>
              <w:t>分）。</w:t>
            </w:r>
          </w:p>
        </w:tc>
        <w:tc>
          <w:tcPr>
            <w:tcW w:w="741" w:type="dxa"/>
            <w:noWrap w:val="0"/>
            <w:vAlign w:val="center"/>
          </w:tcPr>
          <w:p>
            <w:pPr>
              <w:spacing w:line="480" w:lineRule="exact"/>
              <w:ind w:right="-21" w:rightChars="-10"/>
              <w:jc w:val="center"/>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37" w:type="dxa"/>
            <w:noWrap w:val="0"/>
            <w:vAlign w:val="center"/>
          </w:tcPr>
          <w:p>
            <w:pPr>
              <w:spacing w:line="4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4</w:t>
            </w:r>
          </w:p>
        </w:tc>
        <w:tc>
          <w:tcPr>
            <w:tcW w:w="8345" w:type="dxa"/>
            <w:gridSpan w:val="2"/>
            <w:noWrap w:val="0"/>
            <w:vAlign w:val="center"/>
          </w:tcPr>
          <w:p>
            <w:pPr>
              <w:spacing w:line="480" w:lineRule="exact"/>
              <w:ind w:right="-21" w:rightChars="-10"/>
              <w:rPr>
                <w:rFonts w:hint="eastAsia" w:ascii="宋体" w:hAnsi="宋体" w:cs="宋体"/>
                <w:color w:val="auto"/>
                <w:sz w:val="22"/>
                <w:szCs w:val="22"/>
                <w:highlight w:val="none"/>
              </w:rPr>
            </w:pPr>
            <w:r>
              <w:rPr>
                <w:rFonts w:hint="eastAsia" w:ascii="宋体" w:hAnsi="宋体" w:cs="宋体"/>
                <w:color w:val="auto"/>
                <w:sz w:val="22"/>
                <w:szCs w:val="22"/>
                <w:highlight w:val="none"/>
              </w:rPr>
              <w:t>项目服务团队：</w:t>
            </w:r>
          </w:p>
          <w:p>
            <w:pPr>
              <w:spacing w:line="480" w:lineRule="exact"/>
              <w:ind w:right="-21" w:rightChars="-10"/>
              <w:rPr>
                <w:rFonts w:hint="eastAsia" w:ascii="宋体" w:hAnsi="宋体" w:cs="宋体"/>
                <w:color w:val="auto"/>
                <w:sz w:val="22"/>
                <w:szCs w:val="22"/>
                <w:highlight w:val="none"/>
              </w:rPr>
            </w:pPr>
            <w:r>
              <w:rPr>
                <w:rFonts w:hint="eastAsia" w:ascii="宋体" w:hAnsi="宋体" w:cs="宋体"/>
                <w:color w:val="auto"/>
                <w:sz w:val="22"/>
                <w:szCs w:val="22"/>
                <w:highlight w:val="none"/>
              </w:rPr>
              <w:t>人员配置的合理性：人员配置合理性程度高的且专业性高的，得</w:t>
            </w:r>
            <w:r>
              <w:rPr>
                <w:rFonts w:ascii="宋体" w:hAnsi="宋体" w:cs="宋体"/>
                <w:color w:val="auto"/>
                <w:sz w:val="22"/>
                <w:szCs w:val="22"/>
                <w:highlight w:val="none"/>
              </w:rPr>
              <w:t>15</w:t>
            </w:r>
            <w:r>
              <w:rPr>
                <w:rFonts w:hint="eastAsia" w:ascii="宋体" w:hAnsi="宋体" w:cs="宋体"/>
                <w:color w:val="auto"/>
                <w:sz w:val="22"/>
                <w:szCs w:val="22"/>
                <w:highlight w:val="none"/>
              </w:rPr>
              <w:t>-</w:t>
            </w:r>
            <w:r>
              <w:rPr>
                <w:rFonts w:ascii="宋体" w:hAnsi="宋体" w:cs="宋体"/>
                <w:color w:val="auto"/>
                <w:sz w:val="22"/>
                <w:szCs w:val="22"/>
                <w:highlight w:val="none"/>
              </w:rPr>
              <w:t>11</w:t>
            </w:r>
            <w:r>
              <w:rPr>
                <w:rFonts w:hint="eastAsia" w:ascii="宋体" w:hAnsi="宋体" w:cs="宋体"/>
                <w:color w:val="auto"/>
                <w:sz w:val="22"/>
                <w:szCs w:val="22"/>
                <w:highlight w:val="none"/>
              </w:rPr>
              <w:t>分；合理性及专业性程度一把的，得</w:t>
            </w:r>
            <w:r>
              <w:rPr>
                <w:rFonts w:ascii="宋体" w:hAnsi="宋体" w:cs="宋体"/>
                <w:color w:val="auto"/>
                <w:sz w:val="22"/>
                <w:szCs w:val="22"/>
                <w:highlight w:val="none"/>
              </w:rPr>
              <w:t>10</w:t>
            </w:r>
            <w:r>
              <w:rPr>
                <w:rFonts w:hint="eastAsia" w:ascii="宋体" w:hAnsi="宋体" w:cs="宋体"/>
                <w:color w:val="auto"/>
                <w:sz w:val="22"/>
                <w:szCs w:val="22"/>
                <w:highlight w:val="none"/>
              </w:rPr>
              <w:t>-</w:t>
            </w:r>
            <w:r>
              <w:rPr>
                <w:rFonts w:ascii="宋体" w:hAnsi="宋体" w:cs="宋体"/>
                <w:color w:val="auto"/>
                <w:sz w:val="22"/>
                <w:szCs w:val="22"/>
                <w:highlight w:val="none"/>
              </w:rPr>
              <w:t>6</w:t>
            </w:r>
            <w:r>
              <w:rPr>
                <w:rFonts w:hint="eastAsia" w:ascii="宋体" w:hAnsi="宋体" w:cs="宋体"/>
                <w:color w:val="auto"/>
                <w:sz w:val="22"/>
                <w:szCs w:val="22"/>
                <w:highlight w:val="none"/>
              </w:rPr>
              <w:t>分；合理性及专业性程度较差的，得</w:t>
            </w:r>
            <w:r>
              <w:rPr>
                <w:rFonts w:ascii="宋体" w:hAnsi="宋体" w:cs="宋体"/>
                <w:color w:val="auto"/>
                <w:sz w:val="22"/>
                <w:szCs w:val="22"/>
                <w:highlight w:val="none"/>
              </w:rPr>
              <w:t>5</w:t>
            </w:r>
            <w:r>
              <w:rPr>
                <w:rFonts w:hint="eastAsia" w:ascii="宋体" w:hAnsi="宋体" w:cs="宋体"/>
                <w:color w:val="auto"/>
                <w:sz w:val="22"/>
                <w:szCs w:val="22"/>
                <w:highlight w:val="none"/>
              </w:rPr>
              <w:t>-0分。须提供相关</w:t>
            </w:r>
            <w:r>
              <w:rPr>
                <w:rFonts w:hint="eastAsia" w:ascii="宋体" w:hAnsi="宋体" w:cs="宋体"/>
                <w:color w:val="auto"/>
                <w:sz w:val="22"/>
                <w:szCs w:val="22"/>
                <w:highlight w:val="none"/>
                <w:lang w:val="en-US" w:eastAsia="zh-CN"/>
              </w:rPr>
              <w:t>人员</w:t>
            </w:r>
            <w:r>
              <w:rPr>
                <w:rFonts w:hint="eastAsia" w:ascii="宋体" w:hAnsi="宋体" w:cs="宋体"/>
                <w:color w:val="auto"/>
                <w:sz w:val="22"/>
                <w:szCs w:val="22"/>
                <w:highlight w:val="none"/>
              </w:rPr>
              <w:t>毕业证书或资格证书，</w:t>
            </w:r>
            <w:r>
              <w:rPr>
                <w:rFonts w:hint="eastAsia" w:ascii="宋体" w:hAnsi="宋体" w:cs="宋体"/>
                <w:color w:val="auto"/>
                <w:sz w:val="22"/>
                <w:szCs w:val="22"/>
                <w:highlight w:val="none"/>
                <w:lang w:val="en-US" w:eastAsia="zh-CN"/>
              </w:rPr>
              <w:t>及近三个月为该员工缴纳社保的证明文件，</w:t>
            </w:r>
            <w:r>
              <w:rPr>
                <w:rFonts w:hint="eastAsia" w:ascii="宋体" w:hAnsi="宋体" w:cs="宋体"/>
                <w:color w:val="auto"/>
                <w:sz w:val="22"/>
                <w:szCs w:val="22"/>
                <w:highlight w:val="none"/>
              </w:rPr>
              <w:t>否则不得分。</w:t>
            </w:r>
          </w:p>
        </w:tc>
        <w:tc>
          <w:tcPr>
            <w:tcW w:w="741" w:type="dxa"/>
            <w:noWrap w:val="0"/>
            <w:vAlign w:val="center"/>
          </w:tcPr>
          <w:p>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ascii="宋体" w:hAnsi="宋体" w:cs="宋体"/>
                <w:color w:val="auto"/>
                <w:sz w:val="22"/>
                <w:szCs w:val="22"/>
                <w:highlight w:val="none"/>
              </w:rPr>
              <w:t>5</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37" w:type="dxa"/>
            <w:noWrap w:val="0"/>
            <w:vAlign w:val="center"/>
          </w:tcPr>
          <w:p>
            <w:pPr>
              <w:widowControl/>
              <w:spacing w:line="4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5</w:t>
            </w:r>
          </w:p>
        </w:tc>
        <w:tc>
          <w:tcPr>
            <w:tcW w:w="8345" w:type="dxa"/>
            <w:gridSpan w:val="2"/>
            <w:noWrap w:val="0"/>
            <w:vAlign w:val="center"/>
          </w:tcPr>
          <w:p>
            <w:pPr>
              <w:spacing w:line="480" w:lineRule="exact"/>
              <w:ind w:right="-21" w:rightChars="-10"/>
              <w:rPr>
                <w:rFonts w:hint="eastAsia" w:ascii="宋体" w:hAnsi="宋体" w:cs="宋体"/>
                <w:color w:val="auto"/>
                <w:sz w:val="22"/>
                <w:szCs w:val="22"/>
                <w:highlight w:val="none"/>
              </w:rPr>
            </w:pPr>
            <w:r>
              <w:rPr>
                <w:rFonts w:hint="eastAsia" w:ascii="宋体" w:hAnsi="宋体" w:cs="宋体"/>
                <w:color w:val="auto"/>
                <w:sz w:val="22"/>
                <w:szCs w:val="22"/>
                <w:highlight w:val="none"/>
              </w:rPr>
              <w:t>供应商拟投入本项目的设备全面合理，且完全满足或高于本项目的制作工作要求的，综合评定（0-</w:t>
            </w:r>
            <w:r>
              <w:rPr>
                <w:rFonts w:ascii="宋体" w:hAnsi="宋体" w:cs="宋体"/>
                <w:color w:val="auto"/>
                <w:sz w:val="22"/>
                <w:szCs w:val="22"/>
                <w:highlight w:val="none"/>
              </w:rPr>
              <w:t>5</w:t>
            </w:r>
            <w:r>
              <w:rPr>
                <w:rFonts w:hint="eastAsia" w:ascii="宋体" w:hAnsi="宋体" w:cs="宋体"/>
                <w:color w:val="auto"/>
                <w:sz w:val="22"/>
                <w:szCs w:val="22"/>
                <w:highlight w:val="none"/>
              </w:rPr>
              <w:t>分）。须提供购买设备发票，否则不得分。</w:t>
            </w:r>
          </w:p>
        </w:tc>
        <w:tc>
          <w:tcPr>
            <w:tcW w:w="741" w:type="dxa"/>
            <w:noWrap w:val="0"/>
            <w:vAlign w:val="center"/>
          </w:tcPr>
          <w:p>
            <w:pPr>
              <w:spacing w:line="480" w:lineRule="exact"/>
              <w:jc w:val="center"/>
              <w:rPr>
                <w:rFonts w:hint="eastAsia" w:ascii="宋体" w:hAnsi="宋体" w:cs="宋体"/>
                <w:color w:val="auto"/>
                <w:sz w:val="22"/>
                <w:szCs w:val="2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37" w:type="dxa"/>
            <w:noWrap w:val="0"/>
            <w:vAlign w:val="center"/>
          </w:tcPr>
          <w:p>
            <w:pPr>
              <w:widowControl/>
              <w:spacing w:line="480" w:lineRule="exact"/>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6</w:t>
            </w:r>
          </w:p>
        </w:tc>
        <w:tc>
          <w:tcPr>
            <w:tcW w:w="8345" w:type="dxa"/>
            <w:gridSpan w:val="2"/>
            <w:noWrap w:val="0"/>
            <w:vAlign w:val="center"/>
          </w:tcPr>
          <w:p>
            <w:pPr>
              <w:spacing w:line="480" w:lineRule="exact"/>
              <w:ind w:right="-21" w:rightChars="-10"/>
              <w:rPr>
                <w:rFonts w:hint="eastAsia" w:ascii="宋体" w:hAnsi="宋体" w:eastAsia="宋体" w:cs="宋体"/>
                <w:color w:val="auto"/>
                <w:kern w:val="21"/>
                <w:sz w:val="22"/>
                <w:szCs w:val="22"/>
                <w:highlight w:val="none"/>
                <w:lang w:eastAsia="zh-CN"/>
              </w:rPr>
            </w:pPr>
            <w:r>
              <w:rPr>
                <w:rFonts w:hint="eastAsia" w:ascii="宋体" w:hAnsi="宋体" w:cs="宋体"/>
                <w:color w:val="auto"/>
                <w:kern w:val="21"/>
                <w:sz w:val="22"/>
                <w:szCs w:val="22"/>
                <w:highlight w:val="none"/>
              </w:rPr>
              <w:t>投标人自20</w:t>
            </w:r>
            <w:r>
              <w:rPr>
                <w:rFonts w:hint="eastAsia" w:ascii="宋体" w:hAnsi="宋体" w:cs="宋体"/>
                <w:color w:val="auto"/>
                <w:kern w:val="21"/>
                <w:sz w:val="22"/>
                <w:szCs w:val="22"/>
                <w:highlight w:val="none"/>
                <w:lang w:val="en-US" w:eastAsia="zh-CN"/>
              </w:rPr>
              <w:t>20</w:t>
            </w:r>
            <w:r>
              <w:rPr>
                <w:rFonts w:hint="eastAsia" w:ascii="宋体" w:hAnsi="宋体" w:cs="宋体"/>
                <w:color w:val="auto"/>
                <w:kern w:val="21"/>
                <w:sz w:val="22"/>
                <w:szCs w:val="22"/>
                <w:highlight w:val="none"/>
              </w:rPr>
              <w:t>年1月1日至今的同类项目经验，每提供一个得</w:t>
            </w:r>
            <w:r>
              <w:rPr>
                <w:rFonts w:hint="eastAsia" w:ascii="宋体" w:hAnsi="宋体" w:cs="宋体"/>
                <w:color w:val="auto"/>
                <w:kern w:val="21"/>
                <w:sz w:val="22"/>
                <w:szCs w:val="22"/>
                <w:highlight w:val="none"/>
                <w:lang w:val="en-US" w:eastAsia="zh-CN"/>
              </w:rPr>
              <w:t>1</w:t>
            </w:r>
            <w:r>
              <w:rPr>
                <w:rFonts w:hint="eastAsia" w:ascii="宋体" w:hAnsi="宋体" w:cs="宋体"/>
                <w:color w:val="auto"/>
                <w:kern w:val="21"/>
                <w:sz w:val="22"/>
                <w:szCs w:val="22"/>
                <w:highlight w:val="none"/>
              </w:rPr>
              <w:t>分，最高得</w:t>
            </w:r>
            <w:r>
              <w:rPr>
                <w:rFonts w:hint="eastAsia" w:ascii="宋体" w:hAnsi="宋体" w:cs="宋体"/>
                <w:color w:val="auto"/>
                <w:kern w:val="21"/>
                <w:sz w:val="22"/>
                <w:szCs w:val="22"/>
                <w:highlight w:val="none"/>
                <w:lang w:val="en-US" w:eastAsia="zh-CN"/>
              </w:rPr>
              <w:t>3</w:t>
            </w:r>
            <w:r>
              <w:rPr>
                <w:rFonts w:hint="eastAsia" w:ascii="宋体" w:hAnsi="宋体" w:cs="宋体"/>
                <w:color w:val="auto"/>
                <w:kern w:val="21"/>
                <w:sz w:val="22"/>
                <w:szCs w:val="22"/>
                <w:highlight w:val="none"/>
              </w:rPr>
              <w:t>分，须提供合同复印件并加盖</w:t>
            </w:r>
            <w:r>
              <w:rPr>
                <w:rFonts w:hint="eastAsia" w:ascii="宋体" w:hAnsi="宋体" w:cs="宋体"/>
                <w:color w:val="auto"/>
                <w:kern w:val="21"/>
                <w:sz w:val="22"/>
                <w:szCs w:val="22"/>
                <w:highlight w:val="none"/>
                <w:lang w:val="en-US" w:eastAsia="zh-CN"/>
              </w:rPr>
              <w:t>投标人</w:t>
            </w:r>
            <w:r>
              <w:rPr>
                <w:rFonts w:hint="eastAsia" w:ascii="宋体" w:hAnsi="宋体" w:cs="宋体"/>
                <w:color w:val="auto"/>
                <w:kern w:val="21"/>
                <w:sz w:val="22"/>
                <w:szCs w:val="22"/>
                <w:highlight w:val="none"/>
              </w:rPr>
              <w:t>公章，否则不得分。</w:t>
            </w:r>
            <w:r>
              <w:rPr>
                <w:rFonts w:hint="eastAsia" w:ascii="宋体" w:hAnsi="宋体" w:cs="宋体"/>
                <w:color w:val="auto"/>
                <w:kern w:val="21"/>
                <w:sz w:val="22"/>
                <w:szCs w:val="22"/>
                <w:highlight w:val="none"/>
                <w:lang w:eastAsia="zh-CN"/>
              </w:rPr>
              <w:t>（</w:t>
            </w:r>
            <w:r>
              <w:rPr>
                <w:rFonts w:hint="eastAsia" w:ascii="宋体" w:hAnsi="宋体" w:cs="宋体"/>
                <w:color w:val="auto"/>
                <w:kern w:val="21"/>
                <w:sz w:val="22"/>
                <w:szCs w:val="22"/>
                <w:highlight w:val="none"/>
                <w:lang w:val="en-US" w:eastAsia="zh-CN"/>
              </w:rPr>
              <w:t>与同一采购人签订的多份合同视为1个业绩</w:t>
            </w:r>
            <w:r>
              <w:rPr>
                <w:rFonts w:hint="eastAsia" w:ascii="宋体" w:hAnsi="宋体" w:cs="宋体"/>
                <w:color w:val="auto"/>
                <w:kern w:val="21"/>
                <w:sz w:val="22"/>
                <w:szCs w:val="22"/>
                <w:highlight w:val="none"/>
                <w:lang w:eastAsia="zh-CN"/>
              </w:rPr>
              <w:t>）</w:t>
            </w:r>
          </w:p>
        </w:tc>
        <w:tc>
          <w:tcPr>
            <w:tcW w:w="741" w:type="dxa"/>
            <w:noWrap w:val="0"/>
            <w:vAlign w:val="center"/>
          </w:tcPr>
          <w:p>
            <w:pPr>
              <w:spacing w:line="480" w:lineRule="exact"/>
              <w:jc w:val="center"/>
              <w:rPr>
                <w:rFonts w:hint="eastAsia" w:ascii="宋体" w:hAnsi="宋体" w:cs="宋体"/>
                <w:color w:val="auto"/>
                <w:kern w:val="21"/>
                <w:sz w:val="22"/>
                <w:szCs w:val="22"/>
                <w:highlight w:val="none"/>
              </w:rPr>
            </w:pPr>
            <w:r>
              <w:rPr>
                <w:rFonts w:hint="eastAsia" w:ascii="宋体" w:hAnsi="宋体" w:cs="宋体"/>
                <w:color w:val="auto"/>
                <w:kern w:val="21"/>
                <w:sz w:val="22"/>
                <w:szCs w:val="22"/>
                <w:highlight w:val="none"/>
                <w:lang w:val="en-US" w:eastAsia="zh-CN"/>
              </w:rPr>
              <w:t>3</w:t>
            </w:r>
            <w:r>
              <w:rPr>
                <w:rFonts w:hint="eastAsia" w:ascii="宋体" w:hAnsi="宋体" w:cs="宋体"/>
                <w:color w:val="auto"/>
                <w:kern w:val="21"/>
                <w:sz w:val="22"/>
                <w:szCs w:val="22"/>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37" w:type="dxa"/>
            <w:noWrap w:val="0"/>
            <w:vAlign w:val="center"/>
          </w:tcPr>
          <w:p>
            <w:pPr>
              <w:widowControl/>
              <w:spacing w:line="480" w:lineRule="exact"/>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7</w:t>
            </w:r>
          </w:p>
        </w:tc>
        <w:tc>
          <w:tcPr>
            <w:tcW w:w="2037" w:type="dxa"/>
            <w:noWrap w:val="0"/>
            <w:vAlign w:val="center"/>
          </w:tcPr>
          <w:p>
            <w:pPr>
              <w:spacing w:line="48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供应商需对本项目进行样片演示</w:t>
            </w:r>
          </w:p>
        </w:tc>
        <w:tc>
          <w:tcPr>
            <w:tcW w:w="6308" w:type="dxa"/>
            <w:noWrap w:val="0"/>
            <w:vAlign w:val="top"/>
          </w:tcPr>
          <w:p>
            <w:pPr>
              <w:spacing w:line="4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根据供应商提供的演示视频与主题的契合程度及视频质量效果进行综合评分：</w:t>
            </w:r>
          </w:p>
          <w:p>
            <w:pPr>
              <w:spacing w:line="4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1、演示视频的契合程度：0-</w:t>
            </w:r>
            <w:r>
              <w:rPr>
                <w:rFonts w:ascii="宋体" w:hAnsi="宋体" w:cs="宋体"/>
                <w:color w:val="auto"/>
                <w:sz w:val="22"/>
                <w:szCs w:val="22"/>
                <w:highlight w:val="none"/>
              </w:rPr>
              <w:t>4</w:t>
            </w:r>
            <w:r>
              <w:rPr>
                <w:rFonts w:hint="eastAsia" w:ascii="宋体" w:hAnsi="宋体" w:cs="宋体"/>
                <w:color w:val="auto"/>
                <w:sz w:val="22"/>
                <w:szCs w:val="22"/>
                <w:highlight w:val="none"/>
              </w:rPr>
              <w:t>分</w:t>
            </w:r>
          </w:p>
          <w:p>
            <w:pPr>
              <w:spacing w:line="48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2、演示视频的制作水平：0-</w:t>
            </w:r>
            <w:r>
              <w:rPr>
                <w:rFonts w:ascii="宋体" w:hAnsi="宋体" w:cs="宋体"/>
                <w:color w:val="auto"/>
                <w:sz w:val="22"/>
                <w:szCs w:val="22"/>
                <w:highlight w:val="none"/>
              </w:rPr>
              <w:t>4</w:t>
            </w:r>
            <w:r>
              <w:rPr>
                <w:rFonts w:hint="eastAsia" w:ascii="宋体" w:hAnsi="宋体" w:cs="宋体"/>
                <w:color w:val="auto"/>
                <w:sz w:val="22"/>
                <w:szCs w:val="22"/>
                <w:highlight w:val="none"/>
              </w:rPr>
              <w:t>分</w:t>
            </w:r>
          </w:p>
        </w:tc>
        <w:tc>
          <w:tcPr>
            <w:tcW w:w="741" w:type="dxa"/>
            <w:noWrap w:val="0"/>
            <w:vAlign w:val="center"/>
          </w:tcPr>
          <w:p>
            <w:pPr>
              <w:spacing w:line="480" w:lineRule="exact"/>
              <w:jc w:val="center"/>
              <w:rPr>
                <w:rFonts w:hint="eastAsia" w:ascii="宋体" w:hAnsi="宋体" w:cs="宋体"/>
                <w:color w:val="auto"/>
                <w:sz w:val="22"/>
                <w:szCs w:val="22"/>
                <w:highlight w:val="none"/>
              </w:rPr>
            </w:pPr>
            <w:r>
              <w:rPr>
                <w:rFonts w:ascii="宋体" w:hAnsi="宋体" w:cs="宋体"/>
                <w:color w:val="auto"/>
                <w:sz w:val="22"/>
                <w:szCs w:val="22"/>
                <w:highlight w:val="none"/>
              </w:rPr>
              <w:t>8</w:t>
            </w:r>
            <w:r>
              <w:rPr>
                <w:rFonts w:hint="eastAsia" w:ascii="宋体" w:hAnsi="宋体" w:cs="宋体"/>
                <w:color w:val="auto"/>
                <w:sz w:val="22"/>
                <w:szCs w:val="22"/>
                <w:highlight w:val="none"/>
              </w:rPr>
              <w:t>分</w:t>
            </w:r>
          </w:p>
        </w:tc>
      </w:tr>
    </w:tbl>
    <w:p>
      <w:pPr>
        <w:pStyle w:val="8"/>
        <w:ind w:left="0" w:leftChars="0" w:firstLine="0" w:firstLineChars="0"/>
        <w:rPr>
          <w:rFonts w:hint="eastAsia"/>
          <w:color w:val="auto"/>
          <w:highlight w:val="none"/>
          <w:lang w:val="en-US" w:eastAsia="zh-CN"/>
        </w:rPr>
      </w:pPr>
    </w:p>
    <w:p>
      <w:pPr>
        <w:numPr>
          <w:ilvl w:val="0"/>
          <w:numId w:val="2"/>
        </w:numP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价格</w:t>
      </w:r>
      <w:r>
        <w:rPr>
          <w:rFonts w:hint="eastAsia" w:ascii="宋体" w:hAnsi="宋体" w:eastAsia="宋体" w:cs="宋体"/>
          <w:b/>
          <w:bCs/>
          <w:color w:val="auto"/>
          <w:sz w:val="22"/>
          <w:szCs w:val="22"/>
          <w:highlight w:val="none"/>
        </w:rPr>
        <w:t>评分：</w:t>
      </w:r>
      <w:r>
        <w:rPr>
          <w:rFonts w:hint="eastAsia" w:ascii="宋体" w:hAnsi="宋体" w:eastAsia="宋体" w:cs="宋体"/>
          <w:b/>
          <w:bCs/>
          <w:color w:val="auto"/>
          <w:sz w:val="22"/>
          <w:szCs w:val="22"/>
          <w:highlight w:val="none"/>
          <w:lang w:val="en-US" w:eastAsia="zh-CN"/>
        </w:rPr>
        <w:t>满分30</w:t>
      </w:r>
      <w:r>
        <w:rPr>
          <w:rFonts w:hint="eastAsia" w:ascii="宋体" w:hAnsi="宋体" w:eastAsia="宋体" w:cs="宋体"/>
          <w:b/>
          <w:bCs/>
          <w:color w:val="auto"/>
          <w:sz w:val="22"/>
          <w:szCs w:val="22"/>
          <w:highlight w:val="none"/>
        </w:rPr>
        <w:t>分</w:t>
      </w:r>
    </w:p>
    <w:p>
      <w:pPr>
        <w:tabs>
          <w:tab w:val="left" w:pos="774"/>
        </w:tabs>
        <w:autoSpaceDE w:val="0"/>
        <w:autoSpaceDN w:val="0"/>
        <w:spacing w:before="240" w:line="276" w:lineRule="auto"/>
        <w:ind w:left="774" w:hanging="576"/>
        <w:jc w:val="center"/>
        <w:outlineLvl w:val="2"/>
        <w:rPr>
          <w:rFonts w:hint="eastAsia" w:ascii="宋体" w:hAnsi="宋体" w:eastAsia="宋体" w:cs="宋体"/>
          <w:b/>
          <w:color w:val="auto"/>
          <w:sz w:val="28"/>
          <w:szCs w:val="28"/>
          <w:highlight w:val="none"/>
          <w:lang w:val="zh-CN"/>
        </w:rPr>
      </w:pPr>
      <w:bookmarkStart w:id="1" w:name="_Toc8618"/>
      <w:bookmarkStart w:id="2" w:name="_Toc11964"/>
      <w:r>
        <w:rPr>
          <w:rFonts w:hint="eastAsia" w:ascii="宋体" w:hAnsi="宋体" w:eastAsia="宋体" w:cs="宋体"/>
          <w:b/>
          <w:color w:val="auto"/>
          <w:sz w:val="28"/>
          <w:szCs w:val="28"/>
          <w:highlight w:val="none"/>
          <w:lang w:val="zh-CN"/>
        </w:rPr>
        <w:t>报价一览表</w:t>
      </w:r>
      <w:bookmarkEnd w:id="1"/>
      <w:bookmarkEnd w:id="2"/>
    </w:p>
    <w:p>
      <w:pPr>
        <w:spacing w:line="360" w:lineRule="auto"/>
        <w:rPr>
          <w:rFonts w:hint="eastAsia" w:ascii="宋体" w:hAnsi="宋体" w:eastAsia="宋体" w:cs="宋体"/>
          <w:b w:val="0"/>
          <w:bCs w:val="0"/>
          <w:color w:val="auto"/>
          <w:sz w:val="22"/>
          <w:szCs w:val="18"/>
          <w:highlight w:val="none"/>
        </w:rPr>
      </w:pP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auto"/>
          <w:sz w:val="24"/>
          <w:szCs w:val="24"/>
          <w:highlight w:val="none"/>
          <w:lang w:val="en-US" w:eastAsia="zh-Hans"/>
        </w:rPr>
        <w:t>温州市中医院勤廉大家谈</w:t>
      </w:r>
      <w:r>
        <w:rPr>
          <w:rFonts w:hint="eastAsia" w:ascii="宋体" w:hAnsi="宋体" w:cs="宋体"/>
          <w:b w:val="0"/>
          <w:bCs w:val="0"/>
          <w:color w:val="auto"/>
          <w:sz w:val="24"/>
          <w:szCs w:val="24"/>
          <w:highlight w:val="none"/>
          <w:lang w:val="en-US" w:eastAsia="zh-CN"/>
        </w:rPr>
        <w:t>视频</w:t>
      </w:r>
      <w:r>
        <w:rPr>
          <w:rFonts w:hint="eastAsia" w:ascii="宋体" w:hAnsi="宋体" w:eastAsia="宋体" w:cs="宋体"/>
          <w:b w:val="0"/>
          <w:bCs w:val="0"/>
          <w:color w:val="auto"/>
          <w:sz w:val="24"/>
          <w:szCs w:val="24"/>
          <w:highlight w:val="none"/>
          <w:lang w:val="en-US" w:eastAsia="zh-Hans"/>
        </w:rPr>
        <w:t>、清廉专题微视频</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2"/>
          <w:szCs w:val="18"/>
          <w:highlight w:val="none"/>
        </w:rPr>
        <w:t xml:space="preserve">                            </w:t>
      </w:r>
    </w:p>
    <w:tbl>
      <w:tblPr>
        <w:tblStyle w:val="6"/>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3540"/>
        <w:gridCol w:w="310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35"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540"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3105"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人民币元</w:t>
            </w:r>
            <w:r>
              <w:rPr>
                <w:rFonts w:hint="eastAsia" w:ascii="宋体" w:hAnsi="宋体" w:eastAsia="宋体" w:cs="宋体"/>
                <w:bCs/>
                <w:color w:val="auto"/>
                <w:sz w:val="22"/>
                <w:szCs w:val="22"/>
                <w:highlight w:val="none"/>
                <w:lang w:eastAsia="zh-CN"/>
              </w:rPr>
              <w:t>）</w:t>
            </w:r>
          </w:p>
        </w:tc>
        <w:tc>
          <w:tcPr>
            <w:tcW w:w="1323"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535" w:type="dxa"/>
            <w:vMerge w:val="restart"/>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3540" w:type="dxa"/>
            <w:vMerge w:val="restart"/>
            <w:noWrap w:val="0"/>
            <w:vAlign w:val="center"/>
          </w:tcPr>
          <w:p>
            <w:pPr>
              <w:spacing w:line="360" w:lineRule="auto"/>
              <w:jc w:val="center"/>
              <w:rPr>
                <w:rFonts w:hint="eastAsia" w:ascii="宋体" w:hAnsi="宋体" w:eastAsia="宋体" w:cs="宋体"/>
                <w:color w:val="auto"/>
                <w:sz w:val="22"/>
                <w:highlight w:val="none"/>
              </w:rPr>
            </w:pPr>
            <w:r>
              <w:rPr>
                <w:rFonts w:hint="eastAsia" w:ascii="宋体" w:hAnsi="宋体" w:eastAsia="宋体" w:cs="宋体"/>
                <w:color w:val="auto"/>
                <w:sz w:val="21"/>
                <w:szCs w:val="21"/>
                <w:highlight w:val="none"/>
                <w:lang w:val="en-US" w:eastAsia="zh-CN"/>
              </w:rPr>
              <w:t>勤廉大家谈</w:t>
            </w:r>
            <w:r>
              <w:rPr>
                <w:rFonts w:hint="eastAsia" w:ascii="宋体" w:hAnsi="宋体" w:cs="宋体"/>
                <w:color w:val="auto"/>
                <w:sz w:val="21"/>
                <w:szCs w:val="21"/>
                <w:highlight w:val="none"/>
                <w:lang w:val="en-US" w:eastAsia="zh-CN"/>
              </w:rPr>
              <w:t>视频</w:t>
            </w:r>
            <w:r>
              <w:rPr>
                <w:rFonts w:hint="eastAsia" w:ascii="宋体" w:hAnsi="宋体" w:eastAsia="宋体" w:cs="宋体"/>
                <w:color w:val="auto"/>
                <w:sz w:val="21"/>
                <w:szCs w:val="21"/>
                <w:highlight w:val="none"/>
                <w:lang w:val="en-US" w:eastAsia="zh-CN"/>
              </w:rPr>
              <w:t>、清廉专题微视频</w:t>
            </w:r>
          </w:p>
        </w:tc>
        <w:tc>
          <w:tcPr>
            <w:tcW w:w="310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323" w:type="dxa"/>
            <w:vMerge w:val="restart"/>
            <w:noWrap w:val="0"/>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535"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540"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10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323" w:type="dxa"/>
            <w:vMerge w:val="continue"/>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ind w:firstLine="541" w:firstLineChars="245"/>
        <w:rPr>
          <w:rFonts w:hint="eastAsia" w:ascii="宋体" w:hAnsi="宋体" w:eastAsia="宋体" w:cs="宋体"/>
          <w:b/>
          <w:color w:val="auto"/>
          <w:sz w:val="22"/>
          <w:highlight w:val="none"/>
        </w:rPr>
      </w:pPr>
    </w:p>
    <w:p>
      <w:pPr>
        <w:spacing w:line="24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、全部报价均为税后价。</w:t>
      </w:r>
    </w:p>
    <w:p>
      <w:pPr>
        <w:pStyle w:val="4"/>
        <w:spacing w:line="360" w:lineRule="auto"/>
        <w:ind w:firstLine="442" w:firstLineChars="200"/>
        <w:rPr>
          <w:rFonts w:hint="eastAsia"/>
          <w:color w:val="auto"/>
          <w:sz w:val="22"/>
          <w:szCs w:val="22"/>
          <w:highlight w:val="none"/>
        </w:rPr>
      </w:pPr>
      <w:r>
        <w:rPr>
          <w:rFonts w:hint="eastAsia"/>
          <w:color w:val="auto"/>
          <w:sz w:val="22"/>
          <w:szCs w:val="22"/>
          <w:highlight w:val="none"/>
          <w:lang w:val="en-US" w:eastAsia="zh-CN"/>
        </w:rPr>
        <w:t>2、</w:t>
      </w:r>
      <w:r>
        <w:rPr>
          <w:rFonts w:hint="eastAsia"/>
          <w:color w:val="auto"/>
          <w:sz w:val="22"/>
          <w:szCs w:val="22"/>
          <w:highlight w:val="none"/>
        </w:rPr>
        <w:t>投标总价应包括本项目</w:t>
      </w:r>
      <w:r>
        <w:rPr>
          <w:rFonts w:hint="eastAsia"/>
          <w:color w:val="auto"/>
          <w:sz w:val="22"/>
          <w:szCs w:val="22"/>
          <w:highlight w:val="none"/>
          <w:lang w:val="en-US" w:eastAsia="zh-CN"/>
        </w:rPr>
        <w:t>整体完成</w:t>
      </w:r>
      <w:r>
        <w:rPr>
          <w:rFonts w:hint="eastAsia"/>
          <w:color w:val="auto"/>
          <w:sz w:val="22"/>
          <w:szCs w:val="22"/>
          <w:highlight w:val="none"/>
        </w:rPr>
        <w:t>所需的一切内外景、场景布置、道具、服饰、化妆</w:t>
      </w:r>
      <w:r>
        <w:rPr>
          <w:rFonts w:hint="eastAsia"/>
          <w:color w:val="auto"/>
          <w:sz w:val="22"/>
          <w:szCs w:val="22"/>
          <w:highlight w:val="none"/>
          <w:lang w:eastAsia="zh-CN"/>
        </w:rPr>
        <w:t>、</w:t>
      </w:r>
      <w:r>
        <w:rPr>
          <w:rFonts w:hint="eastAsia"/>
          <w:color w:val="auto"/>
          <w:sz w:val="22"/>
          <w:szCs w:val="22"/>
          <w:highlight w:val="none"/>
        </w:rPr>
        <w:t>设备、材料、软硬件、人工、工具、保险、交通、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pPr>
        <w:pStyle w:val="4"/>
        <w:spacing w:line="360" w:lineRule="auto"/>
        <w:ind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、不提供此表格将被视为没有实质性响应文件</w:t>
      </w:r>
      <w:r>
        <w:rPr>
          <w:rFonts w:hint="eastAsia" w:ascii="宋体" w:hAnsi="宋体" w:eastAsia="宋体" w:cs="宋体"/>
          <w:b/>
          <w:color w:val="auto"/>
          <w:sz w:val="22"/>
          <w:highlight w:val="none"/>
          <w:lang w:eastAsia="zh-CN"/>
        </w:rPr>
        <w:t>。</w:t>
      </w:r>
    </w:p>
    <w:p>
      <w:pPr>
        <w:ind w:firstLine="442" w:firstLineChars="200"/>
        <w:rPr>
          <w:rFonts w:hint="default"/>
          <w:color w:val="auto"/>
          <w:highlight w:val="none"/>
          <w:lang w:val="en-US" w:eastAsia="zh-CN"/>
        </w:rPr>
      </w:pPr>
      <w:r>
        <w:rPr>
          <w:rFonts w:hint="eastAsia" w:ascii="宋体" w:hAnsi="宋体" w:cs="宋体"/>
          <w:b/>
          <w:color w:val="auto"/>
          <w:sz w:val="22"/>
          <w:highlight w:val="none"/>
          <w:lang w:val="en-US" w:eastAsia="zh-CN"/>
        </w:rPr>
        <w:t>4、报价超过预算金额按无效标处理。</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pStyle w:val="2"/>
        <w:rPr>
          <w:rFonts w:hint="eastAsia" w:ascii="宋体" w:hAnsi="宋体" w:eastAsia="宋体" w:cs="宋体"/>
          <w:color w:val="auto"/>
          <w:sz w:val="22"/>
          <w:szCs w:val="22"/>
          <w:highlight w:val="none"/>
        </w:rPr>
      </w:pPr>
    </w:p>
    <w:p>
      <w:pPr>
        <w:pStyle w:val="2"/>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adjustRightInd w:val="0"/>
        <w:snapToGrid w:val="0"/>
        <w:spacing w:line="360" w:lineRule="auto"/>
        <w:jc w:val="left"/>
        <w:rPr>
          <w:rFonts w:hint="eastAsia" w:ascii="宋体" w:hAnsi="宋体"/>
          <w:color w:val="auto"/>
          <w:szCs w:val="21"/>
          <w:highlight w:val="none"/>
        </w:rPr>
      </w:pPr>
    </w:p>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69252"/>
    <w:multiLevelType w:val="singleLevel"/>
    <w:tmpl w:val="E7F69252"/>
    <w:lvl w:ilvl="0" w:tentative="0">
      <w:start w:val="2"/>
      <w:numFmt w:val="decimal"/>
      <w:suff w:val="nothing"/>
      <w:lvlText w:val="%1、"/>
      <w:lvlJc w:val="left"/>
    </w:lvl>
  </w:abstractNum>
  <w:abstractNum w:abstractNumId="1">
    <w:nsid w:val="2BDC60CE"/>
    <w:multiLevelType w:val="singleLevel"/>
    <w:tmpl w:val="2BDC60C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M2I0ZDUwMmVjNzJkYmUxYzgyNTRhNTkzMTAwNGIifQ=="/>
  </w:docVars>
  <w:rsids>
    <w:rsidRoot w:val="7D567CE5"/>
    <w:rsid w:val="125B7BCE"/>
    <w:rsid w:val="587B2702"/>
    <w:rsid w:val="6679790B"/>
    <w:rsid w:val="7D56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cs="宋体"/>
      <w:sz w:val="21"/>
      <w:szCs w:val="21"/>
    </w:rPr>
  </w:style>
  <w:style w:type="paragraph" w:styleId="3">
    <w:name w:val="Body Text Indent"/>
    <w:basedOn w:val="1"/>
    <w:next w:val="1"/>
    <w:qFormat/>
    <w:uiPriority w:val="0"/>
    <w:pPr>
      <w:spacing w:line="200" w:lineRule="exact"/>
      <w:ind w:firstLine="301"/>
    </w:pPr>
    <w:rPr>
      <w:rFonts w:ascii="宋体" w:hAnsi="Courier New"/>
      <w:spacing w:val="-4"/>
      <w:sz w:val="18"/>
      <w:szCs w:val="20"/>
      <w14:ligatures w14:val="none"/>
    </w:rPr>
  </w:style>
  <w:style w:type="paragraph" w:styleId="5">
    <w:name w:val="toc 1"/>
    <w:basedOn w:val="1"/>
    <w:next w:val="1"/>
    <w:qFormat/>
    <w:uiPriority w:val="39"/>
    <w:pPr>
      <w:spacing w:before="120" w:after="120" w:line="360" w:lineRule="auto"/>
      <w:jc w:val="left"/>
    </w:pPr>
    <w:rPr>
      <w:b/>
      <w:bCs/>
      <w:caps/>
      <w:sz w:val="24"/>
      <w:szCs w:val="20"/>
    </w:rPr>
  </w:style>
  <w:style w:type="paragraph" w:customStyle="1" w:styleId="8">
    <w:name w:val="首行缩进"/>
    <w:basedOn w:val="1"/>
    <w:qFormat/>
    <w:uiPriority w:val="0"/>
    <w:pPr>
      <w:widowControl/>
      <w:tabs>
        <w:tab w:val="left" w:pos="822"/>
        <w:tab w:val="left" w:pos="1296"/>
      </w:tabs>
      <w:snapToGrid w:val="0"/>
      <w:spacing w:before="40" w:beforeLines="0" w:after="40" w:afterLines="0" w:line="300" w:lineRule="atLeast"/>
      <w:ind w:left="1296" w:hanging="1296"/>
    </w:pPr>
    <w:rPr>
      <w:rFonts w:ascii="Arial" w:hAnsi="Arial"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6085</Words>
  <Characters>6200</Characters>
  <Lines>0</Lines>
  <Paragraphs>0</Paragraphs>
  <TotalTime>10</TotalTime>
  <ScaleCrop>false</ScaleCrop>
  <LinksUpToDate>false</LinksUpToDate>
  <CharactersWithSpaces>6272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2023-07-27T09:02:00Z</dcterms:created>
  <dc:creator>WPS_460412069</dc:creator>
  <cp:lastModifiedBy>天津卫</cp:lastModifiedBy>
  <dcterms:modified xsi:type="dcterms:W3CDTF">2023-07-27T14:37:56Z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CA2D06D747054E4BBF663BD2E93F33F6_11</vt:lpwstr>
  </property>
</Properties>
</file>