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clear" w:pos="840"/>
        </w:tabs>
        <w:adjustRightInd/>
        <w:snapToGrid/>
        <w:spacing w:before="120" w:after="120" w:line="300" w:lineRule="exact"/>
        <w:jc w:val="center"/>
        <w:rPr>
          <w:rFonts w:hint="eastAsia" w:ascii="新宋体" w:hAnsi="新宋体" w:eastAsia="新宋体"/>
          <w:color w:val="000000"/>
          <w:sz w:val="36"/>
          <w:szCs w:val="36"/>
          <w:lang w:val="en-US" w:eastAsia="zh-CN"/>
        </w:rPr>
      </w:pPr>
      <w:bookmarkStart w:id="0" w:name="_Toc451522337"/>
      <w:r>
        <w:rPr>
          <w:rFonts w:hint="eastAsia" w:ascii="新宋体" w:hAnsi="新宋体" w:eastAsia="新宋体"/>
          <w:color w:val="000000"/>
          <w:sz w:val="36"/>
          <w:szCs w:val="36"/>
          <w:lang w:val="en-US" w:eastAsia="zh-CN"/>
        </w:rPr>
        <w:t>温州市中医院人事管理软件扩容</w:t>
      </w:r>
      <w:r>
        <w:rPr>
          <w:rFonts w:ascii="新宋体" w:hAnsi="新宋体" w:eastAsia="新宋体"/>
          <w:color w:val="000000"/>
          <w:sz w:val="36"/>
          <w:szCs w:val="36"/>
        </w:rPr>
        <w:t>采购</w:t>
      </w:r>
      <w:bookmarkEnd w:id="0"/>
      <w:r>
        <w:rPr>
          <w:rFonts w:hint="eastAsia" w:ascii="新宋体" w:hAnsi="新宋体" w:eastAsia="新宋体"/>
          <w:color w:val="000000"/>
          <w:sz w:val="36"/>
          <w:szCs w:val="36"/>
          <w:lang w:val="en-US" w:eastAsia="zh-CN"/>
        </w:rPr>
        <w:t>文件</w:t>
      </w:r>
    </w:p>
    <w:p>
      <w:pPr>
        <w:rPr>
          <w:rFonts w:hint="eastAsia"/>
          <w:b/>
          <w:bCs/>
          <w:sz w:val="28"/>
          <w:szCs w:val="28"/>
        </w:rPr>
      </w:pPr>
      <w:r>
        <w:rPr>
          <w:rFonts w:hint="eastAsia"/>
          <w:b/>
          <w:bCs/>
          <w:sz w:val="28"/>
          <w:szCs w:val="28"/>
        </w:rPr>
        <w:t>一、项目概况</w:t>
      </w:r>
    </w:p>
    <w:p>
      <w:pPr>
        <w:spacing w:line="360" w:lineRule="auto"/>
        <w:ind w:firstLine="480" w:firstLineChars="200"/>
        <w:rPr>
          <w:rFonts w:hint="eastAsia" w:ascii="新宋体" w:hAnsi="新宋体" w:eastAsia="新宋体"/>
          <w:color w:val="000000"/>
          <w:sz w:val="36"/>
          <w:szCs w:val="36"/>
          <w:lang w:val="en-US" w:eastAsia="zh-CN"/>
        </w:rPr>
      </w:pPr>
      <w:r>
        <w:rPr>
          <w:rFonts w:hint="eastAsia" w:ascii="宋体" w:hAnsi="宋体" w:eastAsia="宋体" w:cs="宋体"/>
          <w:sz w:val="24"/>
          <w:szCs w:val="24"/>
          <w:lang w:val="en-US" w:eastAsia="zh-CN"/>
        </w:rPr>
        <w:t>项目名称</w:t>
      </w:r>
      <w:r>
        <w:rPr>
          <w:rFonts w:hint="eastAsia" w:ascii="宋体" w:hAnsi="宋体" w:eastAsia="宋体" w:cs="宋体"/>
          <w:sz w:val="24"/>
          <w:szCs w:val="24"/>
        </w:rPr>
        <w:t>：</w:t>
      </w:r>
      <w:r>
        <w:rPr>
          <w:rFonts w:hint="eastAsia" w:ascii="新宋体" w:hAnsi="新宋体" w:eastAsia="新宋体"/>
          <w:color w:val="000000"/>
          <w:sz w:val="24"/>
          <w:szCs w:val="24"/>
          <w:lang w:val="en-US" w:eastAsia="zh-CN"/>
        </w:rPr>
        <w:t>温州市中医院人事管理软件扩容</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采购方式：公开遴选（非政府采购）</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预算金额：</w:t>
      </w:r>
      <w:r>
        <w:rPr>
          <w:rFonts w:hint="eastAsia" w:ascii="宋体" w:hAnsi="宋体" w:cs="宋体"/>
          <w:sz w:val="24"/>
          <w:szCs w:val="24"/>
          <w:lang w:val="en-US" w:eastAsia="zh-CN"/>
        </w:rPr>
        <w:t>25000</w:t>
      </w:r>
      <w:r>
        <w:rPr>
          <w:rFonts w:hint="eastAsia" w:ascii="宋体" w:hAnsi="宋体" w:eastAsia="宋体" w:cs="宋体"/>
          <w:sz w:val="24"/>
          <w:szCs w:val="24"/>
          <w:lang w:val="en-US" w:eastAsia="zh-CN"/>
        </w:rPr>
        <w:t>元</w:t>
      </w:r>
    </w:p>
    <w:p>
      <w:pPr>
        <w:numPr>
          <w:ilvl w:val="0"/>
          <w:numId w:val="1"/>
        </w:numPr>
        <w:spacing w:line="360" w:lineRule="auto"/>
        <w:rPr>
          <w:rFonts w:hint="eastAsia" w:ascii="宋体" w:hAnsi="宋体"/>
          <w:b/>
          <w:bCs/>
          <w:color w:val="000000"/>
          <w:sz w:val="28"/>
          <w:szCs w:val="28"/>
          <w:lang w:val="en-US" w:eastAsia="zh-CN"/>
        </w:rPr>
      </w:pPr>
      <w:r>
        <w:rPr>
          <w:rFonts w:hint="eastAsia" w:ascii="宋体" w:hAnsi="宋体"/>
          <w:b/>
          <w:bCs/>
          <w:color w:val="000000"/>
          <w:sz w:val="28"/>
          <w:szCs w:val="28"/>
          <w:lang w:val="en-US" w:eastAsia="zh-CN"/>
        </w:rPr>
        <w:t>项目背景</w:t>
      </w:r>
    </w:p>
    <w:p>
      <w:pPr>
        <w:pStyle w:val="6"/>
        <w:rPr>
          <w:rFonts w:hint="eastAsia"/>
          <w:lang w:val="en-US"/>
        </w:rPr>
      </w:pPr>
      <w:r>
        <w:rPr>
          <w:rStyle w:val="25"/>
          <w:rFonts w:hint="eastAsia" w:asciiTheme="minorEastAsia" w:hAnsiTheme="minorEastAsia" w:eastAsiaTheme="minorEastAsia"/>
          <w:b w:val="0"/>
          <w:bCs/>
          <w:sz w:val="24"/>
          <w:szCs w:val="24"/>
        </w:rPr>
        <w:t>原有人事管理系统使用多年，已经形成良好的应用习惯，鉴于目前医院对人事各档案管理的需求，需要进行功能扩展。</w:t>
      </w:r>
    </w:p>
    <w:p>
      <w:pPr>
        <w:spacing w:line="360" w:lineRule="auto"/>
        <w:rPr>
          <w:rFonts w:hint="default" w:ascii="宋体" w:hAnsi="宋体" w:eastAsia="宋体"/>
          <w:b/>
          <w:bCs/>
          <w:color w:val="000000"/>
          <w:sz w:val="28"/>
          <w:szCs w:val="28"/>
          <w:lang w:val="en-US" w:eastAsia="zh-CN"/>
        </w:rPr>
      </w:pPr>
      <w:r>
        <w:rPr>
          <w:rFonts w:hint="eastAsia" w:ascii="宋体" w:hAnsi="宋体"/>
          <w:b/>
          <w:bCs/>
          <w:color w:val="000000"/>
          <w:sz w:val="28"/>
          <w:szCs w:val="28"/>
          <w:lang w:val="en-US" w:eastAsia="zh-CN"/>
        </w:rPr>
        <w:t>三</w:t>
      </w:r>
      <w:r>
        <w:rPr>
          <w:rFonts w:hint="eastAsia" w:ascii="宋体" w:hAnsi="宋体"/>
          <w:b/>
          <w:bCs/>
          <w:color w:val="000000"/>
          <w:sz w:val="28"/>
          <w:szCs w:val="28"/>
        </w:rPr>
        <w:t>、</w:t>
      </w:r>
      <w:r>
        <w:rPr>
          <w:rFonts w:hint="eastAsia" w:ascii="宋体" w:hAnsi="宋体"/>
          <w:b/>
          <w:bCs/>
          <w:color w:val="000000"/>
          <w:sz w:val="28"/>
          <w:szCs w:val="28"/>
          <w:lang w:val="en-US" w:eastAsia="zh-CN"/>
        </w:rPr>
        <w:t>付款方式</w:t>
      </w:r>
    </w:p>
    <w:p>
      <w:pPr>
        <w:spacing w:line="360" w:lineRule="auto"/>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项目</w:t>
      </w:r>
      <w:r>
        <w:rPr>
          <w:rFonts w:hint="eastAsia" w:ascii="宋体" w:hAnsi="宋体" w:eastAsia="宋体" w:cs="宋体"/>
          <w:b w:val="0"/>
          <w:bCs w:val="0"/>
          <w:color w:val="auto"/>
          <w:sz w:val="24"/>
          <w:szCs w:val="24"/>
          <w:highlight w:val="none"/>
          <w:lang w:val="en-US" w:eastAsia="zh-CN"/>
        </w:rPr>
        <w:t>所有</w:t>
      </w:r>
      <w:r>
        <w:rPr>
          <w:rFonts w:hint="eastAsia" w:ascii="宋体" w:hAnsi="宋体" w:cs="宋体"/>
          <w:b w:val="0"/>
          <w:bCs w:val="0"/>
          <w:color w:val="auto"/>
          <w:sz w:val="24"/>
          <w:szCs w:val="24"/>
          <w:highlight w:val="none"/>
          <w:lang w:val="en-US" w:eastAsia="zh-CN"/>
        </w:rPr>
        <w:t>内容到货、</w:t>
      </w:r>
      <w:r>
        <w:rPr>
          <w:rFonts w:hint="eastAsia" w:ascii="宋体" w:hAnsi="宋体" w:eastAsia="宋体" w:cs="宋体"/>
          <w:b w:val="0"/>
          <w:bCs w:val="0"/>
          <w:color w:val="auto"/>
          <w:sz w:val="24"/>
          <w:szCs w:val="24"/>
          <w:highlight w:val="none"/>
          <w:lang w:val="en-US" w:eastAsia="zh-CN"/>
        </w:rPr>
        <w:t>安装、调试完毕，通过最终验收合格后</w:t>
      </w:r>
      <w:r>
        <w:rPr>
          <w:rFonts w:hint="eastAsia" w:ascii="宋体" w:hAnsi="宋体" w:cs="宋体"/>
          <w:b w:val="0"/>
          <w:bCs w:val="0"/>
          <w:color w:val="auto"/>
          <w:sz w:val="24"/>
          <w:szCs w:val="24"/>
          <w:highlight w:val="none"/>
          <w:lang w:val="en-US" w:eastAsia="zh-CN"/>
        </w:rPr>
        <w:t>，采购人在收到发票后向中标人一次性支付全部合同价款。</w:t>
      </w:r>
    </w:p>
    <w:p>
      <w:pPr>
        <w:spacing w:line="360" w:lineRule="auto"/>
        <w:rPr>
          <w:rFonts w:hint="default" w:ascii="宋体" w:hAnsi="宋体" w:eastAsia="宋体"/>
          <w:b/>
          <w:bCs/>
          <w:color w:val="000000"/>
          <w:sz w:val="28"/>
          <w:szCs w:val="28"/>
          <w:lang w:val="en-US" w:eastAsia="zh-CN"/>
        </w:rPr>
      </w:pPr>
      <w:r>
        <w:rPr>
          <w:rFonts w:hint="eastAsia" w:ascii="宋体" w:hAnsi="宋体" w:cs="宋体"/>
          <w:color w:val="auto"/>
          <w:sz w:val="28"/>
          <w:szCs w:val="28"/>
          <w:highlight w:val="none"/>
          <w:lang w:val="en-US" w:eastAsia="zh-CN"/>
        </w:rPr>
        <w:t>四</w:t>
      </w:r>
      <w:r>
        <w:rPr>
          <w:rFonts w:hint="eastAsia" w:ascii="宋体" w:hAnsi="宋体"/>
          <w:b/>
          <w:bCs/>
          <w:color w:val="000000"/>
          <w:sz w:val="28"/>
          <w:szCs w:val="28"/>
        </w:rPr>
        <w:t>、</w:t>
      </w:r>
      <w:r>
        <w:rPr>
          <w:rFonts w:hint="eastAsia" w:ascii="宋体" w:hAnsi="宋体"/>
          <w:b/>
          <w:bCs/>
          <w:color w:val="000000"/>
          <w:sz w:val="28"/>
          <w:szCs w:val="28"/>
          <w:lang w:val="en-US" w:eastAsia="zh-CN"/>
        </w:rPr>
        <w:t>项目完成时间</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合同签订后</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3</w:t>
      </w:r>
      <w:r>
        <w:rPr>
          <w:rFonts w:hint="eastAsia" w:ascii="宋体" w:hAnsi="宋体" w:cs="宋体"/>
          <w:b/>
          <w:bCs/>
          <w:color w:val="0000FF"/>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个月</w:t>
      </w:r>
      <w:r>
        <w:rPr>
          <w:rFonts w:hint="eastAsia" w:ascii="宋体" w:hAnsi="宋体" w:eastAsia="宋体" w:cs="宋体"/>
          <w:color w:val="auto"/>
          <w:sz w:val="24"/>
          <w:szCs w:val="24"/>
          <w:highlight w:val="none"/>
          <w:lang w:val="en-US" w:eastAsia="zh-CN"/>
        </w:rPr>
        <w:t>内完成</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的</w:t>
      </w:r>
      <w:r>
        <w:rPr>
          <w:rFonts w:hint="eastAsia" w:ascii="宋体" w:hAnsi="宋体" w:cs="宋体"/>
          <w:color w:val="auto"/>
          <w:sz w:val="24"/>
          <w:szCs w:val="24"/>
          <w:highlight w:val="none"/>
          <w:lang w:val="en-US" w:eastAsia="zh-CN"/>
        </w:rPr>
        <w:t>并通过</w:t>
      </w:r>
      <w:r>
        <w:rPr>
          <w:rFonts w:hint="eastAsia" w:ascii="宋体" w:hAnsi="宋体" w:eastAsia="宋体" w:cs="宋体"/>
          <w:color w:val="auto"/>
          <w:sz w:val="24"/>
          <w:szCs w:val="24"/>
          <w:highlight w:val="none"/>
          <w:lang w:val="en-US" w:eastAsia="zh-CN"/>
        </w:rPr>
        <w:t>最终验收合格</w:t>
      </w:r>
      <w:r>
        <w:rPr>
          <w:rFonts w:hint="eastAsia" w:ascii="宋体" w:hAnsi="宋体" w:cs="宋体"/>
          <w:color w:val="auto"/>
          <w:sz w:val="24"/>
          <w:szCs w:val="24"/>
          <w:highlight w:val="none"/>
          <w:lang w:val="en-US" w:eastAsia="zh-CN"/>
        </w:rPr>
        <w:t>交付采购人使用</w:t>
      </w:r>
      <w:r>
        <w:rPr>
          <w:rFonts w:hint="eastAsia" w:ascii="宋体" w:hAnsi="宋体" w:eastAsia="宋体" w:cs="宋体"/>
          <w:color w:val="auto"/>
          <w:sz w:val="24"/>
          <w:szCs w:val="24"/>
          <w:highlight w:val="none"/>
          <w:lang w:val="en-US" w:eastAsia="zh-CN"/>
        </w:rPr>
        <w:t>。</w:t>
      </w:r>
    </w:p>
    <w:p>
      <w:pPr>
        <w:pStyle w:val="12"/>
        <w:numPr>
          <w:ilvl w:val="0"/>
          <w:numId w:val="0"/>
        </w:numP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五、</w:t>
      </w:r>
      <w:r>
        <w:rPr>
          <w:rFonts w:hint="eastAsia" w:ascii="宋体" w:hAnsi="宋体" w:eastAsia="宋体" w:cs="宋体"/>
          <w:color w:val="auto"/>
          <w:sz w:val="28"/>
          <w:szCs w:val="28"/>
          <w:highlight w:val="none"/>
          <w:lang w:val="en-US" w:eastAsia="zh-CN"/>
        </w:rPr>
        <w:t>免费</w:t>
      </w:r>
      <w:r>
        <w:rPr>
          <w:rFonts w:hint="eastAsia" w:ascii="宋体" w:hAnsi="宋体" w:cs="宋体"/>
          <w:color w:val="auto"/>
          <w:sz w:val="28"/>
          <w:szCs w:val="28"/>
          <w:highlight w:val="none"/>
          <w:lang w:val="en-US" w:eastAsia="zh-CN"/>
        </w:rPr>
        <w:t>维护期</w:t>
      </w:r>
    </w:p>
    <w:p>
      <w:pPr>
        <w:adjustRightIn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b w:val="0"/>
          <w:bCs w:val="0"/>
          <w:color w:val="auto"/>
          <w:sz w:val="24"/>
          <w:szCs w:val="24"/>
          <w:highlight w:val="none"/>
          <w:lang w:val="en-US" w:eastAsia="zh-CN"/>
        </w:rPr>
        <w:t>维护免费</w:t>
      </w:r>
      <w:r>
        <w:rPr>
          <w:rFonts w:hint="eastAsia" w:ascii="宋体" w:hAnsi="宋体" w:cs="宋体"/>
          <w:b w:val="0"/>
          <w:bCs w:val="0"/>
          <w:color w:val="auto"/>
          <w:sz w:val="24"/>
          <w:szCs w:val="24"/>
          <w:highlight w:val="none"/>
          <w:lang w:val="en-US" w:eastAsia="zh-CN"/>
        </w:rPr>
        <w:t>期</w:t>
      </w:r>
      <w:r>
        <w:rPr>
          <w:rFonts w:hint="eastAsia" w:ascii="宋体" w:hAnsi="宋体" w:eastAsia="宋体" w:cs="宋体"/>
          <w:b w:val="0"/>
          <w:bCs w:val="0"/>
          <w:color w:val="auto"/>
          <w:sz w:val="24"/>
          <w:szCs w:val="24"/>
          <w:highlight w:val="none"/>
          <w:lang w:val="en-US" w:eastAsia="zh-CN"/>
        </w:rPr>
        <w:t>≥1年（自最终验收合格之日起算）</w:t>
      </w:r>
      <w:r>
        <w:rPr>
          <w:rFonts w:hint="eastAsia" w:ascii="宋体" w:hAnsi="宋体" w:eastAsia="宋体" w:cs="宋体"/>
          <w:b w:val="0"/>
          <w:bCs w:val="0"/>
          <w:color w:val="0000FF"/>
          <w:sz w:val="24"/>
          <w:szCs w:val="24"/>
          <w:highlight w:val="none"/>
          <w:lang w:val="en-US" w:eastAsia="zh-CN"/>
        </w:rPr>
        <w:t>，</w:t>
      </w:r>
      <w:r>
        <w:rPr>
          <w:rFonts w:hint="eastAsia" w:ascii="宋体" w:hAnsi="宋体" w:eastAsia="宋体" w:cs="宋体"/>
          <w:sz w:val="24"/>
          <w:szCs w:val="24"/>
          <w:lang w:val="zh-CN"/>
        </w:rPr>
        <w:t>乙方对软件提供免费维护服务和技术支持。免费维护期满后，软件服务费的具体服务方式和收费标准，由双方具体协商后另行签署协议。</w:t>
      </w:r>
    </w:p>
    <w:p>
      <w:pPr>
        <w:numPr>
          <w:ilvl w:val="0"/>
          <w:numId w:val="0"/>
        </w:numPr>
        <w:spacing w:line="360" w:lineRule="auto"/>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p>
    <w:p>
      <w:pPr>
        <w:spacing w:line="360" w:lineRule="auto"/>
        <w:rPr>
          <w:rFonts w:hint="default" w:eastAsia="宋体"/>
          <w:b/>
          <w:bCs/>
          <w:color w:val="auto"/>
          <w:sz w:val="28"/>
          <w:szCs w:val="28"/>
          <w:highlight w:val="none"/>
          <w:lang w:val="en-US" w:eastAsia="zh-CN"/>
        </w:rPr>
      </w:pPr>
      <w:r>
        <w:rPr>
          <w:rFonts w:hint="eastAsia"/>
          <w:b/>
          <w:bCs/>
          <w:color w:val="auto"/>
          <w:sz w:val="28"/>
          <w:szCs w:val="28"/>
          <w:highlight w:val="none"/>
          <w:lang w:val="en-US" w:eastAsia="zh-CN"/>
        </w:rPr>
        <w:t>六</w:t>
      </w:r>
      <w:r>
        <w:rPr>
          <w:rFonts w:hint="eastAsia"/>
          <w:b/>
          <w:bCs/>
          <w:color w:val="auto"/>
          <w:sz w:val="28"/>
          <w:szCs w:val="28"/>
          <w:highlight w:val="none"/>
        </w:rPr>
        <w:t>、</w:t>
      </w:r>
      <w:r>
        <w:rPr>
          <w:rFonts w:hint="eastAsia"/>
          <w:b/>
          <w:bCs/>
          <w:color w:val="auto"/>
          <w:sz w:val="28"/>
          <w:szCs w:val="28"/>
          <w:highlight w:val="none"/>
          <w:lang w:val="en-US" w:eastAsia="zh-CN"/>
        </w:rPr>
        <w:t>采购内容与要求</w:t>
      </w:r>
    </w:p>
    <w:tbl>
      <w:tblPr>
        <w:tblStyle w:val="15"/>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8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19" w:type="dxa"/>
            <w:vAlign w:val="center"/>
          </w:tcPr>
          <w:p>
            <w:pPr>
              <w:spacing w:line="360" w:lineRule="auto"/>
              <w:jc w:val="center"/>
              <w:rPr>
                <w:rFonts w:asciiTheme="minorEastAsia" w:hAnsiTheme="minorEastAsia" w:eastAsiaTheme="minorEastAsia"/>
                <w:b/>
                <w:bCs/>
                <w:szCs w:val="21"/>
              </w:rPr>
            </w:pPr>
            <w:r>
              <w:rPr>
                <w:rFonts w:asciiTheme="minorEastAsia" w:hAnsiTheme="minorEastAsia" w:eastAsiaTheme="minorEastAsia"/>
                <w:b/>
                <w:bCs/>
                <w:szCs w:val="21"/>
              </w:rPr>
              <w:t>序号</w:t>
            </w:r>
          </w:p>
        </w:tc>
        <w:tc>
          <w:tcPr>
            <w:tcW w:w="8160" w:type="dxa"/>
            <w:vAlign w:val="center"/>
          </w:tcPr>
          <w:p>
            <w:pPr>
              <w:spacing w:line="360" w:lineRule="auto"/>
              <w:jc w:val="center"/>
              <w:rPr>
                <w:rFonts w:asciiTheme="minorEastAsia" w:hAnsiTheme="minorEastAsia" w:eastAsiaTheme="minorEastAsia"/>
                <w:b/>
                <w:bCs/>
                <w:szCs w:val="21"/>
              </w:rPr>
            </w:pPr>
            <w:r>
              <w:rPr>
                <w:rFonts w:asciiTheme="minorEastAsia" w:hAnsiTheme="minorEastAsia" w:eastAsiaTheme="minorEastAsia"/>
                <w:b/>
                <w:bCs/>
                <w:szCs w:val="21"/>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9"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一</w:t>
            </w:r>
          </w:p>
        </w:tc>
        <w:tc>
          <w:tcPr>
            <w:tcW w:w="8160" w:type="dxa"/>
            <w:vAlign w:val="center"/>
          </w:tcPr>
          <w:p>
            <w:pPr>
              <w:spacing w:line="360" w:lineRule="auto"/>
              <w:rPr>
                <w:rFonts w:asciiTheme="minorEastAsia" w:hAnsiTheme="minorEastAsia" w:eastAsiaTheme="minorEastAsia"/>
                <w:b/>
                <w:szCs w:val="21"/>
              </w:rPr>
            </w:pPr>
            <w:r>
              <w:rPr>
                <w:rFonts w:asciiTheme="minorEastAsia" w:hAnsiTheme="minorEastAsia" w:eastAsiaTheme="minorEastAsia"/>
                <w:b/>
                <w:szCs w:val="21"/>
              </w:rPr>
              <w:t>总的说明和要求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9"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1</w:t>
            </w:r>
          </w:p>
        </w:tc>
        <w:tc>
          <w:tcPr>
            <w:tcW w:w="8160" w:type="dxa"/>
            <w:vAlign w:val="center"/>
          </w:tcPr>
          <w:p>
            <w:pPr>
              <w:pStyle w:val="13"/>
              <w:spacing w:line="360" w:lineRule="auto"/>
              <w:jc w:val="both"/>
              <w:rPr>
                <w:rFonts w:asciiTheme="minorEastAsia" w:hAnsiTheme="minorEastAsia" w:eastAsiaTheme="minorEastAsia"/>
                <w:b/>
                <w:sz w:val="21"/>
                <w:szCs w:val="21"/>
              </w:rPr>
            </w:pPr>
            <w:r>
              <w:rPr>
                <w:rFonts w:asciiTheme="minorEastAsia" w:hAnsiTheme="minorEastAsia" w:eastAsiaTheme="minorEastAsia"/>
                <w:b/>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9" w:type="dxa"/>
            <w:vAlign w:val="center"/>
          </w:tcPr>
          <w:p>
            <w:pPr>
              <w:spacing w:line="360" w:lineRule="auto"/>
              <w:jc w:val="right"/>
              <w:rPr>
                <w:rFonts w:asciiTheme="minorEastAsia" w:hAnsiTheme="minorEastAsia" w:eastAsiaTheme="minorEastAsia"/>
                <w:kern w:val="0"/>
                <w:szCs w:val="21"/>
              </w:rPr>
            </w:pPr>
            <w:r>
              <w:rPr>
                <w:rFonts w:hint="eastAsia" w:cs="宋体" w:asciiTheme="minorEastAsia" w:hAnsiTheme="minorEastAsia" w:eastAsiaTheme="minorEastAsia"/>
                <w:kern w:val="0"/>
                <w:szCs w:val="21"/>
                <w:lang w:eastAsia="zh-CN"/>
              </w:rPr>
              <w:t>★</w:t>
            </w:r>
            <w:r>
              <w:rPr>
                <w:rFonts w:asciiTheme="minorEastAsia" w:hAnsiTheme="minorEastAsia" w:eastAsiaTheme="minorEastAsia"/>
                <w:kern w:val="0"/>
                <w:szCs w:val="21"/>
              </w:rPr>
              <w:t>1.1</w:t>
            </w:r>
          </w:p>
        </w:tc>
        <w:tc>
          <w:tcPr>
            <w:tcW w:w="8160" w:type="dxa"/>
            <w:vAlign w:val="center"/>
          </w:tcPr>
          <w:p>
            <w:pPr>
              <w:rPr>
                <w:rFonts w:asciiTheme="minorEastAsia" w:hAnsiTheme="minorEastAsia" w:eastAsiaTheme="minorEastAsia"/>
                <w:kern w:val="0"/>
                <w:szCs w:val="21"/>
              </w:rPr>
            </w:pPr>
            <w:r>
              <w:rPr>
                <w:rFonts w:hint="eastAsia" w:asciiTheme="minorEastAsia" w:hAnsiTheme="minorEastAsia" w:eastAsiaTheme="minorEastAsia"/>
                <w:kern w:val="0"/>
                <w:szCs w:val="21"/>
              </w:rPr>
              <w:t>在现有人力资源系统上实现功能模块集成，完成员工电子档案管理</w:t>
            </w:r>
          </w:p>
          <w:p>
            <w:pPr>
              <w:spacing w:line="360" w:lineRule="auto"/>
              <w:ind w:right="178" w:rightChars="85"/>
              <w:rPr>
                <w:rFonts w:asciiTheme="minorEastAsia" w:hAnsiTheme="minorEastAsia" w:eastAsiaTheme="minorEastAsia"/>
                <w:kern w:val="0"/>
                <w:szCs w:val="21"/>
              </w:rPr>
            </w:pPr>
            <w:r>
              <w:rPr>
                <w:rFonts w:asciiTheme="minorEastAsia" w:hAnsiTheme="minorEastAsia" w:eastAsiaTheme="minorEastAsia"/>
                <w:kern w:val="0"/>
                <w:szCs w:val="21"/>
              </w:rPr>
              <w:t>供应商提供的</w:t>
            </w:r>
            <w:r>
              <w:rPr>
                <w:rFonts w:hint="eastAsia" w:asciiTheme="minorEastAsia" w:hAnsiTheme="minorEastAsia" w:eastAsiaTheme="minorEastAsia"/>
                <w:kern w:val="0"/>
                <w:szCs w:val="21"/>
              </w:rPr>
              <w:t>产品</w:t>
            </w:r>
            <w:r>
              <w:rPr>
                <w:rFonts w:asciiTheme="minorEastAsia" w:hAnsiTheme="minorEastAsia" w:eastAsiaTheme="minorEastAsia"/>
                <w:kern w:val="0"/>
                <w:szCs w:val="21"/>
              </w:rPr>
              <w:t>必须是</w:t>
            </w:r>
            <w:r>
              <w:rPr>
                <w:rFonts w:hint="eastAsia" w:ascii="宋体" w:hAnsi="宋体" w:cs="仿宋"/>
                <w:sz w:val="22"/>
                <w:szCs w:val="22"/>
              </w:rPr>
              <w:t>Microsoft.net开发应用平台, ASP.net技术，支持MSSQL Service数据库</w:t>
            </w:r>
            <w:r>
              <w:rPr>
                <w:rFonts w:hint="eastAsia" w:asciiTheme="minorEastAsia" w:hAnsiTheme="minorEastAsia" w:eastAsiaTheme="minorEastAsia"/>
                <w:kern w:val="0"/>
                <w:szCs w:val="21"/>
              </w:rPr>
              <w:t>，以便与现有系统更好的集成与共用。前端框架支持v</w:t>
            </w:r>
            <w:r>
              <w:rPr>
                <w:rFonts w:asciiTheme="minorEastAsia" w:hAnsiTheme="minorEastAsia" w:eastAsiaTheme="minorEastAsia"/>
                <w:kern w:val="0"/>
                <w:szCs w:val="21"/>
              </w:rPr>
              <w:t>ue, bootstrap</w:t>
            </w:r>
            <w:r>
              <w:rPr>
                <w:rFonts w:hint="eastAsia" w:asciiTheme="minorEastAsia" w:hAnsiTheme="minorEastAsia" w:eastAsiaTheme="minorEastAsia"/>
                <w:kern w:val="0"/>
                <w:szCs w:val="21"/>
              </w:rPr>
              <w:t>等</w:t>
            </w:r>
            <w:r>
              <w:rPr>
                <w:rFonts w:asciiTheme="minorEastAsia" w:hAnsiTheme="minorEastAsia" w:eastAsiaTheme="minorEastAsia"/>
                <w:kern w:val="0"/>
                <w:szCs w:val="21"/>
              </w:rPr>
              <w:t>，性能及指标符合国家及招标文件提出的有关技术、质量、安全标准</w:t>
            </w:r>
            <w:r>
              <w:rPr>
                <w:rFonts w:hint="eastAsia" w:asciiTheme="minorEastAsia" w:hAnsiTheme="minorEastAsia" w:eastAsiaTheme="minorEastAsia"/>
                <w:kern w:val="0"/>
                <w:szCs w:val="21"/>
              </w:rPr>
              <w:t>，重要数据访问支持u</w:t>
            </w:r>
            <w:r>
              <w:rPr>
                <w:rFonts w:asciiTheme="minorEastAsia" w:hAnsiTheme="minorEastAsia" w:eastAsiaTheme="minorEastAsia"/>
                <w:kern w:val="0"/>
                <w:szCs w:val="21"/>
              </w:rPr>
              <w:t>key</w:t>
            </w:r>
            <w:r>
              <w:rPr>
                <w:rFonts w:hint="eastAsia" w:asciiTheme="minorEastAsia" w:hAnsiTheme="minorEastAsia" w:eastAsiaTheme="minorEastAsia"/>
                <w:kern w:val="0"/>
                <w:szCs w:val="21"/>
              </w:rPr>
              <w:t>及支持第三方公司系统安全扫描。</w:t>
            </w:r>
            <w:r>
              <w:rPr>
                <w:rFonts w:asciiTheme="minorEastAsia" w:hAnsiTheme="minorEastAsia" w:eastAsiaTheme="minorEastAsia"/>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9" w:type="dxa"/>
            <w:vAlign w:val="center"/>
          </w:tcPr>
          <w:p>
            <w:pPr>
              <w:spacing w:line="360" w:lineRule="auto"/>
              <w:jc w:val="right"/>
              <w:rPr>
                <w:rFonts w:asciiTheme="minorEastAsia" w:hAnsiTheme="minorEastAsia" w:eastAsiaTheme="minorEastAsia"/>
                <w:szCs w:val="21"/>
              </w:rPr>
            </w:pPr>
            <w:r>
              <w:rPr>
                <w:rFonts w:asciiTheme="minorEastAsia" w:hAnsiTheme="minorEastAsia" w:eastAsiaTheme="minorEastAsia"/>
                <w:szCs w:val="21"/>
              </w:rPr>
              <w:t>1.2</w:t>
            </w:r>
          </w:p>
        </w:tc>
        <w:tc>
          <w:tcPr>
            <w:tcW w:w="8160" w:type="dxa"/>
            <w:vAlign w:val="center"/>
          </w:tcPr>
          <w:p>
            <w:pPr>
              <w:spacing w:line="360" w:lineRule="auto"/>
              <w:rPr>
                <w:rFonts w:asciiTheme="minorEastAsia" w:hAnsiTheme="minorEastAsia" w:eastAsiaTheme="minorEastAsia"/>
                <w:szCs w:val="21"/>
              </w:rPr>
            </w:pPr>
            <w:r>
              <w:rPr>
                <w:rFonts w:asciiTheme="minorEastAsia" w:hAnsiTheme="minorEastAsia" w:eastAsiaTheme="minorEastAsia"/>
                <w:kern w:val="0"/>
                <w:szCs w:val="21"/>
              </w:rPr>
              <w:t>所有提供软件与招标要求相符。系统功能项数量、质量及性能不低于招标书中提出的要求。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9" w:type="dxa"/>
            <w:vAlign w:val="center"/>
          </w:tcPr>
          <w:p>
            <w:pPr>
              <w:spacing w:line="360" w:lineRule="auto"/>
              <w:jc w:val="right"/>
              <w:rPr>
                <w:rFonts w:asciiTheme="minorEastAsia" w:hAnsiTheme="minorEastAsia" w:eastAsiaTheme="minorEastAsia"/>
                <w:szCs w:val="21"/>
              </w:rPr>
            </w:pPr>
            <w:r>
              <w:rPr>
                <w:rFonts w:asciiTheme="minorEastAsia" w:hAnsiTheme="minorEastAsia" w:eastAsiaTheme="minorEastAsia"/>
                <w:szCs w:val="21"/>
              </w:rPr>
              <w:t>1.3</w:t>
            </w:r>
          </w:p>
        </w:tc>
        <w:tc>
          <w:tcPr>
            <w:tcW w:w="8160" w:type="dxa"/>
            <w:vAlign w:val="center"/>
          </w:tcPr>
          <w:p>
            <w:pPr>
              <w:spacing w:line="360" w:lineRule="auto"/>
              <w:rPr>
                <w:rFonts w:asciiTheme="minorEastAsia" w:hAnsiTheme="minorEastAsia" w:eastAsiaTheme="minorEastAsia"/>
                <w:szCs w:val="21"/>
              </w:rPr>
            </w:pPr>
            <w:r>
              <w:rPr>
                <w:rFonts w:asciiTheme="minorEastAsia" w:hAnsiTheme="minorEastAsia" w:eastAsiaTheme="minorEastAsia"/>
                <w:kern w:val="0"/>
                <w:szCs w:val="21"/>
              </w:rPr>
              <w:t>对于影响系统正常运行的必要组成部分，无论在技术规范中指出与否，供应商都应提供并在投标文件中明确列出。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9"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2</w:t>
            </w:r>
          </w:p>
        </w:tc>
        <w:tc>
          <w:tcPr>
            <w:tcW w:w="8160" w:type="dxa"/>
            <w:vAlign w:val="center"/>
          </w:tcPr>
          <w:p>
            <w:pPr>
              <w:spacing w:line="360" w:lineRule="auto"/>
              <w:rPr>
                <w:rFonts w:asciiTheme="minorEastAsia" w:hAnsiTheme="minorEastAsia" w:eastAsiaTheme="minorEastAsia"/>
                <w:szCs w:val="21"/>
              </w:rPr>
            </w:pPr>
            <w:r>
              <w:rPr>
                <w:rFonts w:asciiTheme="minorEastAsia" w:hAnsiTheme="minorEastAsia" w:eastAsiaTheme="minorEastAsia"/>
                <w:b/>
                <w:szCs w:val="21"/>
              </w:rPr>
              <w:t>安装及调试、验收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919" w:type="dxa"/>
            <w:vAlign w:val="center"/>
          </w:tcPr>
          <w:p>
            <w:pPr>
              <w:spacing w:line="360" w:lineRule="auto"/>
              <w:jc w:val="right"/>
              <w:rPr>
                <w:rFonts w:asciiTheme="minorEastAsia" w:hAnsiTheme="minorEastAsia" w:eastAsiaTheme="minorEastAsia"/>
                <w:szCs w:val="21"/>
              </w:rPr>
            </w:pPr>
            <w:r>
              <w:rPr>
                <w:rFonts w:asciiTheme="minorEastAsia" w:hAnsiTheme="minorEastAsia" w:eastAsiaTheme="minorEastAsia"/>
                <w:szCs w:val="21"/>
              </w:rPr>
              <w:t>2.1</w:t>
            </w:r>
          </w:p>
        </w:tc>
        <w:tc>
          <w:tcPr>
            <w:tcW w:w="8160" w:type="dxa"/>
            <w:vAlign w:val="center"/>
          </w:tcPr>
          <w:p>
            <w:pPr>
              <w:spacing w:before="100" w:beforeAutospacing="1" w:after="100" w:afterAutospacing="1" w:line="360" w:lineRule="auto"/>
              <w:rPr>
                <w:rFonts w:asciiTheme="minorEastAsia" w:hAnsiTheme="minorEastAsia" w:eastAsiaTheme="minorEastAsia"/>
                <w:szCs w:val="21"/>
              </w:rPr>
            </w:pPr>
            <w:r>
              <w:rPr>
                <w:rFonts w:asciiTheme="minorEastAsia" w:hAnsiTheme="minorEastAsia" w:eastAsiaTheme="minorEastAsia"/>
                <w:kern w:val="0"/>
                <w:szCs w:val="21"/>
              </w:rPr>
              <w:t>系统的安装、调试等各项工作由中标人负责，但必须在招标人指定人员的参与下进行。在实际实施前必须先经招标人同意方可进行。安装、调试的原始记录须经各方签字后作为验收的文件之一。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19" w:type="dxa"/>
            <w:vAlign w:val="center"/>
          </w:tcPr>
          <w:p>
            <w:pPr>
              <w:pStyle w:val="13"/>
              <w:spacing w:line="360" w:lineRule="auto"/>
              <w:ind w:firstLine="102" w:firstLineChars="4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w:t>
            </w:r>
          </w:p>
        </w:tc>
        <w:tc>
          <w:tcPr>
            <w:tcW w:w="8160" w:type="dxa"/>
            <w:vAlign w:val="center"/>
          </w:tcPr>
          <w:p>
            <w:pPr>
              <w:spacing w:before="100" w:beforeAutospacing="1" w:after="100" w:afterAutospacing="1" w:line="360" w:lineRule="auto"/>
              <w:rPr>
                <w:rFonts w:asciiTheme="minorEastAsia" w:hAnsiTheme="minorEastAsia" w:eastAsiaTheme="minorEastAsia"/>
                <w:szCs w:val="21"/>
              </w:rPr>
            </w:pPr>
            <w:r>
              <w:rPr>
                <w:rFonts w:asciiTheme="minorEastAsia" w:hAnsiTheme="minorEastAsia" w:eastAsiaTheme="minorEastAsia"/>
                <w:b/>
                <w:szCs w:val="21"/>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919" w:type="dxa"/>
            <w:vAlign w:val="center"/>
          </w:tcPr>
          <w:p>
            <w:pPr>
              <w:pStyle w:val="13"/>
              <w:spacing w:line="360" w:lineRule="auto"/>
              <w:jc w:val="right"/>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.1</w:t>
            </w:r>
          </w:p>
        </w:tc>
        <w:tc>
          <w:tcPr>
            <w:tcW w:w="8160" w:type="dxa"/>
            <w:vAlign w:val="center"/>
          </w:tcPr>
          <w:p>
            <w:pPr>
              <w:spacing w:before="100" w:beforeAutospacing="1" w:after="100" w:afterAutospacing="1" w:line="360" w:lineRule="auto"/>
              <w:rPr>
                <w:rFonts w:asciiTheme="minorEastAsia" w:hAnsiTheme="minorEastAsia" w:eastAsiaTheme="minorEastAsia"/>
                <w:szCs w:val="21"/>
              </w:rPr>
            </w:pPr>
            <w:r>
              <w:rPr>
                <w:rFonts w:hint="eastAsia" w:cs="宋体" w:asciiTheme="minorEastAsia" w:hAnsiTheme="minorEastAsia" w:eastAsiaTheme="minorEastAsia"/>
                <w:szCs w:val="21"/>
              </w:rPr>
              <w:t>供应商</w:t>
            </w:r>
            <w:r>
              <w:rPr>
                <w:rFonts w:asciiTheme="minorEastAsia" w:hAnsiTheme="minorEastAsia" w:eastAsiaTheme="minorEastAsia"/>
                <w:szCs w:val="21"/>
              </w:rPr>
              <w:t>须提供经调试、试运行、验收合格后至少1年的质保期</w:t>
            </w:r>
            <w:r>
              <w:rPr>
                <w:rFonts w:hint="eastAsia" w:asciiTheme="minorEastAsia" w:hAnsiTheme="minorEastAsia" w:eastAsiaTheme="minorEastAsia"/>
                <w:szCs w:val="21"/>
              </w:rPr>
              <w:t>（</w:t>
            </w:r>
            <w:r>
              <w:rPr>
                <w:rFonts w:hint="eastAsia" w:cs="宋体" w:asciiTheme="minorEastAsia" w:hAnsiTheme="minorEastAsia" w:eastAsiaTheme="minorEastAsia"/>
                <w:szCs w:val="21"/>
              </w:rPr>
              <w:t>供应商</w:t>
            </w:r>
            <w:r>
              <w:rPr>
                <w:rFonts w:asciiTheme="minorEastAsia" w:hAnsiTheme="minorEastAsia" w:eastAsiaTheme="minorEastAsia"/>
                <w:szCs w:val="21"/>
              </w:rPr>
              <w:t>可根据自身实力作出更长时间的质保承诺</w:t>
            </w:r>
            <w:r>
              <w:rPr>
                <w:rFonts w:hint="eastAsia" w:asciiTheme="minorEastAsia" w:hAnsiTheme="minorEastAsia" w:eastAsiaTheme="minorEastAsia"/>
                <w:szCs w:val="21"/>
              </w:rPr>
              <w:t>）</w:t>
            </w:r>
            <w:r>
              <w:rPr>
                <w:rFonts w:asciiTheme="minorEastAsia" w:hAnsiTheme="minorEastAsia" w:eastAsiaTheme="minorEastAsia"/>
                <w:szCs w:val="21"/>
              </w:rPr>
              <w:t>。在此期间，供应商应免费处理因技术、质量发生的故障，并进行正常保养。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9" w:type="dxa"/>
            <w:vAlign w:val="center"/>
          </w:tcPr>
          <w:p>
            <w:pPr>
              <w:widowControl/>
              <w:spacing w:before="100" w:beforeAutospacing="1" w:after="100" w:afterAutospacing="1" w:line="360" w:lineRule="auto"/>
              <w:jc w:val="right"/>
              <w:rPr>
                <w:rFonts w:asciiTheme="minorEastAsia" w:hAnsiTheme="minorEastAsia" w:eastAsiaTheme="minorEastAsia"/>
                <w:szCs w:val="21"/>
              </w:rPr>
            </w:pPr>
            <w:r>
              <w:rPr>
                <w:rFonts w:hint="eastAsia" w:asciiTheme="minorEastAsia" w:hAnsiTheme="minorEastAsia" w:eastAsiaTheme="minorEastAsia"/>
                <w:kern w:val="0"/>
                <w:szCs w:val="21"/>
              </w:rPr>
              <w:t>3.2</w:t>
            </w:r>
          </w:p>
        </w:tc>
        <w:tc>
          <w:tcPr>
            <w:tcW w:w="8160" w:type="dxa"/>
            <w:vAlign w:val="center"/>
          </w:tcPr>
          <w:p>
            <w:pPr>
              <w:spacing w:before="100" w:beforeAutospacing="1" w:after="100" w:afterAutospacing="1" w:line="360" w:lineRule="auto"/>
              <w:rPr>
                <w:rFonts w:asciiTheme="minorEastAsia" w:hAnsiTheme="minorEastAsia" w:eastAsiaTheme="minorEastAsia"/>
                <w:szCs w:val="21"/>
              </w:rPr>
            </w:pPr>
            <w:r>
              <w:rPr>
                <w:rFonts w:asciiTheme="minorEastAsia" w:hAnsiTheme="minorEastAsia" w:eastAsiaTheme="minorEastAsia"/>
                <w:szCs w:val="21"/>
              </w:rPr>
              <w:t>中标人必须有可靠的售后服务保障，能提供正常的技术服务。故障响应时间：接到招标人通知后，中标人2小时内响应，4小时内到现场排除故障，紧急情况3小时内到现场处理、解决；。中标人需提供7×24小时电话技术支持。人员要求：中标人需提供至少一名工程师常驻现场实施，直至项目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19" w:type="dxa"/>
            <w:vAlign w:val="center"/>
          </w:tcPr>
          <w:p>
            <w:pPr>
              <w:widowControl/>
              <w:spacing w:before="100" w:beforeAutospacing="1" w:after="100" w:afterAutospacing="1" w:line="360" w:lineRule="auto"/>
              <w:ind w:firstLine="100" w:firstLineChars="48"/>
              <w:jc w:val="center"/>
              <w:rPr>
                <w:rFonts w:asciiTheme="minorEastAsia" w:hAnsiTheme="minorEastAsia" w:eastAsiaTheme="minorEastAsia"/>
                <w:szCs w:val="21"/>
              </w:rPr>
            </w:pPr>
            <w:r>
              <w:rPr>
                <w:rFonts w:hint="eastAsia" w:asciiTheme="minorEastAsia" w:hAnsiTheme="minorEastAsia" w:eastAsiaTheme="minorEastAsia"/>
                <w:kern w:val="0"/>
                <w:szCs w:val="21"/>
              </w:rPr>
              <w:t>4</w:t>
            </w:r>
            <w:r>
              <w:rPr>
                <w:rFonts w:asciiTheme="minorEastAsia" w:hAnsiTheme="minorEastAsia" w:eastAsiaTheme="minorEastAsia"/>
                <w:kern w:val="0"/>
                <w:szCs w:val="21"/>
              </w:rPr>
              <w:t>.</w:t>
            </w:r>
          </w:p>
        </w:tc>
        <w:tc>
          <w:tcPr>
            <w:tcW w:w="8160" w:type="dxa"/>
            <w:vAlign w:val="center"/>
          </w:tcPr>
          <w:p>
            <w:pPr>
              <w:spacing w:before="100" w:beforeAutospacing="1" w:after="100" w:afterAutospacing="1" w:line="360" w:lineRule="auto"/>
              <w:rPr>
                <w:rFonts w:asciiTheme="minorEastAsia" w:hAnsiTheme="minorEastAsia" w:eastAsiaTheme="minorEastAsia"/>
                <w:szCs w:val="21"/>
              </w:rPr>
            </w:pPr>
            <w:r>
              <w:rPr>
                <w:rFonts w:asciiTheme="minorEastAsia" w:hAnsiTheme="minorEastAsia" w:eastAsiaTheme="minorEastAsia"/>
                <w:b/>
                <w:kern w:val="0"/>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19" w:type="dxa"/>
            <w:vAlign w:val="center"/>
          </w:tcPr>
          <w:p>
            <w:pPr>
              <w:spacing w:line="360" w:lineRule="auto"/>
              <w:jc w:val="right"/>
              <w:rPr>
                <w:rFonts w:asciiTheme="minorEastAsia" w:hAnsiTheme="minorEastAsia" w:eastAsiaTheme="minorEastAsia"/>
                <w:szCs w:val="21"/>
              </w:rPr>
            </w:pPr>
            <w:r>
              <w:rPr>
                <w:rFonts w:hint="eastAsia" w:asciiTheme="minorEastAsia" w:hAnsiTheme="minorEastAsia" w:eastAsiaTheme="minorEastAsia"/>
                <w:kern w:val="0"/>
                <w:szCs w:val="21"/>
              </w:rPr>
              <w:t>4</w:t>
            </w:r>
            <w:r>
              <w:rPr>
                <w:rFonts w:asciiTheme="minorEastAsia" w:hAnsiTheme="minorEastAsia" w:eastAsiaTheme="minorEastAsia"/>
                <w:kern w:val="0"/>
                <w:szCs w:val="21"/>
              </w:rPr>
              <w:t>.1</w:t>
            </w:r>
          </w:p>
        </w:tc>
        <w:tc>
          <w:tcPr>
            <w:tcW w:w="8160" w:type="dxa"/>
            <w:vAlign w:val="center"/>
          </w:tcPr>
          <w:p>
            <w:pPr>
              <w:spacing w:before="100" w:beforeAutospacing="1" w:after="100" w:afterAutospacing="1" w:line="360" w:lineRule="auto"/>
              <w:rPr>
                <w:rFonts w:asciiTheme="minorEastAsia" w:hAnsiTheme="minorEastAsia" w:eastAsiaTheme="minorEastAsia"/>
                <w:szCs w:val="21"/>
              </w:rPr>
            </w:pPr>
            <w:r>
              <w:rPr>
                <w:rFonts w:asciiTheme="minorEastAsia" w:hAnsiTheme="minorEastAsia" w:eastAsiaTheme="minorEastAsia"/>
                <w:kern w:val="0"/>
                <w:szCs w:val="21"/>
              </w:rPr>
              <w:t>中标人提供的系统，必须符合招标文件及其投标文件规定的要求，如有不符，采购人可以无条件退货，造成的损失由中标人承担。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19" w:type="dxa"/>
            <w:vAlign w:val="center"/>
          </w:tcPr>
          <w:p>
            <w:pPr>
              <w:spacing w:line="360" w:lineRule="auto"/>
              <w:jc w:val="right"/>
              <w:rPr>
                <w:rFonts w:asciiTheme="minorEastAsia" w:hAnsiTheme="minorEastAsia" w:eastAsiaTheme="minorEastAsia"/>
                <w:szCs w:val="21"/>
              </w:rPr>
            </w:pPr>
            <w:r>
              <w:rPr>
                <w:rFonts w:hint="eastAsia" w:asciiTheme="minorEastAsia" w:hAnsiTheme="minorEastAsia" w:eastAsiaTheme="minorEastAsia"/>
                <w:kern w:val="0"/>
                <w:szCs w:val="21"/>
              </w:rPr>
              <w:t>4</w:t>
            </w:r>
            <w:r>
              <w:rPr>
                <w:rFonts w:asciiTheme="minorEastAsia" w:hAnsiTheme="minorEastAsia" w:eastAsiaTheme="minorEastAsia"/>
                <w:kern w:val="0"/>
                <w:szCs w:val="21"/>
              </w:rPr>
              <w:t>.2</w:t>
            </w:r>
          </w:p>
        </w:tc>
        <w:tc>
          <w:tcPr>
            <w:tcW w:w="8160" w:type="dxa"/>
            <w:vAlign w:val="center"/>
          </w:tcPr>
          <w:p>
            <w:pPr>
              <w:spacing w:before="100" w:beforeAutospacing="1" w:after="100" w:afterAutospacing="1" w:line="360" w:lineRule="auto"/>
              <w:rPr>
                <w:rFonts w:asciiTheme="minorEastAsia" w:hAnsiTheme="minorEastAsia" w:eastAsiaTheme="minorEastAsia"/>
                <w:szCs w:val="21"/>
              </w:rPr>
            </w:pPr>
            <w:r>
              <w:rPr>
                <w:rFonts w:asciiTheme="minorEastAsia" w:hAnsiTheme="minorEastAsia" w:eastAsiaTheme="minorEastAsia"/>
                <w:kern w:val="0"/>
                <w:szCs w:val="21"/>
              </w:rPr>
              <w:t>中标人、供货人名称必须一致，否则作违约处理。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19" w:type="dxa"/>
            <w:vAlign w:val="center"/>
          </w:tcPr>
          <w:p>
            <w:pPr>
              <w:spacing w:before="100" w:beforeAutospacing="1" w:after="100" w:afterAutospacing="1" w:line="440" w:lineRule="atLeast"/>
              <w:jc w:val="center"/>
              <w:rPr>
                <w:rFonts w:asciiTheme="minorEastAsia" w:hAnsiTheme="minorEastAsia" w:eastAsiaTheme="minorEastAsia"/>
                <w:szCs w:val="21"/>
              </w:rPr>
            </w:pPr>
            <w:r>
              <w:rPr>
                <w:rFonts w:hint="eastAsia" w:asciiTheme="minorEastAsia" w:hAnsiTheme="minorEastAsia" w:eastAsiaTheme="minorEastAsia"/>
                <w:szCs w:val="21"/>
              </w:rPr>
              <w:t>二</w:t>
            </w:r>
          </w:p>
        </w:tc>
        <w:tc>
          <w:tcPr>
            <w:tcW w:w="8160" w:type="dxa"/>
            <w:vAlign w:val="center"/>
          </w:tcPr>
          <w:p>
            <w:pPr>
              <w:widowControl/>
              <w:spacing w:before="100" w:beforeAutospacing="1" w:after="100" w:afterAutospacing="1" w:line="440" w:lineRule="atLeast"/>
              <w:jc w:val="left"/>
              <w:rPr>
                <w:rFonts w:asciiTheme="minorEastAsia" w:hAnsiTheme="minorEastAsia" w:eastAsiaTheme="minorEastAsia"/>
                <w:szCs w:val="21"/>
              </w:rPr>
            </w:pPr>
            <w:r>
              <w:rPr>
                <w:rFonts w:hint="eastAsia" w:asciiTheme="minorEastAsia" w:hAnsiTheme="minorEastAsia" w:eastAsiaTheme="minorEastAsia"/>
                <w:b/>
                <w:szCs w:val="21"/>
              </w:rPr>
              <w:t>功能具体规划和要求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19" w:type="dxa"/>
            <w:vAlign w:val="center"/>
          </w:tcPr>
          <w:p>
            <w:pPr>
              <w:spacing w:before="100" w:beforeAutospacing="1" w:after="100" w:afterAutospacing="1" w:line="440" w:lineRule="atLeast"/>
              <w:jc w:val="center"/>
              <w:rPr>
                <w:rFonts w:asciiTheme="minorEastAsia" w:hAnsiTheme="minorEastAsia" w:eastAsiaTheme="minorEastAsia"/>
                <w:b/>
                <w:bCs/>
                <w:szCs w:val="21"/>
              </w:rPr>
            </w:pPr>
            <w:r>
              <w:rPr>
                <w:rFonts w:hint="eastAsia" w:asciiTheme="minorEastAsia" w:hAnsiTheme="minorEastAsia" w:eastAsiaTheme="minorEastAsia"/>
                <w:b/>
                <w:bCs/>
                <w:szCs w:val="21"/>
              </w:rPr>
              <w:t>1</w:t>
            </w:r>
          </w:p>
        </w:tc>
        <w:tc>
          <w:tcPr>
            <w:tcW w:w="81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建立员工电子档案库，纸质档案数字化，集中统一管理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19" w:type="dxa"/>
            <w:vAlign w:val="center"/>
          </w:tcPr>
          <w:p>
            <w:pPr>
              <w:spacing w:before="100" w:beforeAutospacing="1" w:after="100" w:afterAutospacing="1" w:line="440" w:lineRule="atLeast"/>
              <w:jc w:val="right"/>
              <w:rPr>
                <w:rFonts w:asciiTheme="minorEastAsia" w:hAnsiTheme="minorEastAsia" w:eastAsiaTheme="minorEastAsia"/>
                <w:szCs w:val="21"/>
              </w:rPr>
            </w:pPr>
            <w:r>
              <w:rPr>
                <w:rFonts w:hint="eastAsia" w:asciiTheme="minorEastAsia" w:hAnsiTheme="minorEastAsia" w:eastAsiaTheme="minorEastAsia"/>
                <w:szCs w:val="21"/>
              </w:rPr>
              <w:t>1.1</w:t>
            </w:r>
          </w:p>
        </w:tc>
        <w:tc>
          <w:tcPr>
            <w:tcW w:w="8160" w:type="dxa"/>
            <w:vAlign w:val="center"/>
          </w:tcPr>
          <w:p>
            <w:pPr>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支持档案资料批量导入图像、PDF等</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19" w:type="dxa"/>
            <w:vAlign w:val="center"/>
          </w:tcPr>
          <w:p>
            <w:pPr>
              <w:spacing w:before="100" w:beforeAutospacing="1" w:after="100" w:afterAutospacing="1" w:line="440" w:lineRule="atLeast"/>
              <w:ind w:left="360"/>
              <w:rPr>
                <w:rFonts w:asciiTheme="minorEastAsia" w:hAnsiTheme="minorEastAsia" w:eastAsiaTheme="minorEastAsia"/>
                <w:szCs w:val="21"/>
              </w:rPr>
            </w:pPr>
            <w:r>
              <w:rPr>
                <w:rFonts w:hint="eastAsia" w:cs="宋体" w:asciiTheme="minorEastAsia" w:hAnsiTheme="minorEastAsia" w:eastAsiaTheme="minorEastAsia"/>
                <w:kern w:val="0"/>
                <w:szCs w:val="21"/>
                <w:lang w:eastAsia="zh-CN"/>
              </w:rPr>
              <w:t>★</w:t>
            </w:r>
            <w:r>
              <w:rPr>
                <w:rFonts w:hint="eastAsia" w:asciiTheme="minorEastAsia" w:hAnsiTheme="minorEastAsia" w:eastAsiaTheme="minorEastAsia"/>
                <w:szCs w:val="21"/>
              </w:rPr>
              <w:t>1.2</w:t>
            </w:r>
          </w:p>
        </w:tc>
        <w:tc>
          <w:tcPr>
            <w:tcW w:w="8160" w:type="dxa"/>
            <w:vAlign w:val="center"/>
          </w:tcPr>
          <w:p>
            <w:pPr>
              <w:rPr>
                <w:rFonts w:asciiTheme="minorEastAsia" w:hAnsiTheme="minorEastAsia" w:eastAsiaTheme="minorEastAsia"/>
                <w:szCs w:val="21"/>
                <w:shd w:val="clear" w:color="auto" w:fill="FFFFFF"/>
              </w:rPr>
            </w:pPr>
            <w:r>
              <w:rPr>
                <w:rFonts w:hint="eastAsia" w:asciiTheme="minorEastAsia" w:hAnsiTheme="minorEastAsia" w:eastAsiaTheme="minorEastAsia"/>
                <w:szCs w:val="21"/>
              </w:rPr>
              <w:t>支持</w:t>
            </w:r>
            <w:r>
              <w:rPr>
                <w:rFonts w:hint="eastAsia" w:asciiTheme="minorEastAsia" w:hAnsiTheme="minorEastAsia" w:eastAsiaTheme="minorEastAsia"/>
                <w:szCs w:val="21"/>
                <w:shd w:val="clear" w:color="auto" w:fill="FFFFFF"/>
              </w:rPr>
              <w:t>按照企业档案结构进行档案分类、归集、检索</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19" w:type="dxa"/>
            <w:vAlign w:val="center"/>
          </w:tcPr>
          <w:p>
            <w:pPr>
              <w:spacing w:before="100" w:beforeAutospacing="1" w:after="100" w:afterAutospacing="1" w:line="440" w:lineRule="atLeast"/>
              <w:jc w:val="right"/>
              <w:rPr>
                <w:rFonts w:asciiTheme="minorEastAsia" w:hAnsiTheme="minorEastAsia" w:eastAsiaTheme="minorEastAsia"/>
                <w:szCs w:val="21"/>
              </w:rPr>
            </w:pPr>
            <w:r>
              <w:rPr>
                <w:rFonts w:hint="eastAsia" w:asciiTheme="minorEastAsia" w:hAnsiTheme="minorEastAsia" w:eastAsiaTheme="minorEastAsia"/>
                <w:szCs w:val="21"/>
              </w:rPr>
              <w:t>1.3</w:t>
            </w:r>
          </w:p>
        </w:tc>
        <w:tc>
          <w:tcPr>
            <w:tcW w:w="81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shd w:val="clear" w:color="auto" w:fill="FFFFFF"/>
              </w:rPr>
              <w:t>自定义档案多属性科目，用于档案补充说明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19" w:type="dxa"/>
            <w:vAlign w:val="center"/>
          </w:tcPr>
          <w:p>
            <w:pPr>
              <w:spacing w:before="100" w:beforeAutospacing="1" w:after="100" w:afterAutospacing="1" w:line="440" w:lineRule="atLeast"/>
              <w:jc w:val="center"/>
              <w:rPr>
                <w:rFonts w:asciiTheme="minorEastAsia" w:hAnsiTheme="minorEastAsia" w:eastAsiaTheme="minorEastAsia"/>
                <w:b/>
                <w:bCs/>
                <w:szCs w:val="21"/>
              </w:rPr>
            </w:pPr>
            <w:r>
              <w:rPr>
                <w:rFonts w:hint="eastAsia" w:asciiTheme="minorEastAsia" w:hAnsiTheme="minorEastAsia" w:eastAsiaTheme="minorEastAsia"/>
                <w:b/>
                <w:bCs/>
                <w:szCs w:val="21"/>
              </w:rPr>
              <w:t>2</w:t>
            </w:r>
          </w:p>
        </w:tc>
        <w:tc>
          <w:tcPr>
            <w:tcW w:w="81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多种途径档案查找与检索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19" w:type="dxa"/>
            <w:vAlign w:val="center"/>
          </w:tcPr>
          <w:p>
            <w:pPr>
              <w:spacing w:before="100" w:beforeAutospacing="1" w:after="100" w:afterAutospacing="1" w:line="440" w:lineRule="atLeast"/>
              <w:jc w:val="right"/>
              <w:rPr>
                <w:rFonts w:asciiTheme="minorEastAsia" w:hAnsiTheme="minorEastAsia" w:eastAsiaTheme="minorEastAsia"/>
                <w:szCs w:val="21"/>
              </w:rPr>
            </w:pPr>
            <w:r>
              <w:rPr>
                <w:rFonts w:hint="eastAsia" w:asciiTheme="minorEastAsia" w:hAnsiTheme="minorEastAsia" w:eastAsiaTheme="minorEastAsia"/>
                <w:szCs w:val="21"/>
              </w:rPr>
              <w:t>2.1</w:t>
            </w:r>
          </w:p>
        </w:tc>
        <w:tc>
          <w:tcPr>
            <w:tcW w:w="81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支持</w:t>
            </w:r>
            <w:r>
              <w:rPr>
                <w:rFonts w:hint="eastAsia" w:asciiTheme="minorEastAsia" w:hAnsiTheme="minorEastAsia" w:eastAsiaTheme="minorEastAsia"/>
                <w:szCs w:val="21"/>
                <w:shd w:val="clear" w:color="auto" w:fill="FFFFFF"/>
              </w:rPr>
              <w:t>按档案类型查找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19" w:type="dxa"/>
            <w:vAlign w:val="center"/>
          </w:tcPr>
          <w:p>
            <w:pPr>
              <w:spacing w:before="100" w:beforeAutospacing="1" w:after="100" w:afterAutospacing="1" w:line="440" w:lineRule="atLeast"/>
              <w:jc w:val="right"/>
              <w:rPr>
                <w:rFonts w:asciiTheme="minorEastAsia" w:hAnsiTheme="minorEastAsia" w:eastAsiaTheme="minorEastAsia"/>
                <w:szCs w:val="21"/>
              </w:rPr>
            </w:pPr>
            <w:r>
              <w:rPr>
                <w:rFonts w:hint="eastAsia" w:asciiTheme="minorEastAsia" w:hAnsiTheme="minorEastAsia" w:eastAsiaTheme="minorEastAsia"/>
                <w:szCs w:val="21"/>
              </w:rPr>
              <w:t>2.2</w:t>
            </w:r>
          </w:p>
        </w:tc>
        <w:tc>
          <w:tcPr>
            <w:tcW w:w="81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shd w:val="clear" w:color="auto" w:fill="FFFFFF"/>
              </w:rPr>
              <w:t>支持按档案自定义科目属性列查找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19" w:type="dxa"/>
            <w:vAlign w:val="center"/>
          </w:tcPr>
          <w:p>
            <w:pPr>
              <w:spacing w:before="100" w:beforeAutospacing="1" w:after="100" w:afterAutospacing="1" w:line="440" w:lineRule="atLeast"/>
              <w:jc w:val="right"/>
              <w:rPr>
                <w:rFonts w:asciiTheme="minorEastAsia" w:hAnsiTheme="minorEastAsia" w:eastAsiaTheme="minorEastAsia"/>
                <w:szCs w:val="21"/>
              </w:rPr>
            </w:pPr>
            <w:r>
              <w:rPr>
                <w:rFonts w:hint="eastAsia" w:asciiTheme="minorEastAsia" w:hAnsiTheme="minorEastAsia" w:eastAsiaTheme="minorEastAsia"/>
                <w:szCs w:val="21"/>
              </w:rPr>
              <w:t>2.3</w:t>
            </w:r>
          </w:p>
        </w:tc>
        <w:tc>
          <w:tcPr>
            <w:tcW w:w="81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支持</w:t>
            </w:r>
            <w:r>
              <w:rPr>
                <w:rFonts w:hint="eastAsia" w:asciiTheme="minorEastAsia" w:hAnsiTheme="minorEastAsia" w:eastAsiaTheme="minorEastAsia"/>
                <w:szCs w:val="21"/>
                <w:shd w:val="clear" w:color="auto" w:fill="FFFFFF"/>
              </w:rPr>
              <w:t>按部门或条件人员查找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19" w:type="dxa"/>
            <w:vAlign w:val="center"/>
          </w:tcPr>
          <w:p>
            <w:pPr>
              <w:spacing w:before="100" w:beforeAutospacing="1" w:after="100" w:afterAutospacing="1" w:line="440" w:lineRule="atLeast"/>
              <w:jc w:val="right"/>
              <w:rPr>
                <w:rFonts w:asciiTheme="minorEastAsia" w:hAnsiTheme="minorEastAsia" w:eastAsiaTheme="minorEastAsia"/>
                <w:szCs w:val="21"/>
              </w:rPr>
            </w:pPr>
            <w:r>
              <w:rPr>
                <w:rFonts w:hint="eastAsia" w:asciiTheme="minorEastAsia" w:hAnsiTheme="minorEastAsia" w:eastAsiaTheme="minorEastAsia"/>
                <w:szCs w:val="21"/>
              </w:rPr>
              <w:t>2.4</w:t>
            </w:r>
          </w:p>
        </w:tc>
        <w:tc>
          <w:tcPr>
            <w:tcW w:w="81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shd w:val="clear" w:color="auto" w:fill="FFFFFF"/>
              </w:rPr>
              <w:t>电子档案的在线预览查看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19" w:type="dxa"/>
            <w:vAlign w:val="center"/>
          </w:tcPr>
          <w:p>
            <w:pPr>
              <w:spacing w:before="100" w:beforeAutospacing="1" w:after="100" w:afterAutospacing="1" w:line="440" w:lineRule="atLeast"/>
              <w:jc w:val="right"/>
              <w:rPr>
                <w:rFonts w:asciiTheme="minorEastAsia" w:hAnsiTheme="minorEastAsia" w:eastAsiaTheme="minorEastAsia"/>
                <w:szCs w:val="21"/>
              </w:rPr>
            </w:pPr>
            <w:r>
              <w:rPr>
                <w:rFonts w:hint="eastAsia" w:asciiTheme="minorEastAsia" w:hAnsiTheme="minorEastAsia" w:eastAsiaTheme="minorEastAsia"/>
                <w:szCs w:val="21"/>
              </w:rPr>
              <w:t>2.5</w:t>
            </w:r>
          </w:p>
        </w:tc>
        <w:tc>
          <w:tcPr>
            <w:tcW w:w="81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shd w:val="clear" w:color="auto" w:fill="FFFFFF"/>
              </w:rPr>
              <w:t>支持多人档案批量导出与安全密码打开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19" w:type="dxa"/>
            <w:vAlign w:val="center"/>
          </w:tcPr>
          <w:p>
            <w:pPr>
              <w:spacing w:before="100" w:beforeAutospacing="1" w:after="100" w:afterAutospacing="1" w:line="440" w:lineRule="atLeast"/>
              <w:jc w:val="right"/>
              <w:rPr>
                <w:rFonts w:hint="eastAsia" w:asciiTheme="minorEastAsia" w:hAnsiTheme="minorEastAsia" w:eastAsiaTheme="minorEastAsia"/>
                <w:szCs w:val="21"/>
              </w:rPr>
            </w:pPr>
            <w:r>
              <w:rPr>
                <w:rFonts w:hint="eastAsia" w:asciiTheme="minorEastAsia" w:hAnsiTheme="minorEastAsia" w:eastAsiaTheme="minorEastAsia"/>
                <w:szCs w:val="21"/>
              </w:rPr>
              <w:t>2.6</w:t>
            </w:r>
          </w:p>
        </w:tc>
        <w:tc>
          <w:tcPr>
            <w:tcW w:w="8160" w:type="dxa"/>
            <w:vAlign w:val="center"/>
          </w:tcPr>
          <w:p>
            <w:pPr>
              <w:rPr>
                <w:rFonts w:hint="eastAsia"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支持图表展示各人各类档案证件统计图，支持常用柱形图，饼形图，线型图，面积图...等图形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19" w:type="dxa"/>
            <w:vAlign w:val="center"/>
          </w:tcPr>
          <w:p>
            <w:pPr>
              <w:spacing w:before="100" w:beforeAutospacing="1" w:after="100" w:afterAutospacing="1" w:line="440" w:lineRule="atLeast"/>
              <w:jc w:val="right"/>
              <w:rPr>
                <w:rFonts w:asciiTheme="minorEastAsia" w:hAnsiTheme="minorEastAsia" w:eastAsiaTheme="minorEastAsia"/>
                <w:szCs w:val="21"/>
              </w:rPr>
            </w:pPr>
            <w:r>
              <w:rPr>
                <w:rFonts w:hint="eastAsia" w:cs="宋体" w:asciiTheme="minorEastAsia" w:hAnsiTheme="minorEastAsia" w:eastAsiaTheme="minorEastAsia"/>
                <w:kern w:val="0"/>
                <w:szCs w:val="21"/>
                <w:lang w:eastAsia="zh-CN"/>
              </w:rPr>
              <w:t>★</w:t>
            </w:r>
            <w:r>
              <w:rPr>
                <w:rFonts w:hint="eastAsia" w:asciiTheme="minorEastAsia" w:hAnsiTheme="minorEastAsia" w:eastAsiaTheme="minorEastAsia"/>
                <w:szCs w:val="21"/>
              </w:rPr>
              <w:t>2.7</w:t>
            </w:r>
          </w:p>
        </w:tc>
        <w:tc>
          <w:tcPr>
            <w:tcW w:w="8160" w:type="dxa"/>
            <w:vAlign w:val="center"/>
          </w:tcPr>
          <w:p>
            <w:pPr>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支持P</w:t>
            </w:r>
            <w:r>
              <w:rPr>
                <w:rFonts w:asciiTheme="minorEastAsia" w:hAnsiTheme="minorEastAsia" w:eastAsiaTheme="minorEastAsia"/>
                <w:szCs w:val="21"/>
                <w:shd w:val="clear" w:color="auto" w:fill="FFFFFF"/>
              </w:rPr>
              <w:t>c</w:t>
            </w:r>
            <w:r>
              <w:rPr>
                <w:rFonts w:hint="eastAsia" w:asciiTheme="minorEastAsia" w:hAnsiTheme="minorEastAsia" w:eastAsiaTheme="minorEastAsia"/>
                <w:szCs w:val="21"/>
                <w:shd w:val="clear" w:color="auto" w:fill="FFFFFF"/>
              </w:rPr>
              <w:t>端员工自助自查或自助下载个人电子档案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19" w:type="dxa"/>
            <w:vAlign w:val="center"/>
          </w:tcPr>
          <w:p>
            <w:pPr>
              <w:spacing w:before="100" w:beforeAutospacing="1" w:after="100" w:afterAutospacing="1" w:line="440" w:lineRule="atLeast"/>
              <w:jc w:val="right"/>
              <w:rPr>
                <w:rFonts w:asciiTheme="minorEastAsia" w:hAnsiTheme="minorEastAsia" w:eastAsiaTheme="minorEastAsia"/>
                <w:szCs w:val="21"/>
              </w:rPr>
            </w:pPr>
            <w:r>
              <w:rPr>
                <w:rFonts w:hint="eastAsia" w:cs="宋体" w:asciiTheme="minorEastAsia" w:hAnsiTheme="minorEastAsia" w:eastAsiaTheme="minorEastAsia"/>
                <w:kern w:val="0"/>
                <w:szCs w:val="21"/>
                <w:lang w:eastAsia="zh-CN"/>
              </w:rPr>
              <w:t>★</w:t>
            </w:r>
            <w:r>
              <w:rPr>
                <w:rFonts w:hint="eastAsia" w:asciiTheme="minorEastAsia" w:hAnsiTheme="minorEastAsia" w:eastAsiaTheme="minorEastAsia"/>
                <w:szCs w:val="21"/>
              </w:rPr>
              <w:t>2.8</w:t>
            </w:r>
          </w:p>
        </w:tc>
        <w:tc>
          <w:tcPr>
            <w:tcW w:w="8160" w:type="dxa"/>
            <w:vAlign w:val="center"/>
          </w:tcPr>
          <w:p>
            <w:pPr>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支持手机钉钉端员工特定档案下载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19" w:type="dxa"/>
            <w:vAlign w:val="center"/>
          </w:tcPr>
          <w:p>
            <w:pPr>
              <w:spacing w:before="100" w:beforeAutospacing="1" w:after="100" w:afterAutospacing="1" w:line="440" w:lineRule="atLeast"/>
              <w:jc w:val="center"/>
              <w:rPr>
                <w:rFonts w:asciiTheme="minorEastAsia" w:hAnsiTheme="minorEastAsia" w:eastAsiaTheme="minorEastAsia"/>
                <w:b/>
                <w:bCs/>
                <w:szCs w:val="21"/>
              </w:rPr>
            </w:pPr>
            <w:r>
              <w:rPr>
                <w:rFonts w:hint="eastAsia" w:asciiTheme="minorEastAsia" w:hAnsiTheme="minorEastAsia" w:eastAsiaTheme="minorEastAsia"/>
                <w:b/>
                <w:bCs/>
                <w:szCs w:val="21"/>
              </w:rPr>
              <w:t>3</w:t>
            </w:r>
          </w:p>
        </w:tc>
        <w:tc>
          <w:tcPr>
            <w:tcW w:w="8160" w:type="dxa"/>
            <w:vAlign w:val="center"/>
          </w:tcPr>
          <w:p>
            <w:pPr>
              <w:spacing w:before="100" w:beforeAutospacing="1" w:after="100" w:afterAutospacing="1" w:line="440" w:lineRule="atLeast"/>
              <w:jc w:val="left"/>
              <w:rPr>
                <w:rFonts w:asciiTheme="minorEastAsia" w:hAnsiTheme="minorEastAsia" w:eastAsiaTheme="minorEastAsia"/>
                <w:b/>
                <w:bCs/>
                <w:szCs w:val="21"/>
              </w:rPr>
            </w:pPr>
            <w:r>
              <w:rPr>
                <w:rFonts w:hint="eastAsia" w:asciiTheme="minorEastAsia" w:hAnsiTheme="minorEastAsia" w:eastAsiaTheme="minorEastAsia"/>
                <w:szCs w:val="21"/>
              </w:rPr>
              <w:t>档案警示方案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19" w:type="dxa"/>
            <w:vAlign w:val="center"/>
          </w:tcPr>
          <w:p>
            <w:pPr>
              <w:spacing w:before="100" w:beforeAutospacing="1" w:after="100" w:afterAutospacing="1" w:line="440" w:lineRule="atLeast"/>
              <w:jc w:val="right"/>
              <w:rPr>
                <w:rFonts w:asciiTheme="minorEastAsia" w:hAnsiTheme="minorEastAsia" w:eastAsiaTheme="minorEastAsia"/>
                <w:szCs w:val="21"/>
              </w:rPr>
            </w:pPr>
            <w:r>
              <w:rPr>
                <w:rFonts w:hint="eastAsia" w:ascii="宋体" w:hAnsi="宋体" w:cs="宋体" w:eastAsiaTheme="minorEastAsia"/>
                <w:kern w:val="0"/>
                <w:szCs w:val="21"/>
                <w:lang w:eastAsia="zh-CN"/>
              </w:rPr>
              <w:t>★</w:t>
            </w:r>
            <w:r>
              <w:rPr>
                <w:rFonts w:hint="eastAsia" w:asciiTheme="minorEastAsia" w:hAnsiTheme="minorEastAsia" w:eastAsiaTheme="minorEastAsia"/>
                <w:szCs w:val="21"/>
              </w:rPr>
              <w:t>3.1</w:t>
            </w:r>
          </w:p>
        </w:tc>
        <w:tc>
          <w:tcPr>
            <w:tcW w:w="8160" w:type="dxa"/>
            <w:vAlign w:val="center"/>
          </w:tcPr>
          <w:p>
            <w:pPr>
              <w:spacing w:before="100" w:beforeAutospacing="1" w:after="100" w:afterAutospacing="1" w:line="440" w:lineRule="atLeast"/>
              <w:jc w:val="left"/>
              <w:rPr>
                <w:rFonts w:asciiTheme="minorEastAsia" w:hAnsiTheme="minorEastAsia" w:eastAsiaTheme="minorEastAsia"/>
                <w:szCs w:val="21"/>
              </w:rPr>
            </w:pPr>
            <w:r>
              <w:rPr>
                <w:rFonts w:hint="eastAsia" w:asciiTheme="minorEastAsia" w:hAnsiTheme="minorEastAsia" w:eastAsiaTheme="minorEastAsia"/>
                <w:szCs w:val="21"/>
              </w:rPr>
              <w:t>支持</w:t>
            </w:r>
            <w:r>
              <w:rPr>
                <w:rFonts w:hint="eastAsia" w:asciiTheme="minorEastAsia" w:hAnsiTheme="minorEastAsia" w:eastAsiaTheme="minorEastAsia"/>
                <w:szCs w:val="21"/>
                <w:shd w:val="clear" w:color="auto" w:fill="FFFFFF"/>
              </w:rPr>
              <w:t>过期失效预警，支持定义提示对象与提前时间（按年、按月、按日）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19" w:type="dxa"/>
            <w:vAlign w:val="center"/>
          </w:tcPr>
          <w:p>
            <w:pPr>
              <w:spacing w:before="100" w:beforeAutospacing="1" w:after="100" w:afterAutospacing="1" w:line="440" w:lineRule="atLeast"/>
              <w:jc w:val="right"/>
              <w:rPr>
                <w:rFonts w:asciiTheme="minorEastAsia" w:hAnsiTheme="minorEastAsia" w:eastAsiaTheme="minorEastAsia"/>
                <w:szCs w:val="21"/>
              </w:rPr>
            </w:pPr>
            <w:r>
              <w:rPr>
                <w:rFonts w:hint="eastAsia" w:asciiTheme="minorEastAsia" w:hAnsiTheme="minorEastAsia" w:eastAsiaTheme="minorEastAsia"/>
                <w:szCs w:val="21"/>
              </w:rPr>
              <w:t>3.2</w:t>
            </w:r>
          </w:p>
        </w:tc>
        <w:tc>
          <w:tcPr>
            <w:tcW w:w="81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shd w:val="clear" w:color="auto" w:fill="FFFFFF"/>
              </w:rPr>
              <w:t>档案归还超期预警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19" w:type="dxa"/>
            <w:vAlign w:val="center"/>
          </w:tcPr>
          <w:p>
            <w:pPr>
              <w:spacing w:before="100" w:beforeAutospacing="1" w:after="100" w:afterAutospacing="1" w:line="440" w:lineRule="atLeast"/>
              <w:jc w:val="right"/>
              <w:rPr>
                <w:rFonts w:ascii="宋体" w:hAnsi="宋体"/>
                <w:szCs w:val="21"/>
              </w:rPr>
            </w:pPr>
            <w:r>
              <w:rPr>
                <w:rFonts w:hint="eastAsia" w:ascii="宋体" w:hAnsi="宋体"/>
                <w:szCs w:val="21"/>
              </w:rPr>
              <w:t>3.3</w:t>
            </w:r>
          </w:p>
        </w:tc>
        <w:tc>
          <w:tcPr>
            <w:tcW w:w="81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shd w:val="clear" w:color="auto" w:fill="FFFFFF"/>
              </w:rPr>
              <w:t>员工电子档案提交完整度提示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19" w:type="dxa"/>
            <w:vAlign w:val="center"/>
          </w:tcPr>
          <w:p>
            <w:pPr>
              <w:spacing w:before="100" w:beforeAutospacing="1" w:after="100" w:afterAutospacing="1" w:line="440" w:lineRule="atLeast"/>
              <w:jc w:val="center"/>
              <w:rPr>
                <w:rFonts w:ascii="宋体" w:hAnsi="宋体"/>
                <w:b/>
                <w:bCs/>
                <w:szCs w:val="21"/>
              </w:rPr>
            </w:pPr>
            <w:r>
              <w:rPr>
                <w:rFonts w:hint="eastAsia" w:ascii="宋体" w:hAnsi="宋体"/>
                <w:b/>
                <w:bCs/>
                <w:szCs w:val="21"/>
              </w:rPr>
              <w:t>4</w:t>
            </w:r>
          </w:p>
        </w:tc>
        <w:tc>
          <w:tcPr>
            <w:tcW w:w="8160" w:type="dxa"/>
            <w:vAlign w:val="center"/>
          </w:tcPr>
          <w:p>
            <w:pPr>
              <w:rPr>
                <w:rFonts w:asciiTheme="minorEastAsia" w:hAnsiTheme="minorEastAsia" w:eastAsiaTheme="minorEastAsia"/>
                <w:b/>
                <w:bCs/>
                <w:szCs w:val="21"/>
              </w:rPr>
            </w:pPr>
            <w:r>
              <w:rPr>
                <w:rFonts w:hint="eastAsia" w:asciiTheme="minorEastAsia" w:hAnsiTheme="minorEastAsia" w:eastAsiaTheme="minorEastAsia"/>
                <w:szCs w:val="21"/>
              </w:rPr>
              <w:t>建立电子化的归档、借阅等档案标准管理流程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19" w:type="dxa"/>
            <w:vAlign w:val="center"/>
          </w:tcPr>
          <w:p>
            <w:pPr>
              <w:spacing w:before="100" w:beforeAutospacing="1" w:after="100" w:afterAutospacing="1" w:line="440" w:lineRule="atLeast"/>
              <w:jc w:val="right"/>
              <w:rPr>
                <w:rFonts w:ascii="宋体" w:hAnsi="宋体"/>
                <w:szCs w:val="21"/>
              </w:rPr>
            </w:pPr>
            <w:r>
              <w:rPr>
                <w:rFonts w:hint="eastAsia" w:ascii="宋体" w:hAnsi="宋体" w:cs="宋体"/>
                <w:kern w:val="0"/>
                <w:szCs w:val="21"/>
                <w:lang w:eastAsia="zh-CN"/>
              </w:rPr>
              <w:t>★</w:t>
            </w:r>
            <w:r>
              <w:rPr>
                <w:rFonts w:hint="eastAsia" w:ascii="宋体" w:hAnsi="宋体"/>
                <w:szCs w:val="21"/>
              </w:rPr>
              <w:t>4.1</w:t>
            </w:r>
          </w:p>
        </w:tc>
        <w:tc>
          <w:tcPr>
            <w:tcW w:w="8160" w:type="dxa"/>
            <w:vAlign w:val="center"/>
          </w:tcPr>
          <w:p>
            <w:pPr>
              <w:spacing w:before="100" w:beforeAutospacing="1" w:after="100" w:afterAutospacing="1" w:line="440" w:lineRule="atLeast"/>
              <w:jc w:val="left"/>
              <w:rPr>
                <w:rFonts w:asciiTheme="minorEastAsia" w:hAnsiTheme="minorEastAsia" w:eastAsiaTheme="minorEastAsia"/>
                <w:szCs w:val="21"/>
              </w:rPr>
            </w:pPr>
            <w:r>
              <w:rPr>
                <w:rFonts w:hint="eastAsia" w:asciiTheme="minorEastAsia" w:hAnsiTheme="minorEastAsia" w:eastAsiaTheme="minorEastAsia"/>
                <w:szCs w:val="21"/>
                <w:shd w:val="clear" w:color="auto" w:fill="FFFFFF"/>
              </w:rPr>
              <w:t>支持流程借阅，支持自定义取人事系统审批人，支持流程驳回、协商、挂起</w:t>
            </w:r>
            <w:r>
              <w:rPr>
                <w:rFonts w:hint="eastAsia" w:asciiTheme="minorEastAsia" w:hAnsiTheme="minorEastAsia" w:eastAsiaTheme="minorEastAsia"/>
                <w:szCs w:val="21"/>
              </w:rPr>
              <w:t>，上一节点已审自动通过等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19" w:type="dxa"/>
            <w:vAlign w:val="center"/>
          </w:tcPr>
          <w:p>
            <w:pPr>
              <w:spacing w:before="100" w:beforeAutospacing="1" w:after="100" w:afterAutospacing="1" w:line="440" w:lineRule="atLeast"/>
              <w:jc w:val="center"/>
              <w:rPr>
                <w:rFonts w:ascii="宋体" w:hAnsi="宋体"/>
                <w:b/>
                <w:bCs/>
                <w:szCs w:val="21"/>
              </w:rPr>
            </w:pPr>
            <w:r>
              <w:rPr>
                <w:rFonts w:hint="eastAsia" w:ascii="宋体" w:hAnsi="宋体"/>
                <w:b/>
                <w:bCs/>
                <w:szCs w:val="21"/>
              </w:rPr>
              <w:t>5</w:t>
            </w:r>
          </w:p>
        </w:tc>
        <w:tc>
          <w:tcPr>
            <w:tcW w:w="8160" w:type="dxa"/>
            <w:vAlign w:val="center"/>
          </w:tcPr>
          <w:p>
            <w:pPr>
              <w:rPr>
                <w:rFonts w:asciiTheme="minorEastAsia" w:hAnsiTheme="minorEastAsia" w:eastAsiaTheme="minorEastAsia"/>
                <w:b/>
                <w:bCs/>
                <w:szCs w:val="21"/>
              </w:rPr>
            </w:pPr>
            <w:r>
              <w:rPr>
                <w:rFonts w:hint="eastAsia" w:asciiTheme="minorEastAsia" w:hAnsiTheme="minorEastAsia" w:eastAsiaTheme="minorEastAsia"/>
                <w:szCs w:val="21"/>
              </w:rPr>
              <w:t>与人力资源系统权限集成，完成权限控制管理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19" w:type="dxa"/>
            <w:vAlign w:val="center"/>
          </w:tcPr>
          <w:p>
            <w:pPr>
              <w:spacing w:before="100" w:beforeAutospacing="1" w:after="100" w:afterAutospacing="1" w:line="440" w:lineRule="atLeast"/>
              <w:jc w:val="right"/>
              <w:rPr>
                <w:rFonts w:ascii="宋体" w:hAnsi="宋体"/>
                <w:szCs w:val="21"/>
              </w:rPr>
            </w:pPr>
            <w:r>
              <w:rPr>
                <w:rFonts w:hint="eastAsia" w:ascii="宋体" w:hAnsi="宋体"/>
                <w:szCs w:val="21"/>
              </w:rPr>
              <w:t>5.1</w:t>
            </w:r>
          </w:p>
        </w:tc>
        <w:tc>
          <w:tcPr>
            <w:tcW w:w="8160" w:type="dxa"/>
            <w:vAlign w:val="center"/>
          </w:tcPr>
          <w:p>
            <w:pPr>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支持按部门员工管辖权查阅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19" w:type="dxa"/>
            <w:vAlign w:val="center"/>
          </w:tcPr>
          <w:p>
            <w:pPr>
              <w:spacing w:before="100" w:beforeAutospacing="1" w:after="100" w:afterAutospacing="1" w:line="440" w:lineRule="atLeast"/>
              <w:jc w:val="right"/>
              <w:rPr>
                <w:rFonts w:ascii="宋体" w:hAnsi="宋体"/>
                <w:szCs w:val="21"/>
              </w:rPr>
            </w:pPr>
            <w:r>
              <w:rPr>
                <w:rFonts w:hint="eastAsia" w:ascii="宋体" w:hAnsi="宋体"/>
                <w:szCs w:val="21"/>
              </w:rPr>
              <w:t>5.2</w:t>
            </w:r>
          </w:p>
        </w:tc>
        <w:tc>
          <w:tcPr>
            <w:tcW w:w="8160" w:type="dxa"/>
            <w:vAlign w:val="center"/>
          </w:tcPr>
          <w:p>
            <w:pPr>
              <w:rPr>
                <w:rFonts w:asciiTheme="minorEastAsia" w:hAnsiTheme="minorEastAsia" w:eastAsiaTheme="minorEastAsia"/>
                <w:szCs w:val="21"/>
              </w:rPr>
            </w:pPr>
            <w:r>
              <w:rPr>
                <w:rFonts w:asciiTheme="minorEastAsia" w:hAnsiTheme="minorEastAsia" w:eastAsiaTheme="minorEastAsia"/>
                <w:szCs w:val="21"/>
                <w:shd w:val="clear" w:color="auto" w:fill="FFFFFF"/>
              </w:rPr>
              <w:t>支持增加、删除功能权控制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19" w:type="dxa"/>
            <w:vAlign w:val="center"/>
          </w:tcPr>
          <w:p>
            <w:pPr>
              <w:spacing w:before="100" w:beforeAutospacing="1" w:after="100" w:afterAutospacing="1" w:line="440" w:lineRule="atLeast"/>
              <w:jc w:val="right"/>
              <w:rPr>
                <w:rFonts w:ascii="宋体" w:hAnsi="宋体"/>
                <w:szCs w:val="21"/>
              </w:rPr>
            </w:pPr>
            <w:r>
              <w:rPr>
                <w:rFonts w:hint="eastAsia" w:ascii="宋体" w:hAnsi="宋体" w:cs="宋体"/>
                <w:kern w:val="0"/>
                <w:szCs w:val="21"/>
                <w:lang w:eastAsia="zh-CN"/>
              </w:rPr>
              <w:t>★</w:t>
            </w:r>
            <w:r>
              <w:rPr>
                <w:rFonts w:hint="eastAsia" w:ascii="宋体" w:hAnsi="宋体"/>
                <w:szCs w:val="21"/>
              </w:rPr>
              <w:t>5.2</w:t>
            </w:r>
          </w:p>
        </w:tc>
        <w:tc>
          <w:tcPr>
            <w:tcW w:w="8160" w:type="dxa"/>
            <w:vAlign w:val="center"/>
          </w:tcPr>
          <w:p>
            <w:pPr>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支持钉钉端应用权限控制</w:t>
            </w:r>
          </w:p>
        </w:tc>
      </w:tr>
    </w:tbl>
    <w:p>
      <w:pPr>
        <w:pStyle w:val="12"/>
        <w:rPr>
          <w:rFonts w:hint="eastAsia"/>
          <w:lang w:val="en-US" w:eastAsia="zh-CN"/>
        </w:rPr>
      </w:pPr>
    </w:p>
    <w:p>
      <w:pPr>
        <w:numPr>
          <w:ilvl w:val="0"/>
          <w:numId w:val="0"/>
        </w:numPr>
        <w:rPr>
          <w:rFonts w:hint="default" w:eastAsia="宋体"/>
          <w:b/>
          <w:bCs/>
          <w:sz w:val="28"/>
          <w:szCs w:val="28"/>
          <w:lang w:val="en-US" w:eastAsia="zh-CN"/>
        </w:rPr>
      </w:pPr>
      <w:r>
        <w:rPr>
          <w:rFonts w:hint="eastAsia"/>
          <w:b/>
          <w:bCs/>
          <w:sz w:val="28"/>
          <w:szCs w:val="28"/>
          <w:lang w:val="en-US" w:eastAsia="zh-CN"/>
        </w:rPr>
        <w:t>七</w:t>
      </w:r>
      <w:r>
        <w:rPr>
          <w:rFonts w:hint="eastAsia"/>
          <w:b/>
          <w:bCs/>
          <w:sz w:val="28"/>
          <w:szCs w:val="28"/>
        </w:rPr>
        <w:t>、</w:t>
      </w:r>
      <w:r>
        <w:rPr>
          <w:rFonts w:hint="eastAsia"/>
          <w:b/>
          <w:bCs/>
          <w:sz w:val="28"/>
          <w:szCs w:val="28"/>
          <w:lang w:val="en-US" w:eastAsia="zh-CN"/>
        </w:rPr>
        <w:t>定标方法</w:t>
      </w:r>
    </w:p>
    <w:p>
      <w:pPr>
        <w:spacing w:line="360" w:lineRule="auto"/>
        <w:ind w:firstLine="480" w:firstLineChars="200"/>
        <w:rPr>
          <w:rFonts w:ascii="宋体" w:hAnsi="宋体" w:eastAsia="宋体" w:cs="宋体"/>
          <w:sz w:val="24"/>
        </w:rPr>
      </w:pPr>
      <w:r>
        <w:rPr>
          <w:rFonts w:hint="eastAsia" w:ascii="宋体" w:hAnsi="宋体" w:eastAsia="宋体" w:cs="宋体"/>
          <w:sz w:val="24"/>
        </w:rPr>
        <w:t>为公正、公平、科学地选择中标人，根据《中华人民共和国政府采购法》等有关法律法规的规定，并结合本项目的实际，制定本办法。</w:t>
      </w:r>
    </w:p>
    <w:p>
      <w:pPr>
        <w:spacing w:line="360" w:lineRule="auto"/>
        <w:ind w:firstLine="482" w:firstLineChars="200"/>
        <w:rPr>
          <w:rFonts w:ascii="宋体" w:hAnsi="宋体" w:eastAsia="宋体" w:cs="宋体"/>
          <w:b/>
          <w:sz w:val="24"/>
        </w:rPr>
      </w:pPr>
      <w:r>
        <w:rPr>
          <w:rFonts w:hint="eastAsia" w:ascii="宋体" w:hAnsi="宋体" w:eastAsia="宋体" w:cs="宋体"/>
          <w:b/>
          <w:sz w:val="24"/>
          <w:lang w:eastAsia="zh-CN"/>
        </w:rPr>
        <w:t>（</w:t>
      </w:r>
      <w:r>
        <w:rPr>
          <w:rFonts w:hint="eastAsia" w:ascii="宋体" w:hAnsi="宋体" w:eastAsia="宋体" w:cs="宋体"/>
          <w:b/>
          <w:sz w:val="24"/>
          <w:lang w:val="en-US" w:eastAsia="zh-CN"/>
        </w:rPr>
        <w:t>一</w:t>
      </w:r>
      <w:r>
        <w:rPr>
          <w:rFonts w:hint="eastAsia" w:ascii="宋体" w:hAnsi="宋体" w:eastAsia="宋体" w:cs="宋体"/>
          <w:b/>
          <w:sz w:val="24"/>
          <w:lang w:eastAsia="zh-CN"/>
        </w:rPr>
        <w:t>）</w:t>
      </w:r>
      <w:r>
        <w:rPr>
          <w:rFonts w:hint="eastAsia" w:ascii="宋体" w:hAnsi="宋体" w:eastAsia="宋体" w:cs="宋体"/>
          <w:b/>
          <w:sz w:val="24"/>
        </w:rPr>
        <w:t>总则</w:t>
      </w:r>
    </w:p>
    <w:p>
      <w:pPr>
        <w:spacing w:line="360" w:lineRule="auto"/>
        <w:ind w:firstLine="480" w:firstLineChars="200"/>
        <w:rPr>
          <w:rFonts w:ascii="宋体" w:hAnsi="宋体" w:eastAsia="宋体" w:cs="宋体"/>
          <w:sz w:val="24"/>
        </w:rPr>
      </w:pPr>
      <w:r>
        <w:rPr>
          <w:rFonts w:hint="eastAsia" w:ascii="宋体" w:hAnsi="宋体" w:eastAsia="宋体" w:cs="宋体"/>
          <w:sz w:val="24"/>
        </w:rPr>
        <w:t>本次评标采用综合评分法，总分为100分，其中价格分30分、商务技术分70分两部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评分过程中采用四舍五入法，并保留小数2位。</w:t>
      </w:r>
    </w:p>
    <w:p>
      <w:pPr>
        <w:spacing w:line="360" w:lineRule="auto"/>
        <w:ind w:firstLine="480" w:firstLineChars="200"/>
        <w:rPr>
          <w:rFonts w:ascii="宋体" w:hAnsi="宋体" w:eastAsia="宋体" w:cs="宋体"/>
          <w:sz w:val="24"/>
        </w:rPr>
      </w:pPr>
      <w:r>
        <w:rPr>
          <w:rFonts w:hint="eastAsia" w:ascii="宋体" w:hAnsi="宋体" w:eastAsia="宋体" w:cs="宋体"/>
          <w:sz w:val="24"/>
        </w:rPr>
        <w:t>投标人评标综合得分=价格分+商务技术分</w:t>
      </w:r>
    </w:p>
    <w:p>
      <w:pPr>
        <w:spacing w:line="360" w:lineRule="auto"/>
        <w:ind w:firstLine="482" w:firstLineChars="200"/>
        <w:rPr>
          <w:rFonts w:ascii="宋体" w:hAnsi="宋体" w:eastAsia="宋体" w:cs="宋体"/>
          <w:b/>
          <w:sz w:val="24"/>
        </w:rPr>
      </w:pPr>
      <w:r>
        <w:rPr>
          <w:rFonts w:hint="eastAsia" w:ascii="宋体" w:hAnsi="宋体" w:eastAsia="宋体" w:cs="宋体"/>
          <w:b/>
          <w:sz w:val="24"/>
          <w:lang w:eastAsia="zh-CN"/>
        </w:rPr>
        <w:t>（</w:t>
      </w:r>
      <w:r>
        <w:rPr>
          <w:rFonts w:hint="eastAsia" w:ascii="宋体" w:hAnsi="宋体" w:eastAsia="宋体" w:cs="宋体"/>
          <w:b/>
          <w:sz w:val="24"/>
          <w:lang w:val="en-US" w:eastAsia="zh-CN"/>
        </w:rPr>
        <w:t>二</w:t>
      </w:r>
      <w:r>
        <w:rPr>
          <w:rFonts w:hint="eastAsia" w:ascii="宋体" w:hAnsi="宋体" w:eastAsia="宋体" w:cs="宋体"/>
          <w:b/>
          <w:sz w:val="24"/>
          <w:lang w:eastAsia="zh-CN"/>
        </w:rPr>
        <w:t>）</w:t>
      </w:r>
      <w:r>
        <w:rPr>
          <w:rFonts w:hint="eastAsia" w:ascii="宋体" w:hAnsi="宋体" w:eastAsia="宋体" w:cs="宋体"/>
          <w:b/>
          <w:sz w:val="24"/>
        </w:rPr>
        <w:t>评标内容及标准</w:t>
      </w:r>
    </w:p>
    <w:p>
      <w:pPr>
        <w:pStyle w:val="8"/>
        <w:spacing w:line="360" w:lineRule="auto"/>
        <w:ind w:left="0" w:leftChars="0" w:firstLine="466" w:firstLineChars="200"/>
        <w:rPr>
          <w:rFonts w:hAnsi="宋体" w:eastAsia="宋体" w:cs="宋体"/>
          <w:b/>
          <w:bCs/>
          <w:sz w:val="24"/>
          <w:szCs w:val="24"/>
        </w:rPr>
      </w:pPr>
      <w:r>
        <w:rPr>
          <w:rFonts w:hint="eastAsia" w:hAnsi="宋体" w:eastAsia="宋体" w:cs="宋体"/>
          <w:b/>
          <w:sz w:val="24"/>
          <w:szCs w:val="24"/>
          <w:lang w:val="en-US" w:eastAsia="zh-CN"/>
        </w:rPr>
        <w:t>1、</w:t>
      </w:r>
      <w:r>
        <w:rPr>
          <w:rFonts w:hint="eastAsia" w:hAnsi="宋体" w:eastAsia="宋体" w:cs="宋体"/>
          <w:b/>
          <w:bCs/>
          <w:sz w:val="24"/>
          <w:szCs w:val="24"/>
        </w:rPr>
        <w:t>价格分（30分）</w:t>
      </w:r>
    </w:p>
    <w:p>
      <w:pPr>
        <w:spacing w:line="360" w:lineRule="auto"/>
        <w:ind w:firstLine="480" w:firstLineChars="200"/>
        <w:rPr>
          <w:rFonts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价格分采用低价优先法计算，即满足招标文件要求且投标价格最低的投标报价为评标基准价，其他投标人的价格分按照下列公式计算：</w:t>
      </w:r>
    </w:p>
    <w:p>
      <w:pPr>
        <w:spacing w:line="360" w:lineRule="auto"/>
        <w:ind w:firstLine="480" w:firstLineChars="200"/>
        <w:rPr>
          <w:rFonts w:ascii="宋体" w:hAnsi="宋体" w:eastAsia="宋体" w:cs="宋体"/>
          <w:sz w:val="24"/>
        </w:rPr>
      </w:pPr>
      <w:r>
        <w:rPr>
          <w:rFonts w:hint="eastAsia" w:ascii="宋体" w:hAnsi="宋体" w:eastAsia="宋体" w:cs="宋体"/>
          <w:sz w:val="24"/>
        </w:rPr>
        <w:t>价格分=（评标基准价/投标报价）×30%×100</w:t>
      </w:r>
    </w:p>
    <w:p>
      <w:pPr>
        <w:pStyle w:val="8"/>
        <w:spacing w:line="360" w:lineRule="auto"/>
        <w:ind w:firstLine="466" w:firstLineChars="200"/>
        <w:rPr>
          <w:rFonts w:hAnsi="宋体" w:eastAsia="宋体" w:cs="宋体"/>
          <w:b/>
          <w:bCs/>
          <w:sz w:val="24"/>
          <w:szCs w:val="24"/>
          <w:u w:val="single"/>
          <w:shd w:val="pct10" w:color="auto" w:fill="FFFFFF"/>
        </w:rPr>
      </w:pPr>
      <w:r>
        <w:rPr>
          <w:rFonts w:hint="eastAsia" w:hAnsi="宋体" w:eastAsia="宋体" w:cs="宋体"/>
          <w:b/>
          <w:bCs/>
          <w:sz w:val="24"/>
          <w:szCs w:val="24"/>
          <w:u w:val="single"/>
          <w:shd w:val="pct10" w:color="auto" w:fill="FFFFFF"/>
        </w:rPr>
        <w:t>根据《政府采购货物和服务招标投标管理办法》（财政部令第87号）第六十条之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8"/>
        <w:spacing w:line="360" w:lineRule="auto"/>
        <w:ind w:firstLine="466" w:firstLineChars="200"/>
        <w:rPr>
          <w:rFonts w:hAnsi="宋体" w:eastAsia="宋体" w:cs="宋体"/>
          <w:b/>
          <w:bCs/>
          <w:sz w:val="24"/>
          <w:szCs w:val="24"/>
          <w:u w:val="single"/>
          <w:shd w:val="pct10" w:color="auto" w:fill="FFFFFF"/>
        </w:rPr>
      </w:pPr>
      <w:r>
        <w:rPr>
          <w:rFonts w:hint="eastAsia" w:hAnsi="宋体" w:eastAsia="宋体" w:cs="宋体"/>
          <w:b/>
          <w:bCs/>
          <w:sz w:val="24"/>
          <w:szCs w:val="24"/>
          <w:u w:val="single"/>
          <w:shd w:val="pct10" w:color="auto" w:fill="FFFFFF"/>
        </w:rPr>
        <w:t>如本采购项目有投标人的报价明显低于其他通过符合性审查投标人的报价，有可能影响产品质量或者不能诚信履约的，评标委员会应当要求该投标人在评标现场合理的时间内提供书面说明，必要时提交相关证明材料（货物类：</w:t>
      </w:r>
      <w:bookmarkStart w:id="1" w:name="_Hlk80007663"/>
      <w:r>
        <w:rPr>
          <w:rFonts w:hint="eastAsia" w:hAnsi="宋体" w:eastAsia="宋体" w:cs="宋体"/>
          <w:b/>
          <w:bCs/>
          <w:sz w:val="24"/>
          <w:szCs w:val="24"/>
          <w:u w:val="single"/>
          <w:shd w:val="pct10" w:color="auto" w:fill="FFFFFF"/>
        </w:rPr>
        <w:t>包括但不限于：提供包含本次采购设备报价清单的合同、提供包含本次采购设备的购买发票、购销合同等资料；</w:t>
      </w:r>
      <w:bookmarkEnd w:id="1"/>
      <w:r>
        <w:rPr>
          <w:rFonts w:hint="eastAsia" w:hAnsi="宋体" w:eastAsia="宋体" w:cs="宋体"/>
          <w:b/>
          <w:bCs/>
          <w:sz w:val="24"/>
          <w:szCs w:val="24"/>
          <w:u w:val="single"/>
          <w:shd w:val="pct10" w:color="auto" w:fill="FFFFFF"/>
        </w:rPr>
        <w:t>服务类：包括但不限于：提供包含</w:t>
      </w:r>
      <w:bookmarkStart w:id="2" w:name="_Hlk80007879"/>
      <w:r>
        <w:rPr>
          <w:rFonts w:hint="eastAsia" w:hAnsi="宋体" w:eastAsia="宋体" w:cs="宋体"/>
          <w:b/>
          <w:bCs/>
          <w:sz w:val="24"/>
          <w:szCs w:val="24"/>
          <w:u w:val="single"/>
          <w:shd w:val="pct10" w:color="auto" w:fill="FFFFFF"/>
        </w:rPr>
        <w:t>本次采购服务内容的</w:t>
      </w:r>
      <w:bookmarkEnd w:id="2"/>
      <w:r>
        <w:rPr>
          <w:rFonts w:hint="eastAsia" w:hAnsi="宋体" w:eastAsia="宋体" w:cs="宋体"/>
          <w:b/>
          <w:bCs/>
          <w:sz w:val="24"/>
          <w:szCs w:val="24"/>
          <w:u w:val="single"/>
          <w:shd w:val="pct10" w:color="auto" w:fill="FFFFFF"/>
        </w:rPr>
        <w:t>合同、提供本次采购服务内容的报价测算清单等资料）。投标人如不能提供相关证明材料证明其报价合理性的，或未在评标现场合理的时间内提供相关证明材料的，评标委员会应当将其作为无效投标处理。</w:t>
      </w:r>
    </w:p>
    <w:p>
      <w:pPr>
        <w:spacing w:line="360" w:lineRule="auto"/>
        <w:ind w:firstLine="482" w:firstLineChars="200"/>
        <w:rPr>
          <w:rFonts w:hint="eastAsia" w:ascii="宋体" w:hAnsi="宋体" w:eastAsia="宋体" w:cs="宋体"/>
          <w:b/>
          <w:bCs/>
          <w:sz w:val="24"/>
          <w:lang w:val="en-US" w:eastAsia="zh-CN"/>
        </w:rPr>
      </w:pPr>
    </w:p>
    <w:p>
      <w:pPr>
        <w:pStyle w:val="12"/>
        <w:rPr>
          <w:rFonts w:hint="eastAsia" w:ascii="宋体" w:hAnsi="宋体" w:eastAsia="宋体" w:cs="宋体"/>
          <w:b/>
          <w:bCs/>
          <w:sz w:val="24"/>
          <w:lang w:val="en-US" w:eastAsia="zh-CN"/>
        </w:rPr>
      </w:pPr>
      <w:bookmarkStart w:id="5" w:name="_GoBack"/>
      <w:bookmarkEnd w:id="5"/>
    </w:p>
    <w:p>
      <w:pPr>
        <w:rPr>
          <w:rFonts w:hint="eastAsia" w:ascii="宋体" w:hAnsi="宋体" w:eastAsia="宋体" w:cs="宋体"/>
          <w:b/>
          <w:bCs/>
          <w:sz w:val="24"/>
          <w:lang w:val="en-US" w:eastAsia="zh-CN"/>
        </w:rPr>
      </w:pPr>
    </w:p>
    <w:p>
      <w:pPr>
        <w:pStyle w:val="12"/>
        <w:rPr>
          <w:rFonts w:hint="eastAsia" w:ascii="宋体" w:hAnsi="宋体" w:eastAsia="宋体" w:cs="宋体"/>
          <w:b/>
          <w:bCs/>
          <w:sz w:val="24"/>
          <w:lang w:val="en-US" w:eastAsia="zh-CN"/>
        </w:rPr>
      </w:pPr>
    </w:p>
    <w:p>
      <w:pPr>
        <w:rPr>
          <w:rFonts w:hint="eastAsia" w:ascii="宋体" w:hAnsi="宋体" w:eastAsia="宋体" w:cs="宋体"/>
          <w:b/>
          <w:bCs/>
          <w:sz w:val="24"/>
          <w:lang w:val="en-US" w:eastAsia="zh-CN"/>
        </w:rPr>
      </w:pPr>
    </w:p>
    <w:p>
      <w:pPr>
        <w:tabs>
          <w:tab w:val="left" w:pos="774"/>
        </w:tabs>
        <w:autoSpaceDE w:val="0"/>
        <w:autoSpaceDN w:val="0"/>
        <w:spacing w:before="240" w:line="276" w:lineRule="auto"/>
        <w:ind w:left="774" w:hanging="576"/>
        <w:jc w:val="center"/>
        <w:outlineLvl w:val="2"/>
        <w:rPr>
          <w:rFonts w:hint="eastAsia" w:ascii="宋体" w:hAnsi="宋体" w:eastAsia="宋体" w:cs="宋体"/>
          <w:b/>
          <w:color w:val="auto"/>
          <w:sz w:val="28"/>
          <w:szCs w:val="28"/>
          <w:highlight w:val="none"/>
          <w:lang w:val="zh-CN"/>
        </w:rPr>
      </w:pPr>
      <w:bookmarkStart w:id="3" w:name="_Toc11964"/>
      <w:bookmarkStart w:id="4" w:name="_Toc8618"/>
      <w:r>
        <w:rPr>
          <w:rFonts w:hint="eastAsia" w:ascii="宋体" w:hAnsi="宋体" w:eastAsia="宋体" w:cs="宋体"/>
          <w:b/>
          <w:color w:val="auto"/>
          <w:sz w:val="28"/>
          <w:szCs w:val="28"/>
          <w:highlight w:val="none"/>
          <w:lang w:val="en-US" w:eastAsia="zh-CN"/>
        </w:rPr>
        <w:t xml:space="preserve">附件1  </w:t>
      </w:r>
      <w:r>
        <w:rPr>
          <w:rFonts w:hint="eastAsia" w:ascii="宋体" w:hAnsi="宋体" w:eastAsia="宋体" w:cs="宋体"/>
          <w:b/>
          <w:color w:val="auto"/>
          <w:sz w:val="28"/>
          <w:szCs w:val="28"/>
          <w:highlight w:val="none"/>
          <w:lang w:val="zh-CN"/>
        </w:rPr>
        <w:t>报价一览表</w:t>
      </w:r>
      <w:bookmarkEnd w:id="3"/>
      <w:bookmarkEnd w:id="4"/>
    </w:p>
    <w:p>
      <w:pPr>
        <w:spacing w:line="360" w:lineRule="auto"/>
        <w:ind w:firstLine="480" w:firstLineChars="200"/>
        <w:rPr>
          <w:rFonts w:hint="eastAsia" w:ascii="宋体" w:hAnsi="宋体" w:eastAsia="宋体" w:cs="宋体"/>
          <w:b w:val="0"/>
          <w:bCs w:val="0"/>
          <w:color w:val="auto"/>
          <w:sz w:val="22"/>
          <w:szCs w:val="18"/>
          <w:highlight w:val="none"/>
        </w:rPr>
      </w:pPr>
      <w:r>
        <w:rPr>
          <w:rFonts w:hint="eastAsia" w:ascii="宋体" w:hAnsi="宋体" w:eastAsia="宋体" w:cs="宋体"/>
          <w:b w:val="0"/>
          <w:bCs w:val="0"/>
          <w:color w:val="auto"/>
          <w:sz w:val="24"/>
          <w:szCs w:val="24"/>
          <w:highlight w:val="none"/>
        </w:rPr>
        <w:t>项目名称：</w:t>
      </w:r>
      <w:r>
        <w:rPr>
          <w:rFonts w:hint="eastAsia" w:ascii="新宋体" w:hAnsi="新宋体" w:eastAsia="新宋体"/>
          <w:color w:val="000000"/>
          <w:sz w:val="24"/>
          <w:szCs w:val="24"/>
          <w:lang w:val="en-US" w:eastAsia="zh-CN"/>
        </w:rPr>
        <w:t>温州市中医院人事管理软件扩容</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z w:val="22"/>
          <w:szCs w:val="18"/>
          <w:highlight w:val="none"/>
        </w:rPr>
        <w:t xml:space="preserve">                            </w:t>
      </w:r>
    </w:p>
    <w:tbl>
      <w:tblPr>
        <w:tblStyle w:val="15"/>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2745"/>
        <w:gridCol w:w="3345"/>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3" w:type="dxa"/>
            <w:noWrap w:val="0"/>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2745" w:type="dxa"/>
            <w:noWrap w:val="0"/>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bCs/>
                <w:color w:val="auto"/>
                <w:sz w:val="22"/>
                <w:szCs w:val="22"/>
                <w:highlight w:val="none"/>
              </w:rPr>
              <w:t>项目名称</w:t>
            </w:r>
          </w:p>
        </w:tc>
        <w:tc>
          <w:tcPr>
            <w:tcW w:w="3345" w:type="dxa"/>
            <w:noWrap w:val="0"/>
            <w:vAlign w:val="center"/>
          </w:tcPr>
          <w:p>
            <w:pPr>
              <w:spacing w:line="380" w:lineRule="exact"/>
              <w:jc w:val="both"/>
              <w:rPr>
                <w:rFonts w:hint="eastAsia" w:ascii="宋体" w:hAnsi="宋体" w:eastAsia="宋体" w:cs="宋体"/>
                <w:color w:val="auto"/>
                <w:sz w:val="22"/>
                <w:highlight w:val="none"/>
                <w:lang w:eastAsia="zh-CN"/>
              </w:rPr>
            </w:pPr>
            <w:r>
              <w:rPr>
                <w:rFonts w:hint="eastAsia" w:ascii="宋体" w:hAnsi="宋体" w:eastAsia="宋体" w:cs="宋体"/>
                <w:bCs/>
                <w:color w:val="auto"/>
                <w:sz w:val="22"/>
                <w:szCs w:val="22"/>
                <w:highlight w:val="none"/>
              </w:rPr>
              <w:t>报价</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人民币元</w:t>
            </w:r>
            <w:r>
              <w:rPr>
                <w:rFonts w:hint="eastAsia" w:ascii="宋体" w:hAnsi="宋体" w:eastAsia="宋体" w:cs="宋体"/>
                <w:bCs/>
                <w:color w:val="auto"/>
                <w:sz w:val="22"/>
                <w:szCs w:val="22"/>
                <w:highlight w:val="none"/>
                <w:lang w:eastAsia="zh-CN"/>
              </w:rPr>
              <w:t>）</w:t>
            </w:r>
          </w:p>
        </w:tc>
        <w:tc>
          <w:tcPr>
            <w:tcW w:w="1466" w:type="dxa"/>
            <w:noWrap w:val="0"/>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免费质保期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363" w:type="dxa"/>
            <w:vMerge w:val="restart"/>
            <w:noWrap w:val="0"/>
            <w:vAlign w:val="center"/>
          </w:tcPr>
          <w:p>
            <w:pPr>
              <w:spacing w:line="380" w:lineRule="exact"/>
              <w:jc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w:t>
            </w:r>
          </w:p>
        </w:tc>
        <w:tc>
          <w:tcPr>
            <w:tcW w:w="2745" w:type="dxa"/>
            <w:vMerge w:val="restart"/>
            <w:noWrap w:val="0"/>
            <w:vAlign w:val="center"/>
          </w:tcPr>
          <w:p>
            <w:pPr>
              <w:spacing w:line="380" w:lineRule="exact"/>
              <w:jc w:val="center"/>
              <w:rPr>
                <w:rFonts w:hint="eastAsia" w:ascii="宋体" w:hAnsi="宋体" w:eastAsia="宋体" w:cs="宋体"/>
                <w:color w:val="auto"/>
                <w:sz w:val="22"/>
                <w:highlight w:val="none"/>
              </w:rPr>
            </w:pPr>
            <w:r>
              <w:rPr>
                <w:rFonts w:hint="eastAsia" w:ascii="新宋体" w:hAnsi="新宋体" w:eastAsia="新宋体"/>
                <w:color w:val="000000"/>
                <w:sz w:val="24"/>
                <w:szCs w:val="24"/>
                <w:lang w:val="en-US" w:eastAsia="zh-CN"/>
              </w:rPr>
              <w:t>人事管理软件扩容</w:t>
            </w:r>
          </w:p>
        </w:tc>
        <w:tc>
          <w:tcPr>
            <w:tcW w:w="3345" w:type="dxa"/>
            <w:noWrap w:val="0"/>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p>
        </w:tc>
        <w:tc>
          <w:tcPr>
            <w:tcW w:w="1466" w:type="dxa"/>
            <w:vMerge w:val="restart"/>
            <w:noWrap w:val="0"/>
            <w:vAlign w:val="center"/>
          </w:tcPr>
          <w:p>
            <w:pPr>
              <w:spacing w:line="38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363" w:type="dxa"/>
            <w:vMerge w:val="continue"/>
            <w:noWrap w:val="0"/>
            <w:vAlign w:val="center"/>
          </w:tcPr>
          <w:p>
            <w:pPr>
              <w:spacing w:line="380" w:lineRule="exact"/>
              <w:jc w:val="center"/>
              <w:rPr>
                <w:rFonts w:hint="eastAsia" w:ascii="宋体" w:hAnsi="宋体" w:eastAsia="宋体" w:cs="宋体"/>
                <w:color w:val="auto"/>
                <w:sz w:val="22"/>
                <w:highlight w:val="none"/>
              </w:rPr>
            </w:pPr>
          </w:p>
        </w:tc>
        <w:tc>
          <w:tcPr>
            <w:tcW w:w="2745" w:type="dxa"/>
            <w:vMerge w:val="continue"/>
            <w:noWrap w:val="0"/>
            <w:vAlign w:val="center"/>
          </w:tcPr>
          <w:p>
            <w:pPr>
              <w:spacing w:line="380" w:lineRule="exact"/>
              <w:jc w:val="center"/>
              <w:rPr>
                <w:rFonts w:hint="eastAsia" w:ascii="宋体" w:hAnsi="宋体" w:eastAsia="宋体" w:cs="宋体"/>
                <w:color w:val="auto"/>
                <w:sz w:val="22"/>
                <w:highlight w:val="none"/>
              </w:rPr>
            </w:pPr>
          </w:p>
        </w:tc>
        <w:tc>
          <w:tcPr>
            <w:tcW w:w="3345" w:type="dxa"/>
            <w:noWrap w:val="0"/>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c>
          <w:tcPr>
            <w:tcW w:w="1466" w:type="dxa"/>
            <w:vMerge w:val="continue"/>
            <w:noWrap w:val="0"/>
            <w:vAlign w:val="center"/>
          </w:tcPr>
          <w:p>
            <w:pPr>
              <w:spacing w:line="380" w:lineRule="exact"/>
              <w:jc w:val="center"/>
              <w:rPr>
                <w:rFonts w:hint="eastAsia" w:ascii="宋体" w:hAnsi="宋体" w:eastAsia="宋体" w:cs="宋体"/>
                <w:color w:val="auto"/>
                <w:sz w:val="22"/>
                <w:highlight w:val="none"/>
              </w:rPr>
            </w:pPr>
          </w:p>
        </w:tc>
      </w:tr>
    </w:tbl>
    <w:p>
      <w:pPr>
        <w:spacing w:line="450" w:lineRule="exact"/>
        <w:ind w:firstLine="541" w:firstLineChars="245"/>
        <w:rPr>
          <w:rFonts w:hint="eastAsia" w:ascii="宋体" w:hAnsi="宋体" w:eastAsia="宋体" w:cs="宋体"/>
          <w:b/>
          <w:color w:val="auto"/>
          <w:sz w:val="22"/>
          <w:highlight w:val="none"/>
        </w:rPr>
      </w:pPr>
    </w:p>
    <w:p>
      <w:p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r>
        <w:rPr>
          <w:rFonts w:hint="eastAsia" w:ascii="宋体" w:hAnsi="宋体" w:eastAsia="宋体" w:cs="宋体"/>
          <w:b/>
          <w:color w:val="auto"/>
          <w:sz w:val="22"/>
          <w:highlight w:val="none"/>
          <w:lang w:val="en-US" w:eastAsia="zh-CN"/>
        </w:rPr>
        <w:t>1</w:t>
      </w:r>
      <w:r>
        <w:rPr>
          <w:rFonts w:hint="eastAsia" w:ascii="宋体" w:hAnsi="宋体" w:eastAsia="宋体" w:cs="宋体"/>
          <w:b/>
          <w:color w:val="auto"/>
          <w:sz w:val="22"/>
          <w:highlight w:val="none"/>
        </w:rPr>
        <w:t>、全部报价均为税后价。</w:t>
      </w:r>
    </w:p>
    <w:p>
      <w:pPr>
        <w:spacing w:line="450" w:lineRule="exact"/>
        <w:rPr>
          <w:rFonts w:hint="eastAsia" w:ascii="宋体" w:hAnsi="宋体" w:eastAsia="宋体" w:cs="宋体"/>
          <w:b/>
          <w:color w:val="auto"/>
          <w:sz w:val="22"/>
          <w:highlight w:val="none"/>
          <w:lang w:eastAsia="zh-CN"/>
        </w:rPr>
      </w:pPr>
      <w:r>
        <w:rPr>
          <w:rFonts w:hint="eastAsia" w:ascii="宋体" w:hAnsi="宋体" w:eastAsia="宋体" w:cs="宋体"/>
          <w:b/>
          <w:color w:val="auto"/>
          <w:sz w:val="22"/>
          <w:highlight w:val="none"/>
        </w:rPr>
        <w:t xml:space="preserve">           </w:t>
      </w:r>
      <w:r>
        <w:rPr>
          <w:rFonts w:hint="eastAsia" w:ascii="宋体" w:hAnsi="宋体" w:eastAsia="宋体" w:cs="宋体"/>
          <w:b/>
          <w:color w:val="auto"/>
          <w:sz w:val="22"/>
          <w:highlight w:val="none"/>
          <w:lang w:val="en-US" w:eastAsia="zh-CN"/>
        </w:rPr>
        <w:t>2</w:t>
      </w:r>
      <w:r>
        <w:rPr>
          <w:rFonts w:hint="eastAsia" w:ascii="宋体" w:hAnsi="宋体" w:eastAsia="宋体" w:cs="宋体"/>
          <w:b/>
          <w:color w:val="auto"/>
          <w:sz w:val="22"/>
          <w:highlight w:val="none"/>
        </w:rPr>
        <w:t>、不提供此表格将被视为没有实质性响应文件</w:t>
      </w:r>
      <w:r>
        <w:rPr>
          <w:rFonts w:hint="eastAsia" w:ascii="宋体" w:hAnsi="宋体" w:eastAsia="宋体" w:cs="宋体"/>
          <w:b/>
          <w:color w:val="auto"/>
          <w:sz w:val="22"/>
          <w:highlight w:val="none"/>
          <w:lang w:eastAsia="zh-CN"/>
        </w:rPr>
        <w:t>。</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供应商全称（盖章）：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供应商代表（签字）：</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w:t>
      </w:r>
    </w:p>
    <w:p>
      <w:pPr>
        <w:rPr>
          <w:rFonts w:hint="eastAsia" w:ascii="宋体" w:hAnsi="宋体" w:eastAsia="宋体" w:cs="宋体"/>
          <w:b/>
          <w:bCs/>
          <w:sz w:val="24"/>
          <w:lang w:val="en-US" w:eastAsia="zh-CN"/>
        </w:rPr>
      </w:pPr>
    </w:p>
    <w:p>
      <w:pPr>
        <w:pStyle w:val="3"/>
        <w:rPr>
          <w:rFonts w:hint="eastAsia" w:ascii="宋体" w:hAnsi="宋体" w:eastAsia="宋体" w:cs="宋体"/>
          <w:b/>
          <w:bCs/>
          <w:sz w:val="24"/>
          <w:lang w:val="en-US" w:eastAsia="zh-CN"/>
        </w:rPr>
      </w:pPr>
    </w:p>
    <w:p>
      <w:pPr>
        <w:rPr>
          <w:rFonts w:hint="eastAsia" w:ascii="宋体" w:hAnsi="宋体" w:eastAsia="宋体" w:cs="宋体"/>
          <w:b/>
          <w:bCs/>
          <w:sz w:val="24"/>
          <w:lang w:val="en-US" w:eastAsia="zh-CN"/>
        </w:rPr>
      </w:pPr>
    </w:p>
    <w:p>
      <w:pPr>
        <w:pStyle w:val="3"/>
        <w:rPr>
          <w:rFonts w:hint="eastAsia" w:ascii="宋体" w:hAnsi="宋体" w:eastAsia="宋体" w:cs="宋体"/>
          <w:b/>
          <w:bCs/>
          <w:sz w:val="24"/>
          <w:lang w:val="en-US" w:eastAsia="zh-CN"/>
        </w:rPr>
      </w:pPr>
    </w:p>
    <w:p>
      <w:pPr>
        <w:rPr>
          <w:rFonts w:hint="eastAsia" w:ascii="宋体" w:hAnsi="宋体" w:eastAsia="宋体" w:cs="宋体"/>
          <w:b/>
          <w:bCs/>
          <w:sz w:val="24"/>
          <w:lang w:val="en-US" w:eastAsia="zh-CN"/>
        </w:rPr>
      </w:pPr>
    </w:p>
    <w:p>
      <w:pPr>
        <w:pStyle w:val="3"/>
        <w:rPr>
          <w:rFonts w:hint="eastAsia" w:ascii="宋体" w:hAnsi="宋体" w:eastAsia="宋体" w:cs="宋体"/>
          <w:b/>
          <w:bCs/>
          <w:sz w:val="24"/>
          <w:lang w:val="en-US" w:eastAsia="zh-CN"/>
        </w:rPr>
      </w:pPr>
    </w:p>
    <w:p>
      <w:pPr>
        <w:rPr>
          <w:rFonts w:hint="eastAsia" w:ascii="宋体" w:hAnsi="宋体" w:eastAsia="宋体" w:cs="宋体"/>
          <w:b/>
          <w:bCs/>
          <w:sz w:val="24"/>
          <w:lang w:val="en-US" w:eastAsia="zh-CN"/>
        </w:rPr>
      </w:pPr>
    </w:p>
    <w:p>
      <w:pPr>
        <w:pStyle w:val="3"/>
        <w:rPr>
          <w:rFonts w:hint="eastAsia" w:ascii="宋体" w:hAnsi="宋体" w:eastAsia="宋体" w:cs="宋体"/>
          <w:b/>
          <w:bCs/>
          <w:sz w:val="24"/>
          <w:lang w:val="en-US" w:eastAsia="zh-CN"/>
        </w:rPr>
      </w:pPr>
    </w:p>
    <w:p>
      <w:pPr>
        <w:rPr>
          <w:rFonts w:hint="eastAsia" w:ascii="宋体" w:hAnsi="宋体" w:eastAsia="宋体" w:cs="宋体"/>
          <w:b/>
          <w:bCs/>
          <w:sz w:val="24"/>
          <w:lang w:val="en-US" w:eastAsia="zh-CN"/>
        </w:rPr>
      </w:pPr>
    </w:p>
    <w:p>
      <w:pPr>
        <w:spacing w:line="400" w:lineRule="exact"/>
        <w:jc w:val="center"/>
        <w:outlineLvl w:val="2"/>
        <w:rPr>
          <w:rFonts w:hint="eastAsia" w:ascii="新宋体" w:hAnsi="新宋体" w:eastAsia="新宋体"/>
          <w:b/>
          <w:bCs/>
          <w:sz w:val="28"/>
          <w:szCs w:val="28"/>
        </w:rPr>
      </w:pPr>
      <w:r>
        <w:rPr>
          <w:rFonts w:hint="eastAsia" w:ascii="新宋体" w:hAnsi="新宋体" w:eastAsia="新宋体"/>
          <w:b/>
          <w:bCs/>
          <w:sz w:val="28"/>
          <w:szCs w:val="28"/>
          <w:lang w:val="en-US" w:eastAsia="zh-CN"/>
        </w:rPr>
        <w:t xml:space="preserve">附件2  </w:t>
      </w:r>
      <w:r>
        <w:rPr>
          <w:rFonts w:hint="eastAsia" w:ascii="新宋体" w:hAnsi="新宋体" w:eastAsia="新宋体"/>
          <w:b/>
          <w:bCs/>
          <w:sz w:val="28"/>
          <w:szCs w:val="28"/>
        </w:rPr>
        <w:t>分项报价表</w:t>
      </w:r>
    </w:p>
    <w:p>
      <w:pPr>
        <w:spacing w:line="380" w:lineRule="exact"/>
        <w:rPr>
          <w:rFonts w:hint="eastAsia" w:ascii="新宋体" w:hAnsi="新宋体" w:eastAsia="新宋体"/>
          <w:b/>
          <w:bCs/>
          <w:sz w:val="22"/>
          <w:szCs w:val="22"/>
        </w:rPr>
      </w:pPr>
      <w:r>
        <w:rPr>
          <w:rFonts w:hint="eastAsia" w:ascii="新宋体" w:hAnsi="新宋体" w:eastAsia="新宋体"/>
          <w:b/>
          <w:bCs/>
          <w:sz w:val="22"/>
          <w:szCs w:val="22"/>
        </w:rPr>
        <w:t>项目名称：</w:t>
      </w:r>
      <w:r>
        <w:rPr>
          <w:rFonts w:hint="eastAsia" w:ascii="新宋体" w:hAnsi="新宋体" w:eastAsia="新宋体"/>
          <w:b/>
          <w:bCs/>
          <w:color w:val="000000"/>
          <w:sz w:val="21"/>
          <w:szCs w:val="21"/>
          <w:lang w:val="en-US" w:eastAsia="zh-CN"/>
        </w:rPr>
        <w:t>人事管理软件扩容</w:t>
      </w:r>
      <w:r>
        <w:rPr>
          <w:rFonts w:hint="eastAsia" w:ascii="新宋体" w:hAnsi="新宋体" w:eastAsia="新宋体"/>
          <w:b/>
          <w:bCs/>
          <w:sz w:val="21"/>
          <w:szCs w:val="21"/>
        </w:rPr>
        <w:t xml:space="preserve"> </w:t>
      </w:r>
      <w:r>
        <w:rPr>
          <w:rFonts w:hint="eastAsia" w:ascii="新宋体" w:hAnsi="新宋体" w:eastAsia="新宋体"/>
          <w:b/>
          <w:bCs/>
          <w:sz w:val="22"/>
          <w:szCs w:val="22"/>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3063"/>
        <w:gridCol w:w="2126"/>
        <w:gridCol w:w="1216"/>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035" w:type="dxa"/>
            <w:noWrap w:val="0"/>
            <w:vAlign w:val="center"/>
          </w:tcPr>
          <w:p>
            <w:pPr>
              <w:jc w:val="center"/>
              <w:rPr>
                <w:rFonts w:hint="eastAsia" w:ascii="新宋体" w:hAnsi="新宋体" w:eastAsia="新宋体"/>
                <w:sz w:val="22"/>
                <w:szCs w:val="22"/>
              </w:rPr>
            </w:pPr>
            <w:r>
              <w:rPr>
                <w:rFonts w:hint="eastAsia" w:ascii="新宋体" w:hAnsi="新宋体" w:eastAsia="新宋体"/>
                <w:sz w:val="22"/>
                <w:szCs w:val="22"/>
              </w:rPr>
              <w:t>序号</w:t>
            </w:r>
          </w:p>
        </w:tc>
        <w:tc>
          <w:tcPr>
            <w:tcW w:w="3063" w:type="dxa"/>
            <w:noWrap w:val="0"/>
            <w:vAlign w:val="center"/>
          </w:tcPr>
          <w:p>
            <w:pPr>
              <w:jc w:val="center"/>
              <w:rPr>
                <w:rFonts w:hint="eastAsia" w:ascii="新宋体" w:hAnsi="新宋体" w:eastAsia="新宋体"/>
                <w:sz w:val="22"/>
                <w:szCs w:val="22"/>
                <w:lang w:val="en-US" w:eastAsia="zh-CN"/>
              </w:rPr>
            </w:pPr>
            <w:r>
              <w:rPr>
                <w:rFonts w:hint="eastAsia" w:ascii="新宋体" w:hAnsi="新宋体" w:eastAsia="新宋体"/>
                <w:sz w:val="22"/>
                <w:szCs w:val="22"/>
              </w:rPr>
              <w:t>成本项目</w:t>
            </w:r>
            <w:r>
              <w:rPr>
                <w:rFonts w:hint="eastAsia" w:ascii="新宋体" w:hAnsi="新宋体" w:eastAsia="新宋体"/>
                <w:sz w:val="22"/>
                <w:szCs w:val="22"/>
                <w:lang w:val="en-US" w:eastAsia="zh-CN"/>
              </w:rPr>
              <w:t>明细</w:t>
            </w:r>
          </w:p>
        </w:tc>
        <w:tc>
          <w:tcPr>
            <w:tcW w:w="3342" w:type="dxa"/>
            <w:gridSpan w:val="2"/>
            <w:noWrap w:val="0"/>
            <w:vAlign w:val="center"/>
          </w:tcPr>
          <w:p>
            <w:pPr>
              <w:jc w:val="center"/>
              <w:rPr>
                <w:rFonts w:hint="eastAsia" w:ascii="新宋体" w:hAnsi="新宋体" w:eastAsia="新宋体"/>
                <w:sz w:val="22"/>
                <w:szCs w:val="22"/>
              </w:rPr>
            </w:pPr>
            <w:r>
              <w:rPr>
                <w:rFonts w:hint="eastAsia" w:ascii="新宋体" w:hAnsi="新宋体" w:eastAsia="新宋体"/>
                <w:sz w:val="22"/>
                <w:szCs w:val="22"/>
              </w:rPr>
              <w:t>费用（元）</w:t>
            </w:r>
          </w:p>
        </w:tc>
        <w:tc>
          <w:tcPr>
            <w:tcW w:w="2255" w:type="dxa"/>
            <w:noWrap w:val="0"/>
            <w:vAlign w:val="center"/>
          </w:tcPr>
          <w:p>
            <w:pPr>
              <w:jc w:val="center"/>
              <w:rPr>
                <w:rFonts w:hint="eastAsia" w:ascii="新宋体" w:hAnsi="新宋体" w:eastAsia="新宋体"/>
                <w:sz w:val="22"/>
                <w:szCs w:val="22"/>
              </w:rPr>
            </w:pPr>
            <w:r>
              <w:rPr>
                <w:rFonts w:hint="eastAsia" w:ascii="新宋体" w:hAnsi="新宋体" w:eastAsia="新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35" w:type="dxa"/>
            <w:noWrap w:val="0"/>
            <w:vAlign w:val="center"/>
          </w:tcPr>
          <w:p>
            <w:pPr>
              <w:jc w:val="center"/>
              <w:rPr>
                <w:rFonts w:hint="eastAsia" w:ascii="新宋体" w:hAnsi="新宋体" w:eastAsia="新宋体"/>
                <w:sz w:val="22"/>
                <w:szCs w:val="22"/>
              </w:rPr>
            </w:pPr>
          </w:p>
        </w:tc>
        <w:tc>
          <w:tcPr>
            <w:tcW w:w="3063" w:type="dxa"/>
            <w:noWrap w:val="0"/>
            <w:vAlign w:val="center"/>
          </w:tcPr>
          <w:p>
            <w:pPr>
              <w:rPr>
                <w:rFonts w:hint="eastAsia" w:ascii="新宋体" w:hAnsi="新宋体" w:eastAsia="新宋体"/>
                <w:sz w:val="22"/>
                <w:szCs w:val="22"/>
              </w:rPr>
            </w:pPr>
          </w:p>
        </w:tc>
        <w:tc>
          <w:tcPr>
            <w:tcW w:w="3342" w:type="dxa"/>
            <w:gridSpan w:val="2"/>
            <w:noWrap w:val="0"/>
            <w:vAlign w:val="center"/>
          </w:tcPr>
          <w:p>
            <w:pPr>
              <w:jc w:val="center"/>
              <w:rPr>
                <w:rFonts w:hint="eastAsia" w:ascii="新宋体" w:hAnsi="新宋体" w:eastAsia="新宋体"/>
                <w:sz w:val="22"/>
                <w:szCs w:val="22"/>
              </w:rPr>
            </w:pPr>
          </w:p>
        </w:tc>
        <w:tc>
          <w:tcPr>
            <w:tcW w:w="2255" w:type="dxa"/>
            <w:noWrap w:val="0"/>
            <w:vAlign w:val="center"/>
          </w:tcPr>
          <w:p>
            <w:pPr>
              <w:jc w:val="center"/>
              <w:rPr>
                <w:rFonts w:hint="eastAsia"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35" w:type="dxa"/>
            <w:noWrap w:val="0"/>
            <w:vAlign w:val="center"/>
          </w:tcPr>
          <w:p>
            <w:pPr>
              <w:jc w:val="center"/>
              <w:rPr>
                <w:rFonts w:hint="eastAsia" w:ascii="新宋体" w:hAnsi="新宋体" w:eastAsia="新宋体"/>
                <w:sz w:val="22"/>
                <w:szCs w:val="22"/>
              </w:rPr>
            </w:pPr>
          </w:p>
        </w:tc>
        <w:tc>
          <w:tcPr>
            <w:tcW w:w="3063" w:type="dxa"/>
            <w:noWrap w:val="0"/>
            <w:vAlign w:val="center"/>
          </w:tcPr>
          <w:p>
            <w:pPr>
              <w:ind w:firstLine="550" w:firstLineChars="250"/>
              <w:rPr>
                <w:rFonts w:hint="eastAsia" w:ascii="新宋体" w:hAnsi="新宋体" w:eastAsia="新宋体"/>
                <w:sz w:val="22"/>
                <w:szCs w:val="22"/>
              </w:rPr>
            </w:pPr>
          </w:p>
        </w:tc>
        <w:tc>
          <w:tcPr>
            <w:tcW w:w="3342" w:type="dxa"/>
            <w:gridSpan w:val="2"/>
            <w:noWrap w:val="0"/>
            <w:vAlign w:val="center"/>
          </w:tcPr>
          <w:p>
            <w:pPr>
              <w:jc w:val="center"/>
              <w:rPr>
                <w:rFonts w:hint="eastAsia" w:ascii="新宋体" w:hAnsi="新宋体" w:eastAsia="新宋体"/>
                <w:sz w:val="22"/>
                <w:szCs w:val="22"/>
              </w:rPr>
            </w:pPr>
          </w:p>
        </w:tc>
        <w:tc>
          <w:tcPr>
            <w:tcW w:w="2255" w:type="dxa"/>
            <w:noWrap w:val="0"/>
            <w:vAlign w:val="center"/>
          </w:tcPr>
          <w:p>
            <w:pPr>
              <w:rPr>
                <w:rFonts w:hint="eastAsia"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35" w:type="dxa"/>
            <w:noWrap w:val="0"/>
            <w:vAlign w:val="center"/>
          </w:tcPr>
          <w:p>
            <w:pPr>
              <w:jc w:val="center"/>
              <w:rPr>
                <w:rFonts w:hint="eastAsia" w:ascii="新宋体" w:hAnsi="新宋体" w:eastAsia="新宋体"/>
                <w:sz w:val="22"/>
                <w:szCs w:val="22"/>
              </w:rPr>
            </w:pPr>
          </w:p>
        </w:tc>
        <w:tc>
          <w:tcPr>
            <w:tcW w:w="3063" w:type="dxa"/>
            <w:noWrap w:val="0"/>
            <w:vAlign w:val="center"/>
          </w:tcPr>
          <w:p>
            <w:pPr>
              <w:ind w:firstLine="1100" w:firstLineChars="500"/>
              <w:rPr>
                <w:rFonts w:hint="eastAsia" w:ascii="新宋体" w:hAnsi="新宋体" w:eastAsia="新宋体"/>
                <w:sz w:val="22"/>
                <w:szCs w:val="22"/>
              </w:rPr>
            </w:pPr>
          </w:p>
        </w:tc>
        <w:tc>
          <w:tcPr>
            <w:tcW w:w="3342" w:type="dxa"/>
            <w:gridSpan w:val="2"/>
            <w:noWrap w:val="0"/>
            <w:vAlign w:val="center"/>
          </w:tcPr>
          <w:p>
            <w:pPr>
              <w:jc w:val="center"/>
              <w:rPr>
                <w:rFonts w:hint="eastAsia" w:ascii="新宋体" w:hAnsi="新宋体" w:eastAsia="新宋体"/>
                <w:sz w:val="22"/>
                <w:szCs w:val="22"/>
              </w:rPr>
            </w:pPr>
          </w:p>
        </w:tc>
        <w:tc>
          <w:tcPr>
            <w:tcW w:w="2255" w:type="dxa"/>
            <w:noWrap w:val="0"/>
            <w:vAlign w:val="center"/>
          </w:tcPr>
          <w:p>
            <w:pPr>
              <w:jc w:val="center"/>
              <w:rPr>
                <w:rFonts w:hint="eastAsia"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35" w:type="dxa"/>
            <w:noWrap w:val="0"/>
            <w:vAlign w:val="center"/>
          </w:tcPr>
          <w:p>
            <w:pPr>
              <w:jc w:val="center"/>
              <w:rPr>
                <w:rFonts w:hint="eastAsia" w:ascii="新宋体" w:hAnsi="新宋体" w:eastAsia="新宋体"/>
                <w:sz w:val="22"/>
                <w:szCs w:val="22"/>
              </w:rPr>
            </w:pPr>
          </w:p>
        </w:tc>
        <w:tc>
          <w:tcPr>
            <w:tcW w:w="3063" w:type="dxa"/>
            <w:noWrap w:val="0"/>
            <w:vAlign w:val="center"/>
          </w:tcPr>
          <w:p>
            <w:pPr>
              <w:ind w:firstLine="1100" w:firstLineChars="500"/>
              <w:rPr>
                <w:rFonts w:hint="eastAsia" w:ascii="新宋体" w:hAnsi="新宋体" w:eastAsia="新宋体"/>
                <w:sz w:val="22"/>
                <w:szCs w:val="22"/>
              </w:rPr>
            </w:pPr>
          </w:p>
        </w:tc>
        <w:tc>
          <w:tcPr>
            <w:tcW w:w="3342" w:type="dxa"/>
            <w:gridSpan w:val="2"/>
            <w:noWrap w:val="0"/>
            <w:vAlign w:val="center"/>
          </w:tcPr>
          <w:p>
            <w:pPr>
              <w:jc w:val="center"/>
              <w:rPr>
                <w:rFonts w:hint="eastAsia" w:ascii="新宋体" w:hAnsi="新宋体" w:eastAsia="新宋体"/>
                <w:sz w:val="22"/>
                <w:szCs w:val="22"/>
              </w:rPr>
            </w:pPr>
          </w:p>
        </w:tc>
        <w:tc>
          <w:tcPr>
            <w:tcW w:w="2255" w:type="dxa"/>
            <w:noWrap w:val="0"/>
            <w:vAlign w:val="center"/>
          </w:tcPr>
          <w:p>
            <w:pPr>
              <w:jc w:val="center"/>
              <w:rPr>
                <w:rFonts w:hint="eastAsia"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35" w:type="dxa"/>
            <w:noWrap w:val="0"/>
            <w:vAlign w:val="center"/>
          </w:tcPr>
          <w:p>
            <w:pPr>
              <w:jc w:val="center"/>
              <w:rPr>
                <w:rFonts w:hint="eastAsia" w:ascii="新宋体" w:hAnsi="新宋体" w:eastAsia="新宋体"/>
                <w:sz w:val="22"/>
                <w:szCs w:val="22"/>
              </w:rPr>
            </w:pPr>
          </w:p>
        </w:tc>
        <w:tc>
          <w:tcPr>
            <w:tcW w:w="3063" w:type="dxa"/>
            <w:noWrap w:val="0"/>
            <w:vAlign w:val="center"/>
          </w:tcPr>
          <w:p>
            <w:pPr>
              <w:ind w:firstLine="1100" w:firstLineChars="500"/>
              <w:rPr>
                <w:rFonts w:hint="eastAsia" w:ascii="新宋体" w:hAnsi="新宋体" w:eastAsia="新宋体"/>
                <w:sz w:val="22"/>
                <w:szCs w:val="22"/>
              </w:rPr>
            </w:pPr>
          </w:p>
        </w:tc>
        <w:tc>
          <w:tcPr>
            <w:tcW w:w="3342" w:type="dxa"/>
            <w:gridSpan w:val="2"/>
            <w:noWrap w:val="0"/>
            <w:vAlign w:val="center"/>
          </w:tcPr>
          <w:p>
            <w:pPr>
              <w:jc w:val="center"/>
              <w:rPr>
                <w:rFonts w:hint="eastAsia" w:ascii="新宋体" w:hAnsi="新宋体" w:eastAsia="新宋体"/>
                <w:sz w:val="22"/>
                <w:szCs w:val="22"/>
              </w:rPr>
            </w:pPr>
          </w:p>
        </w:tc>
        <w:tc>
          <w:tcPr>
            <w:tcW w:w="2255" w:type="dxa"/>
            <w:noWrap w:val="0"/>
            <w:vAlign w:val="center"/>
          </w:tcPr>
          <w:p>
            <w:pPr>
              <w:jc w:val="center"/>
              <w:rPr>
                <w:rFonts w:hint="eastAsia"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35" w:type="dxa"/>
            <w:noWrap w:val="0"/>
            <w:vAlign w:val="center"/>
          </w:tcPr>
          <w:p>
            <w:pPr>
              <w:jc w:val="center"/>
              <w:rPr>
                <w:rFonts w:hint="eastAsia" w:ascii="新宋体" w:hAnsi="新宋体" w:eastAsia="新宋体"/>
                <w:sz w:val="22"/>
                <w:szCs w:val="22"/>
              </w:rPr>
            </w:pPr>
          </w:p>
        </w:tc>
        <w:tc>
          <w:tcPr>
            <w:tcW w:w="3063" w:type="dxa"/>
            <w:noWrap w:val="0"/>
            <w:vAlign w:val="center"/>
          </w:tcPr>
          <w:p>
            <w:pPr>
              <w:jc w:val="center"/>
              <w:rPr>
                <w:rFonts w:hint="eastAsia" w:ascii="新宋体" w:hAnsi="新宋体" w:eastAsia="新宋体"/>
                <w:sz w:val="22"/>
                <w:szCs w:val="22"/>
              </w:rPr>
            </w:pPr>
          </w:p>
        </w:tc>
        <w:tc>
          <w:tcPr>
            <w:tcW w:w="3342" w:type="dxa"/>
            <w:gridSpan w:val="2"/>
            <w:noWrap w:val="0"/>
            <w:vAlign w:val="center"/>
          </w:tcPr>
          <w:p>
            <w:pPr>
              <w:jc w:val="center"/>
              <w:rPr>
                <w:rFonts w:hint="eastAsia" w:ascii="新宋体" w:hAnsi="新宋体" w:eastAsia="新宋体"/>
                <w:sz w:val="22"/>
                <w:szCs w:val="22"/>
              </w:rPr>
            </w:pPr>
          </w:p>
        </w:tc>
        <w:tc>
          <w:tcPr>
            <w:tcW w:w="2255" w:type="dxa"/>
            <w:noWrap w:val="0"/>
            <w:vAlign w:val="center"/>
          </w:tcPr>
          <w:p>
            <w:pPr>
              <w:jc w:val="center"/>
              <w:rPr>
                <w:rFonts w:hint="eastAsia"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35" w:type="dxa"/>
            <w:noWrap w:val="0"/>
            <w:vAlign w:val="center"/>
          </w:tcPr>
          <w:p>
            <w:pPr>
              <w:jc w:val="center"/>
              <w:rPr>
                <w:rFonts w:hint="eastAsia" w:ascii="新宋体" w:hAnsi="新宋体" w:eastAsia="新宋体"/>
                <w:sz w:val="22"/>
                <w:szCs w:val="22"/>
              </w:rPr>
            </w:pPr>
          </w:p>
        </w:tc>
        <w:tc>
          <w:tcPr>
            <w:tcW w:w="3063" w:type="dxa"/>
            <w:noWrap w:val="0"/>
            <w:vAlign w:val="center"/>
          </w:tcPr>
          <w:p>
            <w:pPr>
              <w:jc w:val="center"/>
              <w:rPr>
                <w:rFonts w:hint="eastAsia" w:ascii="新宋体" w:hAnsi="新宋体" w:eastAsia="新宋体"/>
                <w:sz w:val="22"/>
                <w:szCs w:val="22"/>
              </w:rPr>
            </w:pPr>
          </w:p>
        </w:tc>
        <w:tc>
          <w:tcPr>
            <w:tcW w:w="3342" w:type="dxa"/>
            <w:gridSpan w:val="2"/>
            <w:noWrap w:val="0"/>
            <w:vAlign w:val="center"/>
          </w:tcPr>
          <w:p>
            <w:pPr>
              <w:jc w:val="center"/>
              <w:rPr>
                <w:rFonts w:hint="eastAsia" w:ascii="新宋体" w:hAnsi="新宋体" w:eastAsia="新宋体"/>
                <w:sz w:val="22"/>
                <w:szCs w:val="22"/>
              </w:rPr>
            </w:pPr>
          </w:p>
        </w:tc>
        <w:tc>
          <w:tcPr>
            <w:tcW w:w="2255" w:type="dxa"/>
            <w:noWrap w:val="0"/>
            <w:vAlign w:val="center"/>
          </w:tcPr>
          <w:p>
            <w:pPr>
              <w:jc w:val="center"/>
              <w:rPr>
                <w:rFonts w:hint="eastAsia"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35" w:type="dxa"/>
            <w:noWrap w:val="0"/>
            <w:vAlign w:val="center"/>
          </w:tcPr>
          <w:p>
            <w:pPr>
              <w:jc w:val="center"/>
              <w:rPr>
                <w:rFonts w:hint="eastAsia" w:ascii="新宋体" w:hAnsi="新宋体" w:eastAsia="新宋体"/>
                <w:sz w:val="22"/>
                <w:szCs w:val="22"/>
              </w:rPr>
            </w:pPr>
          </w:p>
        </w:tc>
        <w:tc>
          <w:tcPr>
            <w:tcW w:w="3063" w:type="dxa"/>
            <w:noWrap w:val="0"/>
            <w:vAlign w:val="center"/>
          </w:tcPr>
          <w:p>
            <w:pPr>
              <w:jc w:val="center"/>
              <w:rPr>
                <w:rFonts w:hint="eastAsia" w:ascii="新宋体" w:hAnsi="新宋体" w:eastAsia="新宋体"/>
                <w:sz w:val="22"/>
                <w:szCs w:val="22"/>
              </w:rPr>
            </w:pPr>
          </w:p>
        </w:tc>
        <w:tc>
          <w:tcPr>
            <w:tcW w:w="3342" w:type="dxa"/>
            <w:gridSpan w:val="2"/>
            <w:noWrap w:val="0"/>
            <w:vAlign w:val="center"/>
          </w:tcPr>
          <w:p>
            <w:pPr>
              <w:jc w:val="center"/>
              <w:rPr>
                <w:rFonts w:hint="eastAsia" w:ascii="新宋体" w:hAnsi="新宋体" w:eastAsia="新宋体"/>
                <w:sz w:val="22"/>
                <w:szCs w:val="22"/>
              </w:rPr>
            </w:pPr>
          </w:p>
        </w:tc>
        <w:tc>
          <w:tcPr>
            <w:tcW w:w="2255" w:type="dxa"/>
            <w:noWrap w:val="0"/>
            <w:vAlign w:val="center"/>
          </w:tcPr>
          <w:p>
            <w:pPr>
              <w:jc w:val="center"/>
              <w:rPr>
                <w:rFonts w:hint="eastAsia"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35" w:type="dxa"/>
            <w:noWrap w:val="0"/>
            <w:vAlign w:val="center"/>
          </w:tcPr>
          <w:p>
            <w:pPr>
              <w:jc w:val="center"/>
              <w:rPr>
                <w:rFonts w:hint="eastAsia" w:ascii="新宋体" w:hAnsi="新宋体" w:eastAsia="新宋体"/>
                <w:sz w:val="22"/>
                <w:szCs w:val="22"/>
              </w:rPr>
            </w:pPr>
          </w:p>
        </w:tc>
        <w:tc>
          <w:tcPr>
            <w:tcW w:w="3063" w:type="dxa"/>
            <w:noWrap w:val="0"/>
            <w:vAlign w:val="center"/>
          </w:tcPr>
          <w:p>
            <w:pPr>
              <w:rPr>
                <w:rFonts w:hint="eastAsia" w:ascii="新宋体" w:hAnsi="新宋体" w:eastAsia="新宋体"/>
                <w:sz w:val="22"/>
                <w:szCs w:val="22"/>
              </w:rPr>
            </w:pPr>
            <w:r>
              <w:rPr>
                <w:rFonts w:hint="eastAsia" w:ascii="新宋体" w:hAnsi="新宋体" w:eastAsia="新宋体"/>
                <w:sz w:val="22"/>
                <w:szCs w:val="22"/>
              </w:rPr>
              <w:t>...........</w:t>
            </w:r>
          </w:p>
        </w:tc>
        <w:tc>
          <w:tcPr>
            <w:tcW w:w="3342" w:type="dxa"/>
            <w:gridSpan w:val="2"/>
            <w:noWrap w:val="0"/>
            <w:vAlign w:val="center"/>
          </w:tcPr>
          <w:p>
            <w:pPr>
              <w:jc w:val="center"/>
              <w:rPr>
                <w:rFonts w:hint="eastAsia" w:ascii="新宋体" w:hAnsi="新宋体" w:eastAsia="新宋体"/>
                <w:sz w:val="22"/>
                <w:szCs w:val="22"/>
              </w:rPr>
            </w:pPr>
          </w:p>
        </w:tc>
        <w:tc>
          <w:tcPr>
            <w:tcW w:w="2255" w:type="dxa"/>
            <w:noWrap w:val="0"/>
            <w:vAlign w:val="center"/>
          </w:tcPr>
          <w:p>
            <w:pPr>
              <w:jc w:val="center"/>
              <w:rPr>
                <w:rFonts w:hint="eastAsia"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35" w:type="dxa"/>
            <w:noWrap w:val="0"/>
            <w:vAlign w:val="center"/>
          </w:tcPr>
          <w:p>
            <w:pPr>
              <w:jc w:val="center"/>
              <w:rPr>
                <w:rFonts w:hint="eastAsia" w:ascii="新宋体" w:hAnsi="新宋体" w:eastAsia="新宋体"/>
                <w:sz w:val="22"/>
                <w:szCs w:val="22"/>
              </w:rPr>
            </w:pPr>
          </w:p>
        </w:tc>
        <w:tc>
          <w:tcPr>
            <w:tcW w:w="3063" w:type="dxa"/>
            <w:noWrap w:val="0"/>
            <w:vAlign w:val="center"/>
          </w:tcPr>
          <w:p>
            <w:pPr>
              <w:jc w:val="center"/>
              <w:rPr>
                <w:rFonts w:hint="eastAsia" w:ascii="新宋体" w:hAnsi="新宋体" w:eastAsia="新宋体"/>
                <w:sz w:val="22"/>
                <w:szCs w:val="22"/>
              </w:rPr>
            </w:pPr>
          </w:p>
        </w:tc>
        <w:tc>
          <w:tcPr>
            <w:tcW w:w="3342" w:type="dxa"/>
            <w:gridSpan w:val="2"/>
            <w:noWrap w:val="0"/>
            <w:vAlign w:val="center"/>
          </w:tcPr>
          <w:p>
            <w:pPr>
              <w:jc w:val="center"/>
              <w:rPr>
                <w:rFonts w:hint="eastAsia" w:ascii="新宋体" w:hAnsi="新宋体" w:eastAsia="新宋体"/>
                <w:sz w:val="22"/>
                <w:szCs w:val="22"/>
              </w:rPr>
            </w:pPr>
          </w:p>
        </w:tc>
        <w:tc>
          <w:tcPr>
            <w:tcW w:w="2255" w:type="dxa"/>
            <w:noWrap w:val="0"/>
            <w:vAlign w:val="center"/>
          </w:tcPr>
          <w:p>
            <w:pPr>
              <w:jc w:val="center"/>
              <w:rPr>
                <w:rFonts w:hint="eastAsia"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224" w:type="dxa"/>
            <w:gridSpan w:val="3"/>
            <w:noWrap w:val="0"/>
            <w:vAlign w:val="center"/>
          </w:tcPr>
          <w:p>
            <w:pPr>
              <w:rPr>
                <w:rFonts w:hint="eastAsia" w:ascii="新宋体" w:hAnsi="新宋体" w:eastAsia="新宋体"/>
                <w:sz w:val="22"/>
                <w:szCs w:val="22"/>
              </w:rPr>
            </w:pPr>
            <w:r>
              <w:rPr>
                <w:rFonts w:hint="eastAsia" w:ascii="新宋体" w:hAnsi="新宋体" w:eastAsia="新宋体"/>
                <w:sz w:val="22"/>
                <w:szCs w:val="22"/>
              </w:rPr>
              <w:t>合计总价（大写）元人民币</w:t>
            </w:r>
          </w:p>
        </w:tc>
        <w:tc>
          <w:tcPr>
            <w:tcW w:w="3471" w:type="dxa"/>
            <w:gridSpan w:val="2"/>
            <w:noWrap w:val="0"/>
            <w:vAlign w:val="center"/>
          </w:tcPr>
          <w:p>
            <w:pPr>
              <w:rPr>
                <w:rFonts w:hint="eastAsia" w:ascii="新宋体" w:hAnsi="新宋体" w:eastAsia="新宋体"/>
                <w:sz w:val="22"/>
                <w:szCs w:val="22"/>
              </w:rPr>
            </w:pPr>
            <w:r>
              <w:rPr>
                <w:rFonts w:hint="eastAsia" w:ascii="新宋体" w:hAnsi="新宋体" w:eastAsia="新宋体"/>
                <w:sz w:val="22"/>
                <w:szCs w:val="22"/>
              </w:rPr>
              <w:t>（小写）</w:t>
            </w:r>
          </w:p>
        </w:tc>
      </w:tr>
    </w:tbl>
    <w:p>
      <w:pPr>
        <w:spacing w:line="460" w:lineRule="exact"/>
        <w:rPr>
          <w:rFonts w:hint="eastAsia" w:ascii="新宋体" w:hAnsi="新宋体" w:eastAsia="新宋体"/>
          <w:b/>
          <w:bCs/>
          <w:sz w:val="22"/>
          <w:szCs w:val="22"/>
        </w:rPr>
      </w:pPr>
      <w:r>
        <w:rPr>
          <w:rFonts w:hint="eastAsia" w:ascii="新宋体" w:hAnsi="新宋体" w:eastAsia="新宋体"/>
          <w:b/>
          <w:bCs/>
          <w:sz w:val="22"/>
          <w:szCs w:val="22"/>
        </w:rPr>
        <w:t>说明：</w:t>
      </w:r>
    </w:p>
    <w:p>
      <w:pPr>
        <w:spacing w:line="460" w:lineRule="exact"/>
        <w:rPr>
          <w:rFonts w:hint="eastAsia" w:ascii="新宋体" w:hAnsi="新宋体" w:eastAsia="新宋体"/>
          <w:b/>
          <w:sz w:val="22"/>
          <w:szCs w:val="22"/>
        </w:rPr>
      </w:pPr>
      <w:r>
        <w:rPr>
          <w:rFonts w:hint="eastAsia" w:ascii="新宋体" w:hAnsi="新宋体" w:eastAsia="新宋体"/>
          <w:b/>
          <w:sz w:val="22"/>
          <w:szCs w:val="22"/>
        </w:rPr>
        <w:t>1、此表内合计总价应与附件</w:t>
      </w:r>
      <w:r>
        <w:rPr>
          <w:rFonts w:hint="eastAsia" w:ascii="新宋体" w:hAnsi="新宋体" w:eastAsia="新宋体"/>
          <w:b/>
          <w:sz w:val="22"/>
          <w:szCs w:val="22"/>
          <w:lang w:val="en-US" w:eastAsia="zh-CN"/>
        </w:rPr>
        <w:t>1</w:t>
      </w:r>
      <w:r>
        <w:rPr>
          <w:rFonts w:hint="eastAsia" w:ascii="新宋体" w:hAnsi="新宋体" w:eastAsia="新宋体"/>
          <w:b/>
          <w:sz w:val="22"/>
          <w:szCs w:val="22"/>
        </w:rPr>
        <w:t>中“报价一览表”总报价相一致。</w:t>
      </w:r>
    </w:p>
    <w:p>
      <w:pPr>
        <w:spacing w:line="460" w:lineRule="exact"/>
        <w:rPr>
          <w:rFonts w:hint="eastAsia" w:ascii="新宋体" w:hAnsi="新宋体" w:eastAsia="新宋体"/>
          <w:b/>
          <w:sz w:val="22"/>
          <w:szCs w:val="22"/>
        </w:rPr>
      </w:pPr>
      <w:r>
        <w:rPr>
          <w:rFonts w:hint="eastAsia" w:ascii="新宋体" w:hAnsi="新宋体" w:eastAsia="新宋体"/>
          <w:b/>
          <w:sz w:val="22"/>
          <w:szCs w:val="22"/>
        </w:rPr>
        <w:t>2、不提供“分项报价表”的报价，视为没有实质性响应采购文件要求。</w:t>
      </w:r>
    </w:p>
    <w:p>
      <w:pPr>
        <w:spacing w:line="460" w:lineRule="exact"/>
        <w:ind w:left="325" w:hanging="325" w:hangingChars="147"/>
        <w:rPr>
          <w:rFonts w:hint="eastAsia" w:ascii="新宋体" w:hAnsi="新宋体" w:eastAsia="新宋体"/>
          <w:b/>
          <w:sz w:val="22"/>
          <w:szCs w:val="22"/>
        </w:rPr>
      </w:pPr>
      <w:r>
        <w:rPr>
          <w:rFonts w:hint="eastAsia" w:ascii="新宋体" w:hAnsi="新宋体" w:eastAsia="新宋体"/>
          <w:b/>
          <w:sz w:val="22"/>
          <w:szCs w:val="22"/>
        </w:rPr>
        <w:t>3、如果免费请在该备注栏内注明“免”，如果含在服务报价中则填“含”，如无此项内容则填“无”，不留空白。</w:t>
      </w:r>
    </w:p>
    <w:p>
      <w:pPr>
        <w:spacing w:line="460" w:lineRule="exact"/>
        <w:ind w:left="325" w:hanging="325" w:hangingChars="147"/>
        <w:rPr>
          <w:rFonts w:hint="eastAsia" w:ascii="新宋体" w:hAnsi="新宋体" w:eastAsia="新宋体"/>
          <w:b/>
          <w:sz w:val="22"/>
          <w:szCs w:val="22"/>
        </w:rPr>
      </w:pPr>
    </w:p>
    <w:p>
      <w:pPr>
        <w:spacing w:line="380" w:lineRule="exact"/>
        <w:rPr>
          <w:rFonts w:hint="eastAsia" w:ascii="新宋体" w:hAnsi="新宋体" w:eastAsia="新宋体"/>
          <w:b/>
          <w:sz w:val="22"/>
          <w:szCs w:val="22"/>
        </w:rPr>
      </w:pPr>
    </w:p>
    <w:p>
      <w:pPr>
        <w:spacing w:line="460" w:lineRule="exact"/>
        <w:ind w:firstLine="5060" w:firstLineChars="2300"/>
        <w:rPr>
          <w:rFonts w:hint="eastAsia" w:ascii="新宋体" w:hAnsi="新宋体" w:eastAsia="新宋体"/>
          <w:sz w:val="22"/>
          <w:szCs w:val="22"/>
        </w:rPr>
      </w:pPr>
      <w:r>
        <w:rPr>
          <w:rFonts w:hint="eastAsia" w:ascii="新宋体" w:hAnsi="新宋体" w:eastAsia="新宋体"/>
          <w:sz w:val="22"/>
          <w:szCs w:val="22"/>
        </w:rPr>
        <w:t>报价供应商全称（盖章）：</w:t>
      </w:r>
    </w:p>
    <w:p>
      <w:pPr>
        <w:spacing w:line="460" w:lineRule="exact"/>
        <w:ind w:firstLine="5060" w:firstLineChars="2300"/>
        <w:rPr>
          <w:rFonts w:hint="eastAsia" w:ascii="新宋体" w:hAnsi="新宋体" w:eastAsia="新宋体"/>
          <w:sz w:val="22"/>
          <w:szCs w:val="22"/>
        </w:rPr>
      </w:pPr>
      <w:r>
        <w:rPr>
          <w:rFonts w:hint="eastAsia" w:ascii="新宋体" w:hAnsi="新宋体" w:eastAsia="新宋体"/>
          <w:sz w:val="22"/>
          <w:szCs w:val="22"/>
        </w:rPr>
        <w:t>报价供应商代表（签字）：</w:t>
      </w:r>
    </w:p>
    <w:p>
      <w:pPr>
        <w:spacing w:line="460" w:lineRule="exact"/>
        <w:ind w:firstLine="5060" w:firstLineChars="2300"/>
        <w:rPr>
          <w:rFonts w:hint="eastAsia" w:ascii="新宋体" w:hAnsi="新宋体" w:eastAsia="新宋体"/>
          <w:sz w:val="22"/>
          <w:szCs w:val="22"/>
        </w:rPr>
      </w:pPr>
      <w:r>
        <w:rPr>
          <w:rFonts w:hint="eastAsia" w:ascii="新宋体" w:hAnsi="新宋体" w:eastAsia="新宋体"/>
          <w:sz w:val="22"/>
          <w:szCs w:val="22"/>
        </w:rPr>
        <w:t>日   期：</w:t>
      </w:r>
    </w:p>
    <w:p>
      <w:pPr>
        <w:pStyle w:val="3"/>
        <w:rPr>
          <w:rFonts w:hint="eastAsia" w:ascii="宋体" w:hAnsi="宋体" w:eastAsia="宋体" w:cs="宋体"/>
          <w:b/>
          <w:bCs/>
          <w:sz w:val="24"/>
          <w:lang w:val="en-US" w:eastAsia="zh-CN"/>
        </w:rPr>
      </w:pPr>
    </w:p>
    <w:p>
      <w:pPr>
        <w:rPr>
          <w:rFonts w:hint="eastAsia" w:ascii="宋体" w:hAnsi="宋体" w:eastAsia="宋体" w:cs="宋体"/>
          <w:b/>
          <w:bCs/>
          <w:sz w:val="24"/>
          <w:lang w:val="en-US" w:eastAsia="zh-CN"/>
        </w:rPr>
      </w:pPr>
    </w:p>
    <w:p>
      <w:pPr>
        <w:rPr>
          <w:rFonts w:hint="eastAsia"/>
          <w:lang w:val="en-US" w:eastAsia="zh-CN"/>
        </w:rPr>
      </w:pPr>
    </w:p>
    <w:p>
      <w:pPr>
        <w:pStyle w:val="4"/>
        <w:rPr>
          <w:rFonts w:hint="eastAsia"/>
          <w:lang w:val="en-US" w:eastAsia="zh-CN"/>
        </w:rPr>
      </w:pPr>
    </w:p>
    <w:p>
      <w:pPr>
        <w:spacing w:line="360" w:lineRule="auto"/>
        <w:ind w:firstLine="482" w:firstLineChars="200"/>
        <w:rPr>
          <w:rFonts w:ascii="宋体" w:hAnsi="宋体" w:eastAsia="宋体" w:cs="宋体"/>
          <w:b/>
          <w:sz w:val="24"/>
        </w:rPr>
      </w:pPr>
      <w:r>
        <w:rPr>
          <w:rFonts w:hint="eastAsia" w:ascii="宋体" w:hAnsi="宋体" w:eastAsia="宋体" w:cs="宋体"/>
          <w:b/>
          <w:bCs/>
          <w:sz w:val="24"/>
          <w:lang w:val="en-US" w:eastAsia="zh-CN"/>
        </w:rPr>
        <w:t>2、</w:t>
      </w:r>
      <w:r>
        <w:rPr>
          <w:rFonts w:hint="eastAsia" w:ascii="宋体" w:hAnsi="宋体" w:eastAsia="宋体" w:cs="宋体"/>
          <w:b/>
          <w:bCs/>
          <w:sz w:val="24"/>
        </w:rPr>
        <w:t>资信及商务</w:t>
      </w:r>
      <w:r>
        <w:rPr>
          <w:rFonts w:hint="eastAsia" w:ascii="宋体" w:hAnsi="宋体" w:eastAsia="宋体" w:cs="宋体"/>
          <w:b/>
          <w:sz w:val="24"/>
        </w:rPr>
        <w:t>技术分（70分）</w:t>
      </w:r>
    </w:p>
    <w:p>
      <w:pPr>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评标委员会对通过符合性审查的投标人的投标技术参数或方案充分审核后，进行综合评定独立打分。</w:t>
      </w:r>
    </w:p>
    <w:tbl>
      <w:tblPr>
        <w:tblStyle w:val="15"/>
        <w:tblW w:w="997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2099"/>
        <w:gridCol w:w="552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1109"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2099"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评分项</w:t>
            </w:r>
          </w:p>
        </w:tc>
        <w:tc>
          <w:tcPr>
            <w:tcW w:w="552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评分标准</w:t>
            </w:r>
          </w:p>
        </w:tc>
        <w:tc>
          <w:tcPr>
            <w:tcW w:w="1245"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trPr>
        <w:tc>
          <w:tcPr>
            <w:tcW w:w="1109" w:type="dxa"/>
            <w:vAlign w:val="center"/>
          </w:tcPr>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099" w:type="dxa"/>
            <w:vAlign w:val="center"/>
          </w:tcPr>
          <w:p>
            <w:pPr>
              <w:rPr>
                <w:rFonts w:hint="eastAsia" w:ascii="宋体" w:hAnsi="宋体" w:eastAsia="宋体" w:cs="宋体"/>
                <w:sz w:val="24"/>
                <w:szCs w:val="24"/>
                <w:lang w:val="zh-TW" w:eastAsia="zh-TW"/>
              </w:rPr>
            </w:pPr>
            <w:r>
              <w:rPr>
                <w:rFonts w:hint="eastAsia" w:ascii="宋体" w:hAnsi="宋体" w:eastAsia="宋体" w:cs="宋体"/>
                <w:sz w:val="24"/>
                <w:szCs w:val="24"/>
              </w:rPr>
              <w:t>技术响应情况</w:t>
            </w:r>
          </w:p>
        </w:tc>
        <w:tc>
          <w:tcPr>
            <w:tcW w:w="5520" w:type="dxa"/>
            <w:vAlign w:val="center"/>
          </w:tcPr>
          <w:p>
            <w:pPr>
              <w:rPr>
                <w:rFonts w:hint="eastAsia" w:ascii="宋体" w:hAnsi="宋体" w:eastAsia="宋体" w:cs="宋体"/>
                <w:sz w:val="24"/>
                <w:szCs w:val="24"/>
              </w:rPr>
            </w:pPr>
            <w:r>
              <w:rPr>
                <w:rFonts w:hint="eastAsia" w:ascii="宋体" w:hAnsi="宋体" w:eastAsia="宋体" w:cs="宋体"/>
                <w:sz w:val="24"/>
                <w:szCs w:val="24"/>
                <w:lang w:val="zh-TW" w:eastAsia="zh-TW"/>
              </w:rPr>
              <w:t>投标产品的基本功能、技术指标与需求的吻合程度和偏差情况（包括所投标产品的规格型号、详细配置、主要技术参数等），需提供官网截图、产品彩页、第三方权威机构检测报告、技术白皮书或资质证书等相关文件证明其参数真实性，标★为重要参数不满足每项扣3分，其他技术指标每项不满足扣1分，扣完为止。</w:t>
            </w:r>
          </w:p>
        </w:tc>
        <w:tc>
          <w:tcPr>
            <w:tcW w:w="1245" w:type="dxa"/>
            <w:vAlign w:val="center"/>
          </w:tcPr>
          <w:p>
            <w:pPr>
              <w:spacing w:line="3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27分</w:t>
            </w:r>
          </w:p>
          <w:p>
            <w:pPr>
              <w:spacing w:line="3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1109" w:type="dxa"/>
            <w:vAlign w:val="center"/>
          </w:tcPr>
          <w:p>
            <w:pPr>
              <w:pStyle w:val="6"/>
              <w:ind w:left="0" w:leftChars="0"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099" w:type="dxa"/>
            <w:vAlign w:val="center"/>
          </w:tcPr>
          <w:p>
            <w:pPr>
              <w:pStyle w:val="6"/>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设计技术方案</w:t>
            </w:r>
          </w:p>
        </w:tc>
        <w:tc>
          <w:tcPr>
            <w:tcW w:w="5520" w:type="dxa"/>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与现有HR系统街接的技术方案和保障措施进行评议，是否有较好方案和措施实现现有功能的正常运行和有效升级，是否提出合理可操作的各相关系统之间的衔接及整合方案，确保与现有系统以及其它各相关信息系统之间的衔接安全、稳定、可扩展和延伸能力。</w:t>
            </w:r>
          </w:p>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实施方案清晰、合理、完整的，得</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实施方案较清晰、较合理、较完整的，得</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实施方案不清晰、不合理、不完整的，得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pStyle w:val="6"/>
              <w:ind w:left="0" w:leftChars="0" w:firstLine="0" w:firstLineChars="0"/>
              <w:rPr>
                <w:rFonts w:hint="eastAsia" w:ascii="宋体" w:hAnsi="宋体" w:eastAsia="宋体" w:cs="宋体"/>
                <w:sz w:val="24"/>
                <w:szCs w:val="24"/>
              </w:rPr>
            </w:pPr>
            <w:r>
              <w:rPr>
                <w:rFonts w:hint="eastAsia" w:ascii="宋体" w:hAnsi="宋体" w:eastAsia="宋体" w:cs="宋体"/>
                <w:b w:val="0"/>
                <w:sz w:val="24"/>
                <w:szCs w:val="24"/>
                <w:lang w:eastAsia="zh-CN"/>
              </w:rPr>
              <w:t>未提供实施方案的，不得分。</w:t>
            </w:r>
          </w:p>
          <w:p>
            <w:pPr>
              <w:pStyle w:val="6"/>
              <w:rPr>
                <w:rFonts w:hint="eastAsia" w:ascii="宋体" w:hAnsi="宋体" w:eastAsia="宋体" w:cs="宋体"/>
                <w:sz w:val="24"/>
                <w:szCs w:val="24"/>
              </w:rPr>
            </w:pPr>
          </w:p>
        </w:tc>
        <w:tc>
          <w:tcPr>
            <w:tcW w:w="1245" w:type="dxa"/>
            <w:vAlign w:val="center"/>
          </w:tcPr>
          <w:p>
            <w:pPr>
              <w:spacing w:line="3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15</w:t>
            </w:r>
            <w:r>
              <w:rPr>
                <w:rFonts w:hint="eastAsia" w:ascii="宋体" w:hAnsi="宋体" w:eastAsia="宋体" w:cs="宋体"/>
                <w:sz w:val="24"/>
                <w:szCs w:val="24"/>
                <w:lang w:val="en-US" w:eastAsia="zh-CN"/>
              </w:rPr>
              <w:t>分</w:t>
            </w:r>
          </w:p>
          <w:p>
            <w:pPr>
              <w:spacing w:line="3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1109" w:type="dxa"/>
            <w:vMerge w:val="restart"/>
            <w:vAlign w:val="center"/>
          </w:tcPr>
          <w:p>
            <w:pPr>
              <w:pStyle w:val="6"/>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3</w:t>
            </w:r>
          </w:p>
        </w:tc>
        <w:tc>
          <w:tcPr>
            <w:tcW w:w="2099" w:type="dxa"/>
            <w:vMerge w:val="restart"/>
            <w:vAlign w:val="center"/>
          </w:tcPr>
          <w:p>
            <w:pPr>
              <w:pStyle w:val="6"/>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建设维护能力</w:t>
            </w:r>
          </w:p>
        </w:tc>
        <w:tc>
          <w:tcPr>
            <w:tcW w:w="5520" w:type="dxa"/>
            <w:vAlign w:val="center"/>
          </w:tcPr>
          <w:p>
            <w:pPr>
              <w:spacing w:line="320" w:lineRule="exact"/>
              <w:rPr>
                <w:rFonts w:hint="eastAsia" w:ascii="宋体" w:hAnsi="宋体" w:eastAsia="宋体" w:cs="宋体"/>
                <w:sz w:val="24"/>
                <w:szCs w:val="24"/>
                <w:lang w:eastAsia="zh-CN"/>
              </w:rPr>
            </w:pPr>
            <w:r>
              <w:rPr>
                <w:rFonts w:hint="eastAsia" w:ascii="宋体" w:hAnsi="宋体" w:eastAsia="宋体" w:cs="宋体"/>
                <w:sz w:val="24"/>
                <w:szCs w:val="24"/>
              </w:rPr>
              <w:t>对供应商项目组织实施方案、售后服务方案进行评议，是否科学、合理、规范和可操作</w:t>
            </w:r>
            <w:r>
              <w:rPr>
                <w:rFonts w:hint="eastAsia" w:ascii="宋体" w:hAnsi="宋体" w:eastAsia="宋体" w:cs="宋体"/>
                <w:sz w:val="24"/>
                <w:szCs w:val="24"/>
                <w:lang w:eastAsia="zh-CN"/>
              </w:rPr>
              <w:t>。</w:t>
            </w:r>
            <w:r>
              <w:rPr>
                <w:rFonts w:hint="eastAsia" w:ascii="宋体" w:hAnsi="宋体" w:eastAsia="宋体" w:cs="宋体"/>
                <w:sz w:val="24"/>
                <w:szCs w:val="24"/>
              </w:rPr>
              <w:t>根据投标提供的方案评分</w:t>
            </w:r>
          </w:p>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售后服务方案可行、合理、响应及时、保障措施完整的，得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售后服务方案基本可行、合理、响应时间较长、保障措施基本完整的，得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售后服务方案较合理、响应时间长、保障措施不完整的，得1分；</w:t>
            </w:r>
          </w:p>
          <w:p>
            <w:pPr>
              <w:pStyle w:val="6"/>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未提供售后服务方案的，不得分。</w:t>
            </w:r>
          </w:p>
        </w:tc>
        <w:tc>
          <w:tcPr>
            <w:tcW w:w="1245" w:type="dxa"/>
            <w:vAlign w:val="center"/>
          </w:tcPr>
          <w:p>
            <w:pPr>
              <w:spacing w:line="3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5</w:t>
            </w:r>
            <w:r>
              <w:rPr>
                <w:rFonts w:hint="eastAsia" w:ascii="宋体" w:hAnsi="宋体" w:eastAsia="宋体" w:cs="宋体"/>
                <w:sz w:val="24"/>
                <w:szCs w:val="24"/>
                <w:lang w:val="en-US" w:eastAsia="zh-CN"/>
              </w:rPr>
              <w:t>分</w:t>
            </w:r>
          </w:p>
          <w:p>
            <w:pPr>
              <w:spacing w:line="3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trPr>
        <w:tc>
          <w:tcPr>
            <w:tcW w:w="1109" w:type="dxa"/>
            <w:vMerge w:val="continue"/>
            <w:vAlign w:val="center"/>
          </w:tcPr>
          <w:p>
            <w:pPr>
              <w:spacing w:line="320" w:lineRule="exact"/>
              <w:rPr>
                <w:rFonts w:hint="eastAsia" w:ascii="宋体" w:hAnsi="宋体" w:eastAsia="宋体" w:cs="宋体"/>
                <w:sz w:val="24"/>
                <w:szCs w:val="24"/>
              </w:rPr>
            </w:pPr>
          </w:p>
        </w:tc>
        <w:tc>
          <w:tcPr>
            <w:tcW w:w="2099" w:type="dxa"/>
            <w:vMerge w:val="continue"/>
            <w:vAlign w:val="center"/>
          </w:tcPr>
          <w:p>
            <w:pPr>
              <w:spacing w:line="320" w:lineRule="exact"/>
              <w:rPr>
                <w:rFonts w:hint="eastAsia" w:ascii="宋体" w:hAnsi="宋体" w:eastAsia="宋体" w:cs="宋体"/>
                <w:sz w:val="24"/>
                <w:szCs w:val="24"/>
              </w:rPr>
            </w:pPr>
          </w:p>
        </w:tc>
        <w:tc>
          <w:tcPr>
            <w:tcW w:w="5520" w:type="dxa"/>
            <w:vAlign w:val="center"/>
          </w:tcPr>
          <w:p>
            <w:pPr>
              <w:spacing w:line="320" w:lineRule="exact"/>
              <w:rPr>
                <w:rFonts w:hint="eastAsia" w:ascii="宋体" w:hAnsi="宋体" w:eastAsia="宋体" w:cs="宋体"/>
                <w:sz w:val="24"/>
                <w:szCs w:val="24"/>
                <w:lang w:val="en-US" w:eastAsia="zh-CN"/>
              </w:rPr>
            </w:pPr>
            <w:r>
              <w:rPr>
                <w:rFonts w:hint="eastAsia" w:ascii="宋体" w:hAnsi="宋体" w:eastAsia="宋体" w:cs="宋体"/>
                <w:sz w:val="24"/>
                <w:szCs w:val="24"/>
              </w:rPr>
              <w:t>常设本地化服务机构（需提供本地化机构证明），快速售后服务响应时间，</w:t>
            </w:r>
            <w:r>
              <w:rPr>
                <w:rFonts w:hint="eastAsia" w:ascii="宋体" w:hAnsi="宋体" w:eastAsia="宋体" w:cs="宋体"/>
                <w:sz w:val="24"/>
                <w:szCs w:val="24"/>
                <w:lang w:val="en-US" w:eastAsia="zh-CN"/>
              </w:rPr>
              <w:t>得5分；</w:t>
            </w:r>
          </w:p>
          <w:p>
            <w:pPr>
              <w:spacing w:line="320" w:lineRule="exact"/>
              <w:rPr>
                <w:rFonts w:hint="eastAsia" w:ascii="宋体" w:hAnsi="宋体" w:eastAsia="宋体" w:cs="宋体"/>
                <w:sz w:val="24"/>
                <w:szCs w:val="24"/>
              </w:rPr>
            </w:pPr>
            <w:r>
              <w:rPr>
                <w:rFonts w:hint="eastAsia" w:ascii="宋体" w:hAnsi="宋体" w:eastAsia="宋体" w:cs="宋体"/>
                <w:sz w:val="24"/>
                <w:szCs w:val="24"/>
              </w:rPr>
              <w:t>没有本地化证明不得分</w:t>
            </w:r>
          </w:p>
        </w:tc>
        <w:tc>
          <w:tcPr>
            <w:tcW w:w="1245" w:type="dxa"/>
            <w:vAlign w:val="center"/>
          </w:tcPr>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5</w:t>
            </w:r>
            <w:r>
              <w:rPr>
                <w:rFonts w:hint="eastAsia" w:ascii="宋体" w:hAnsi="宋体" w:eastAsia="宋体" w:cs="宋体"/>
                <w:sz w:val="24"/>
                <w:szCs w:val="24"/>
                <w:lang w:val="en-US" w:eastAsia="zh-CN"/>
              </w:rPr>
              <w:t>分</w:t>
            </w:r>
          </w:p>
          <w:p>
            <w:pPr>
              <w:spacing w:line="3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1109" w:type="dxa"/>
            <w:vMerge w:val="restart"/>
            <w:vAlign w:val="center"/>
          </w:tcPr>
          <w:p>
            <w:pPr>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w:t>
            </w:r>
          </w:p>
        </w:tc>
        <w:tc>
          <w:tcPr>
            <w:tcW w:w="2099" w:type="dxa"/>
            <w:vMerge w:val="restart"/>
            <w:vAlign w:val="center"/>
          </w:tcPr>
          <w:p>
            <w:pPr>
              <w:ind w:firstLine="480" w:firstLineChars="200"/>
              <w:rPr>
                <w:rFonts w:hint="eastAsia" w:ascii="宋体" w:hAnsi="宋体" w:eastAsia="宋体" w:cs="宋体"/>
                <w:bCs/>
                <w:sz w:val="24"/>
                <w:szCs w:val="24"/>
              </w:rPr>
            </w:pPr>
            <w:r>
              <w:rPr>
                <w:rFonts w:hint="eastAsia" w:ascii="宋体" w:hAnsi="宋体" w:eastAsia="宋体" w:cs="宋体"/>
                <w:bCs/>
                <w:sz w:val="24"/>
                <w:szCs w:val="24"/>
              </w:rPr>
              <w:t>企业资信</w:t>
            </w:r>
          </w:p>
        </w:tc>
        <w:tc>
          <w:tcPr>
            <w:tcW w:w="5520" w:type="dxa"/>
            <w:vAlign w:val="center"/>
          </w:tcPr>
          <w:p>
            <w:pPr>
              <w:pStyle w:val="26"/>
              <w:ind w:firstLine="0" w:firstLineChars="0"/>
              <w:rPr>
                <w:rFonts w:hint="eastAsia" w:ascii="宋体" w:hAnsi="宋体" w:eastAsia="宋体" w:cs="宋体"/>
                <w:sz w:val="24"/>
                <w:szCs w:val="24"/>
                <w:lang w:eastAsia="zh-CN"/>
              </w:rPr>
            </w:pPr>
            <w:r>
              <w:rPr>
                <w:rFonts w:hint="eastAsia" w:ascii="宋体" w:hAnsi="宋体" w:eastAsia="宋体" w:cs="宋体"/>
                <w:sz w:val="24"/>
                <w:szCs w:val="24"/>
              </w:rPr>
              <w:t>投标人具有合协人力资源管理系统厂商授权得10分，没有不得分。需原件备查</w:t>
            </w:r>
            <w:r>
              <w:rPr>
                <w:rFonts w:hint="eastAsia" w:ascii="宋体" w:hAnsi="宋体" w:eastAsia="宋体" w:cs="宋体"/>
                <w:sz w:val="24"/>
                <w:szCs w:val="24"/>
                <w:lang w:eastAsia="zh-CN"/>
              </w:rPr>
              <w:t>。</w:t>
            </w:r>
          </w:p>
        </w:tc>
        <w:tc>
          <w:tcPr>
            <w:tcW w:w="1245" w:type="dxa"/>
            <w:vAlign w:val="center"/>
          </w:tcPr>
          <w:p>
            <w:pPr>
              <w:spacing w:line="3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1109" w:type="dxa"/>
            <w:vMerge w:val="continue"/>
            <w:vAlign w:val="center"/>
          </w:tcPr>
          <w:p>
            <w:pPr>
              <w:ind w:firstLine="480" w:firstLineChars="200"/>
              <w:rPr>
                <w:rFonts w:hint="eastAsia" w:ascii="宋体" w:hAnsi="宋体" w:eastAsia="宋体" w:cs="宋体"/>
                <w:bCs/>
                <w:sz w:val="24"/>
                <w:szCs w:val="24"/>
                <w:lang w:val="en-US" w:eastAsia="zh-CN"/>
              </w:rPr>
            </w:pPr>
          </w:p>
        </w:tc>
        <w:tc>
          <w:tcPr>
            <w:tcW w:w="2099" w:type="dxa"/>
            <w:vMerge w:val="continue"/>
            <w:vAlign w:val="center"/>
          </w:tcPr>
          <w:p>
            <w:pPr>
              <w:ind w:firstLine="240" w:firstLineChars="100"/>
              <w:rPr>
                <w:rFonts w:hint="eastAsia" w:ascii="宋体" w:hAnsi="宋体" w:eastAsia="宋体" w:cs="宋体"/>
                <w:bCs/>
                <w:sz w:val="24"/>
                <w:szCs w:val="24"/>
              </w:rPr>
            </w:pPr>
          </w:p>
        </w:tc>
        <w:tc>
          <w:tcPr>
            <w:tcW w:w="5520" w:type="dxa"/>
            <w:vAlign w:val="center"/>
          </w:tcPr>
          <w:p>
            <w:pPr>
              <w:pStyle w:val="26"/>
              <w:ind w:firstLine="0" w:firstLineChars="0"/>
              <w:rPr>
                <w:rFonts w:hint="eastAsia" w:ascii="宋体" w:hAnsi="宋体" w:eastAsia="宋体" w:cs="宋体"/>
                <w:sz w:val="24"/>
                <w:szCs w:val="24"/>
              </w:rPr>
            </w:pPr>
            <w:r>
              <w:rPr>
                <w:rFonts w:hint="eastAsia" w:ascii="宋体" w:hAnsi="宋体" w:eastAsia="宋体" w:cs="宋体"/>
                <w:sz w:val="24"/>
                <w:szCs w:val="24"/>
              </w:rPr>
              <w:t>投标人为浙江省级科技型中小技术企业，提供证书得5分；没有不得分。</w:t>
            </w:r>
          </w:p>
        </w:tc>
        <w:tc>
          <w:tcPr>
            <w:tcW w:w="1245" w:type="dxa"/>
            <w:vAlign w:val="center"/>
          </w:tcPr>
          <w:p>
            <w:pPr>
              <w:spacing w:line="3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trPr>
        <w:tc>
          <w:tcPr>
            <w:tcW w:w="1109"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5</w:t>
            </w:r>
          </w:p>
        </w:tc>
        <w:tc>
          <w:tcPr>
            <w:tcW w:w="2099"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类似业绩</w:t>
            </w:r>
          </w:p>
        </w:tc>
        <w:tc>
          <w:tcPr>
            <w:tcW w:w="5520"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投标人提供</w:t>
            </w:r>
            <w:r>
              <w:rPr>
                <w:rFonts w:hint="eastAsia" w:ascii="宋体" w:hAnsi="宋体" w:eastAsia="宋体" w:cs="宋体"/>
                <w:sz w:val="24"/>
                <w:szCs w:val="24"/>
                <w:lang w:val="en-US" w:eastAsia="zh-CN"/>
              </w:rPr>
              <w:t>2020</w:t>
            </w:r>
            <w:r>
              <w:rPr>
                <w:rFonts w:hint="eastAsia" w:ascii="宋体" w:hAnsi="宋体" w:eastAsia="宋体" w:cs="宋体"/>
                <w:sz w:val="24"/>
                <w:szCs w:val="24"/>
              </w:rPr>
              <w:t>年1月1日以来的类似案例服务业绩，每提供1个服务业绩得</w:t>
            </w:r>
            <w:r>
              <w:rPr>
                <w:rFonts w:hint="eastAsia" w:ascii="宋体" w:hAnsi="宋体" w:eastAsia="宋体" w:cs="宋体"/>
                <w:sz w:val="24"/>
                <w:szCs w:val="24"/>
                <w:lang w:val="en-US" w:eastAsia="zh-CN"/>
              </w:rPr>
              <w:t>1</w:t>
            </w:r>
            <w:r>
              <w:rPr>
                <w:rFonts w:hint="eastAsia" w:ascii="宋体" w:hAnsi="宋体" w:eastAsia="宋体" w:cs="宋体"/>
                <w:sz w:val="24"/>
                <w:szCs w:val="24"/>
              </w:rPr>
              <w:t>分，最高得</w:t>
            </w:r>
            <w:r>
              <w:rPr>
                <w:rFonts w:hint="eastAsia" w:ascii="宋体" w:hAnsi="宋体" w:eastAsia="宋体" w:cs="宋体"/>
                <w:sz w:val="24"/>
                <w:szCs w:val="24"/>
                <w:lang w:val="en-US" w:eastAsia="zh-CN"/>
              </w:rPr>
              <w:t>3</w:t>
            </w:r>
            <w:r>
              <w:rPr>
                <w:rFonts w:hint="eastAsia" w:ascii="宋体" w:hAnsi="宋体" w:eastAsia="宋体" w:cs="宋体"/>
                <w:sz w:val="24"/>
                <w:szCs w:val="24"/>
              </w:rPr>
              <w:t>分（提供合同复印件加盖公章，不提供不得分）</w:t>
            </w:r>
            <w:r>
              <w:rPr>
                <w:rFonts w:hint="eastAsia" w:ascii="宋体" w:hAnsi="宋体" w:eastAsia="宋体" w:cs="宋体"/>
                <w:color w:val="auto"/>
                <w:sz w:val="24"/>
                <w:szCs w:val="24"/>
                <w:highlight w:val="none"/>
              </w:rPr>
              <w:t>（与同一采购人签订的多份合同或协议视为一个业绩</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rPr>
              <w:t>以合同签订时间为准，</w:t>
            </w:r>
            <w:r>
              <w:rPr>
                <w:rFonts w:hint="eastAsia" w:ascii="宋体" w:hAnsi="宋体" w:eastAsia="宋体" w:cs="宋体"/>
                <w:color w:val="auto"/>
                <w:sz w:val="24"/>
                <w:szCs w:val="24"/>
                <w:highlight w:val="none"/>
              </w:rPr>
              <w:t>）</w:t>
            </w:r>
            <w:r>
              <w:rPr>
                <w:rFonts w:hint="eastAsia" w:ascii="宋体" w:hAnsi="宋体" w:eastAsia="宋体" w:cs="宋体"/>
                <w:sz w:val="24"/>
                <w:szCs w:val="24"/>
              </w:rPr>
              <w:t>需原件备查</w:t>
            </w:r>
          </w:p>
        </w:tc>
        <w:tc>
          <w:tcPr>
            <w:tcW w:w="1245" w:type="dxa"/>
            <w:vAlign w:val="center"/>
          </w:tcPr>
          <w:p>
            <w:pPr>
              <w:spacing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3分</w:t>
            </w:r>
          </w:p>
        </w:tc>
      </w:tr>
    </w:tbl>
    <w:p>
      <w:pPr>
        <w:pStyle w:val="6"/>
        <w:rPr>
          <w:lang w:val="zh-CN"/>
        </w:rPr>
      </w:pPr>
    </w:p>
    <w:p>
      <w:pPr>
        <w:rPr>
          <w:rFonts w:ascii="宋体" w:hAnsi="宋体" w:eastAsia="宋体"/>
        </w:rPr>
      </w:pPr>
    </w:p>
    <w:p>
      <w:pPr>
        <w:pStyle w:val="18"/>
        <w:ind w:left="0" w:leftChars="0" w:firstLine="0" w:firstLineChars="0"/>
        <w:rPr>
          <w:rFonts w:hint="eastAsia"/>
        </w:rPr>
      </w:pPr>
    </w:p>
    <w:p>
      <w:pPr>
        <w:pStyle w:val="18"/>
        <w:ind w:left="0" w:leftChars="0" w:firstLine="0" w:firstLineChars="0"/>
        <w:rPr>
          <w:rFonts w:hint="eastAsia"/>
        </w:rPr>
      </w:pPr>
    </w:p>
    <w:p>
      <w:pPr>
        <w:pStyle w:val="18"/>
        <w:ind w:left="0" w:leftChars="0" w:firstLine="0" w:firstLineChars="0"/>
        <w:rPr>
          <w:rFonts w:hint="eastAsia"/>
        </w:rPr>
      </w:pPr>
    </w:p>
    <w:p>
      <w:pPr>
        <w:pStyle w:val="18"/>
        <w:ind w:left="0" w:leftChars="0" w:firstLine="0" w:firstLineChars="0"/>
        <w:rPr>
          <w:rFonts w:hint="eastAsia"/>
        </w:rPr>
      </w:pPr>
    </w:p>
    <w:p>
      <w:pPr>
        <w:pStyle w:val="18"/>
        <w:ind w:left="0" w:leftChars="0" w:firstLine="0" w:firstLineChars="0"/>
        <w:rPr>
          <w:rFonts w:hint="eastAsia"/>
        </w:rPr>
      </w:pPr>
    </w:p>
    <w:p>
      <w:pPr>
        <w:adjustRightInd w:val="0"/>
        <w:snapToGrid w:val="0"/>
        <w:spacing w:line="360" w:lineRule="auto"/>
        <w:jc w:val="left"/>
        <w:rPr>
          <w:rFonts w:hint="eastAsia" w:ascii="宋体" w:hAnsi="宋体"/>
          <w:color w:val="000000"/>
          <w:szCs w:val="21"/>
        </w:rPr>
      </w:pPr>
    </w:p>
    <w:sectPr>
      <w:pgSz w:w="11906" w:h="16838"/>
      <w:pgMar w:top="850" w:right="1236" w:bottom="85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5E060"/>
    <w:multiLevelType w:val="singleLevel"/>
    <w:tmpl w:val="BD15E06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ZjMDk4ZjUyNmI5ZWM0NTQwMmI0OWNkNmNiZDhjNjUifQ=="/>
  </w:docVars>
  <w:rsids>
    <w:rsidRoot w:val="442D7AA8"/>
    <w:rsid w:val="000838A3"/>
    <w:rsid w:val="0029760C"/>
    <w:rsid w:val="003D41C7"/>
    <w:rsid w:val="003E091A"/>
    <w:rsid w:val="00537F7B"/>
    <w:rsid w:val="005D6C7D"/>
    <w:rsid w:val="0077449E"/>
    <w:rsid w:val="009C732C"/>
    <w:rsid w:val="00A81427"/>
    <w:rsid w:val="00BD504C"/>
    <w:rsid w:val="00DB7EDC"/>
    <w:rsid w:val="00FA6B75"/>
    <w:rsid w:val="00FF233D"/>
    <w:rsid w:val="03C84B20"/>
    <w:rsid w:val="04B15D87"/>
    <w:rsid w:val="061E2864"/>
    <w:rsid w:val="0648410B"/>
    <w:rsid w:val="076646E5"/>
    <w:rsid w:val="084B5379"/>
    <w:rsid w:val="09973103"/>
    <w:rsid w:val="0D365943"/>
    <w:rsid w:val="0E9D7E9E"/>
    <w:rsid w:val="0F427144"/>
    <w:rsid w:val="0F9C6A6C"/>
    <w:rsid w:val="1124087B"/>
    <w:rsid w:val="15F0193F"/>
    <w:rsid w:val="16586A57"/>
    <w:rsid w:val="1B951E05"/>
    <w:rsid w:val="203F5CE6"/>
    <w:rsid w:val="252A6495"/>
    <w:rsid w:val="26614AE7"/>
    <w:rsid w:val="29E654E5"/>
    <w:rsid w:val="2C0B329E"/>
    <w:rsid w:val="2EE23DA1"/>
    <w:rsid w:val="32E87DD1"/>
    <w:rsid w:val="33F15215"/>
    <w:rsid w:val="35584BB1"/>
    <w:rsid w:val="36FF0897"/>
    <w:rsid w:val="38620F4A"/>
    <w:rsid w:val="3A5C534F"/>
    <w:rsid w:val="3AA307AA"/>
    <w:rsid w:val="3AD506F1"/>
    <w:rsid w:val="3D4A148F"/>
    <w:rsid w:val="43F47C2B"/>
    <w:rsid w:val="442D7AA8"/>
    <w:rsid w:val="46AB0BAA"/>
    <w:rsid w:val="4BB26B7D"/>
    <w:rsid w:val="4C564C07"/>
    <w:rsid w:val="50430A48"/>
    <w:rsid w:val="539C47DE"/>
    <w:rsid w:val="57A36574"/>
    <w:rsid w:val="588F5918"/>
    <w:rsid w:val="58D72375"/>
    <w:rsid w:val="5CF11E3F"/>
    <w:rsid w:val="5DAF6DF6"/>
    <w:rsid w:val="61E865CA"/>
    <w:rsid w:val="63750765"/>
    <w:rsid w:val="65B0017A"/>
    <w:rsid w:val="671958AB"/>
    <w:rsid w:val="6AD77E43"/>
    <w:rsid w:val="6FA3415F"/>
    <w:rsid w:val="70822713"/>
    <w:rsid w:val="712E3A4E"/>
    <w:rsid w:val="71793B16"/>
    <w:rsid w:val="724D0AFE"/>
    <w:rsid w:val="72E83474"/>
    <w:rsid w:val="72F62F44"/>
    <w:rsid w:val="75A35A24"/>
    <w:rsid w:val="78362761"/>
    <w:rsid w:val="78BC52C2"/>
    <w:rsid w:val="79F966D5"/>
    <w:rsid w:val="7D531607"/>
    <w:rsid w:val="7DBF4FA6"/>
    <w:rsid w:val="7E036272"/>
    <w:rsid w:val="7E7A2C7B"/>
    <w:rsid w:val="7EFA0DDF"/>
    <w:rsid w:val="7F0817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840"/>
      </w:tabs>
      <w:adjustRightInd w:val="0"/>
      <w:snapToGrid w:val="0"/>
      <w:spacing w:line="360" w:lineRule="auto"/>
      <w:outlineLvl w:val="0"/>
    </w:pPr>
    <w:rPr>
      <w:rFonts w:ascii="宋体"/>
      <w:b/>
      <w:kern w:val="44"/>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widowControl/>
      <w:tabs>
        <w:tab w:val="left" w:pos="822"/>
        <w:tab w:val="left" w:pos="1296"/>
      </w:tabs>
      <w:snapToGrid w:val="0"/>
      <w:spacing w:before="40" w:beforeLines="0" w:after="40" w:afterLines="0" w:line="300" w:lineRule="atLeast"/>
      <w:ind w:left="1296" w:hanging="1296"/>
    </w:pPr>
    <w:rPr>
      <w:rFonts w:ascii="Arial" w:hAnsi="Arial" w:eastAsia="宋体" w:cs="Times New Roman"/>
      <w:kern w:val="0"/>
      <w:szCs w:val="20"/>
    </w:rPr>
  </w:style>
  <w:style w:type="paragraph" w:styleId="4">
    <w:name w:val="Normal Indent"/>
    <w:basedOn w:val="1"/>
    <w:next w:val="1"/>
    <w:qFormat/>
    <w:uiPriority w:val="0"/>
    <w:pPr>
      <w:ind w:firstLine="420"/>
    </w:pPr>
    <w:rPr>
      <w:szCs w:val="20"/>
    </w:rPr>
  </w:style>
  <w:style w:type="paragraph" w:styleId="5">
    <w:name w:val="Body Text"/>
    <w:basedOn w:val="1"/>
    <w:next w:val="6"/>
    <w:qFormat/>
    <w:uiPriority w:val="0"/>
    <w:pPr>
      <w:spacing w:after="120" w:afterLines="0"/>
    </w:pPr>
  </w:style>
  <w:style w:type="paragraph" w:styleId="6">
    <w:name w:val="Body Text First Indent"/>
    <w:basedOn w:val="5"/>
    <w:next w:val="7"/>
    <w:qFormat/>
    <w:uiPriority w:val="99"/>
    <w:pPr>
      <w:ind w:firstLine="420"/>
    </w:pPr>
    <w:rPr>
      <w:rFonts w:ascii="Times New Roman"/>
      <w:sz w:val="21"/>
    </w:rPr>
  </w:style>
  <w:style w:type="paragraph" w:styleId="7">
    <w:name w:val="toc 6"/>
    <w:basedOn w:val="1"/>
    <w:next w:val="1"/>
    <w:qFormat/>
    <w:uiPriority w:val="39"/>
    <w:pPr>
      <w:widowControl/>
      <w:ind w:left="1000"/>
      <w:jc w:val="left"/>
    </w:pPr>
    <w:rPr>
      <w:kern w:val="0"/>
      <w:sz w:val="18"/>
      <w:szCs w:val="20"/>
    </w:rPr>
  </w:style>
  <w:style w:type="paragraph" w:styleId="8">
    <w:name w:val="Body Text Indent"/>
    <w:basedOn w:val="1"/>
    <w:next w:val="1"/>
    <w:qFormat/>
    <w:uiPriority w:val="0"/>
    <w:pPr>
      <w:spacing w:line="200" w:lineRule="exact"/>
      <w:ind w:firstLine="301"/>
    </w:pPr>
    <w:rPr>
      <w:rFonts w:ascii="宋体" w:hAnsi="Courier New"/>
      <w:spacing w:val="-4"/>
      <w:sz w:val="18"/>
      <w:szCs w:val="20"/>
      <w14:ligatures w14:val="none"/>
    </w:rPr>
  </w:style>
  <w:style w:type="paragraph" w:styleId="9">
    <w:name w:val="Plain Text"/>
    <w:basedOn w:val="1"/>
    <w:qFormat/>
    <w:uiPriority w:val="0"/>
    <w:pPr>
      <w:spacing w:beforeLines="50" w:afterLines="50" w:line="400" w:lineRule="exact"/>
    </w:pPr>
    <w:rPr>
      <w:rFonts w:ascii="宋体" w:hAnsi="Courier New"/>
      <w:sz w:val="24"/>
    </w:rPr>
  </w:style>
  <w:style w:type="paragraph" w:styleId="10">
    <w:name w:val="footer"/>
    <w:basedOn w:val="1"/>
    <w:link w:val="22"/>
    <w:qFormat/>
    <w:uiPriority w:val="0"/>
    <w:pPr>
      <w:tabs>
        <w:tab w:val="center" w:pos="4153"/>
        <w:tab w:val="right" w:pos="8306"/>
      </w:tabs>
      <w:snapToGrid w:val="0"/>
      <w:jc w:val="left"/>
    </w:pPr>
    <w:rPr>
      <w:sz w:val="18"/>
      <w:szCs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line="360" w:lineRule="auto"/>
      <w:jc w:val="left"/>
    </w:pPr>
    <w:rPr>
      <w:b/>
      <w:bCs/>
      <w:caps/>
      <w:sz w:val="24"/>
      <w:szCs w:val="20"/>
    </w:r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paragraph" w:styleId="14">
    <w:name w:val="Title"/>
    <w:basedOn w:val="1"/>
    <w:next w:val="1"/>
    <w:qFormat/>
    <w:uiPriority w:val="0"/>
    <w:pPr>
      <w:jc w:val="center"/>
    </w:pPr>
    <w:rPr>
      <w:rFonts w:ascii="Arial" w:hAnsi="Arial" w:eastAsia="宋体"/>
      <w:b/>
      <w:kern w:val="0"/>
      <w:sz w:val="36"/>
      <w:szCs w:val="20"/>
      <w:lang w:eastAsia="en-US"/>
      <w14:ligatures w14:val="none"/>
    </w:rPr>
  </w:style>
  <w:style w:type="table" w:styleId="16">
    <w:name w:val="Table Grid"/>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BodyText1I"/>
    <w:basedOn w:val="19"/>
    <w:qFormat/>
    <w:uiPriority w:val="0"/>
    <w:pPr>
      <w:ind w:firstLine="420" w:firstLineChars="100"/>
    </w:pPr>
  </w:style>
  <w:style w:type="paragraph" w:customStyle="1" w:styleId="19">
    <w:name w:val="BodyText"/>
    <w:basedOn w:val="1"/>
    <w:qFormat/>
    <w:uiPriority w:val="0"/>
    <w:pPr>
      <w:spacing w:after="120"/>
    </w:pPr>
  </w:style>
  <w:style w:type="paragraph" w:customStyle="1" w:styleId="20">
    <w:name w:val="表格文字"/>
    <w:basedOn w:val="1"/>
    <w:next w:val="5"/>
    <w:qFormat/>
    <w:uiPriority w:val="0"/>
    <w:pPr>
      <w:autoSpaceDE w:val="0"/>
      <w:autoSpaceDN w:val="0"/>
      <w:adjustRightInd w:val="0"/>
      <w:spacing w:line="420" w:lineRule="atLeast"/>
      <w:jc w:val="left"/>
      <w:textAlignment w:val="baseline"/>
    </w:pPr>
    <w:rPr>
      <w:rFonts w:hAnsi="宋体" w:cs="宋体"/>
      <w:kern w:val="0"/>
      <w:sz w:val="22"/>
      <w:lang w:val="zh-CN" w:bidi="zh-CN"/>
    </w:rPr>
  </w:style>
  <w:style w:type="character" w:customStyle="1" w:styleId="21">
    <w:name w:val="页眉 Char"/>
    <w:basedOn w:val="17"/>
    <w:link w:val="11"/>
    <w:qFormat/>
    <w:uiPriority w:val="0"/>
    <w:rPr>
      <w:kern w:val="2"/>
      <w:sz w:val="18"/>
      <w:szCs w:val="18"/>
    </w:rPr>
  </w:style>
  <w:style w:type="character" w:customStyle="1" w:styleId="22">
    <w:name w:val="页脚 Char"/>
    <w:basedOn w:val="17"/>
    <w:link w:val="10"/>
    <w:qFormat/>
    <w:uiPriority w:val="0"/>
    <w:rPr>
      <w:kern w:val="2"/>
      <w:sz w:val="18"/>
      <w:szCs w:val="18"/>
    </w:rPr>
  </w:style>
  <w:style w:type="paragraph" w:styleId="23">
    <w:name w:val="List Paragraph"/>
    <w:basedOn w:val="1"/>
    <w:qFormat/>
    <w:uiPriority w:val="0"/>
    <w:pPr>
      <w:ind w:firstLine="420" w:firstLineChars="200"/>
    </w:pPr>
    <w:rPr>
      <w:rFonts w:ascii="Calibri" w:hAnsi="Calibri"/>
      <w:szCs w:val="22"/>
    </w:rPr>
  </w:style>
  <w:style w:type="paragraph" w:customStyle="1" w:styleId="24">
    <w:name w:val="列出段落1"/>
    <w:basedOn w:val="1"/>
    <w:qFormat/>
    <w:uiPriority w:val="0"/>
    <w:pPr>
      <w:widowControl/>
      <w:spacing w:after="160" w:line="360" w:lineRule="auto"/>
      <w:ind w:left="720"/>
      <w:contextualSpacing/>
      <w:jc w:val="left"/>
    </w:pPr>
    <w:rPr>
      <w:szCs w:val="22"/>
    </w:rPr>
  </w:style>
  <w:style w:type="character" w:customStyle="1" w:styleId="25">
    <w:name w:val="NormalCharacter"/>
    <w:qFormat/>
    <w:uiPriority w:val="0"/>
    <w:rPr>
      <w:rFonts w:ascii="Times New Roman" w:hAnsi="Times New Roman" w:eastAsia="宋体" w:cs="Times New Roman"/>
      <w:kern w:val="2"/>
      <w:sz w:val="21"/>
      <w:szCs w:val="24"/>
      <w:lang w:val="en-US" w:eastAsia="zh-CN" w:bidi="ar-SA"/>
    </w:rPr>
  </w:style>
  <w:style w:type="paragraph" w:customStyle="1" w:styleId="26">
    <w:name w:val="列出段落2"/>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3343</Words>
  <Characters>3480</Characters>
  <Lines>17</Lines>
  <Paragraphs>4</Paragraphs>
  <TotalTime>33</TotalTime>
  <ScaleCrop>false</ScaleCrop>
  <LinksUpToDate>false</LinksUpToDate>
  <CharactersWithSpaces>3592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2019-08-15T01:42:00Z</dcterms:created>
  <dc:creator>小米</dc:creator>
  <cp:lastModifiedBy>天津卫</cp:lastModifiedBy>
  <dcterms:modified xsi:type="dcterms:W3CDTF">2023-07-25T02:48:18Z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BDC350B777C44DFDACB8FBB696258D1E</vt:lpwstr>
  </property>
</Properties>
</file>