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lear" w:pos="840"/>
        </w:tabs>
        <w:adjustRightInd/>
        <w:snapToGrid/>
        <w:spacing w:before="120" w:after="120" w:line="30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44"/>
          <w:szCs w:val="44"/>
        </w:rPr>
        <w:t>温州市中医院十万分之一天平采购</w:t>
      </w:r>
      <w:bookmarkEnd w:id="0"/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温州市中医院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十万分之一天平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采购方式：公开遴选（非政府采购）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0000元</w:t>
      </w:r>
    </w:p>
    <w:p>
      <w:pPr>
        <w:spacing w:line="40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</w:rPr>
        <w:t>项目内容及要求</w:t>
      </w:r>
    </w:p>
    <w:tbl>
      <w:tblPr>
        <w:tblStyle w:val="1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483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648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技术要求</w:t>
            </w:r>
          </w:p>
        </w:tc>
        <w:tc>
          <w:tcPr>
            <w:tcW w:w="13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left="843" w:hanging="843" w:hangingChars="40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投标响应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一</w:t>
            </w:r>
          </w:p>
        </w:tc>
        <w:tc>
          <w:tcPr>
            <w:tcW w:w="6483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总体要求：</w:t>
            </w:r>
          </w:p>
        </w:tc>
        <w:tc>
          <w:tcPr>
            <w:tcW w:w="13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1.1.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十万分之一天平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1台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3" w:hanging="843" w:hangingChars="40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1.2.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设备用途：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称量黄芩苷对照品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二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功能要求及技术参数：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</w:rPr>
              <w:t>量程：双量程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2.2.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最大秤量：220g/81g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2.3.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可读性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：0.1mg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0.01mg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2.4.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重复性测试载荷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(10g)：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 xml:space="preserve">0.02mg 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2.5.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最小称量值（USP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0.1%，典型值)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20mg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843" w:firstLineChars="400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★2.6.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校正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：内部/FACT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2.7.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合法交易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适用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2.8.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稳定时间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：≤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1.5s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2.9.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重复性（典型值）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0.01mg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2.10.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线性误差（典型值）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mg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2.11.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秤盘外形尺寸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宽x深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:78mm x 73mm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2.12.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尺寸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长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x高x宽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）：482 mm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292 mm x 195 mm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2.13.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采用高精度、高分辨率后置式传感器，获得准确称量结果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2.14.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全自动校准技术- 温度漂移触发的天平自动内校，内置两组砝码实现线性误差校准，确保称量结果的准确性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2.15.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网格称量盘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，可消除偏载误差,获得快速、稳定的称量结果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2.16.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使用不同去皮容器进行称量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2.17.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中文彩色触摸屏技术，方便天平称量菜单和参数设置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2.18.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内置允差配置文件，确保称量任务符合规定的质量要求和法规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状态指示灯、水平控制等智能功能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帮助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在使用过程中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监管所有正确称量相关的条件是否满足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主动式温控系统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可以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对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设备相关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电子元件进行散热处理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从而提高温度稳定性，使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能够获得出色的称量性能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动态温度补偿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功能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实时修正环境温度对称量结果的影响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全金属机架，具有良好的抗过载保护性能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显示控制终端可移动，方便天平使用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天平防风门和秤盘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易于拆卸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方便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天平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的日常维护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清洁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网络接口，可将天平连接到数据系统中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优化天平适应性的称量参数设置，满足不同称量环境要求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内置称量应用程序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：基础称量、统计称量、配方称量、计件称量、百分比称量、公式称量、密度测定等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符合GxP规范的称量结果输出，获得完整的、可追溯的称量信息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设备内置系统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软件在天平触摸屏上提供灵活的SOP用户指南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可实现自动数据处理、计算和报告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电动防风门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设计，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简化称量过程，帮助提高效率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防风门可设为自动打开到各种不同的角度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操作简单方便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48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产地:原装进口</w:t>
            </w: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三</w:t>
            </w:r>
          </w:p>
        </w:tc>
        <w:tc>
          <w:tcPr>
            <w:tcW w:w="6483" w:type="dxa"/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安装验收</w:t>
            </w:r>
          </w:p>
        </w:tc>
        <w:tc>
          <w:tcPr>
            <w:tcW w:w="135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3.1</w:t>
            </w:r>
          </w:p>
        </w:tc>
        <w:tc>
          <w:tcPr>
            <w:tcW w:w="6483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安装地点：医院指定科室；</w:t>
            </w:r>
          </w:p>
        </w:tc>
        <w:tc>
          <w:tcPr>
            <w:tcW w:w="135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3.2</w:t>
            </w:r>
          </w:p>
        </w:tc>
        <w:tc>
          <w:tcPr>
            <w:tcW w:w="6483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安装完成时间：合同签订后1个月内交货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完成安装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验收交付甲方使用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；</w:t>
            </w:r>
          </w:p>
        </w:tc>
        <w:tc>
          <w:tcPr>
            <w:tcW w:w="135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3.3</w:t>
            </w:r>
          </w:p>
        </w:tc>
        <w:tc>
          <w:tcPr>
            <w:tcW w:w="64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安装标准：符合我国国家有关技术规范和技术标准；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3.4</w:t>
            </w:r>
          </w:p>
        </w:tc>
        <w:tc>
          <w:tcPr>
            <w:tcW w:w="6483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验收标准：符合我国国家有关技术规范和技术标准。</w:t>
            </w:r>
          </w:p>
        </w:tc>
        <w:tc>
          <w:tcPr>
            <w:tcW w:w="135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3.5</w:t>
            </w:r>
          </w:p>
        </w:tc>
        <w:tc>
          <w:tcPr>
            <w:tcW w:w="6483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安装、验收合格前所产生的一切费用（包括卸货、搬运、必要时的安全性能检测费等）由供方负责提供。</w:t>
            </w:r>
          </w:p>
        </w:tc>
        <w:tc>
          <w:tcPr>
            <w:tcW w:w="135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四</w:t>
            </w:r>
          </w:p>
        </w:tc>
        <w:tc>
          <w:tcPr>
            <w:tcW w:w="6483" w:type="dxa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售后服务</w:t>
            </w:r>
          </w:p>
        </w:tc>
        <w:tc>
          <w:tcPr>
            <w:tcW w:w="135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9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4.1</w:t>
            </w:r>
          </w:p>
        </w:tc>
        <w:tc>
          <w:tcPr>
            <w:tcW w:w="64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免费保修：设备验收合格后保修≥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年，期间免一切维修费用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五</w:t>
            </w:r>
          </w:p>
        </w:tc>
        <w:tc>
          <w:tcPr>
            <w:tcW w:w="64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4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厂家承诺过保后先维修再付款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操作手册、维修手册：提供操作手册、维修手册各一套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4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培训：提供临床应用操作培训,并提供临床资料(培训ppt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)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64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软件终身免费升级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64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付款方式:验收合格后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工作日内付款，投标商开具单张发票限额必须大于投标单台设备价格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6483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投标商提供的设备必须在距投标当日10个月内生产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付款方式</w:t>
      </w:r>
    </w:p>
    <w:p>
      <w:pPr>
        <w:pStyle w:val="6"/>
        <w:spacing w:line="360" w:lineRule="auto"/>
        <w:ind w:left="0" w:leftChars="0" w:firstLine="480" w:firstLineChars="20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黑体"/>
          <w:b w:val="0"/>
          <w:bCs w:val="0"/>
          <w:sz w:val="24"/>
          <w:szCs w:val="24"/>
          <w:lang w:val="en-US" w:eastAsia="zh-CN"/>
        </w:rPr>
        <w:t>验收合格后30个工作日内</w:t>
      </w: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一次性支付合同款项</w:t>
      </w:r>
      <w:r>
        <w:rPr>
          <w:rFonts w:hint="eastAsia" w:ascii="宋体" w:hAnsi="宋体" w:eastAsia="宋体" w:cs="黑体"/>
          <w:b w:val="0"/>
          <w:bCs w:val="0"/>
          <w:sz w:val="24"/>
          <w:szCs w:val="24"/>
          <w:lang w:val="en-US" w:eastAsia="zh-CN"/>
        </w:rPr>
        <w:t>，投标商开具单张发票限额必须大于投标单台设备价格</w:t>
      </w: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19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6"/>
        <w:tblW w:w="94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639"/>
        <w:gridCol w:w="997"/>
        <w:gridCol w:w="50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评定项目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对应于招标文件设备技术规格及配置的偏离度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 w:val="22"/>
                <w:szCs w:val="22"/>
                <w:highlight w:val="none"/>
              </w:rPr>
              <w:t>与招标文件</w:t>
            </w:r>
            <w:r>
              <w:rPr>
                <w:rFonts w:hint="eastAsia" w:ascii="Times New Roman" w:hAnsi="Times New Roman" w:eastAsia="新宋体" w:cs="Times New Roman"/>
                <w:color w:val="auto"/>
                <w:sz w:val="22"/>
                <w:szCs w:val="22"/>
                <w:highlight w:val="none"/>
                <w:lang w:eastAsia="zh-CN"/>
              </w:rPr>
              <w:t>中</w:t>
            </w:r>
            <w:r>
              <w:rPr>
                <w:rFonts w:hint="default" w:ascii="Times New Roman" w:hAnsi="Times New Roman" w:eastAsia="新宋体" w:cs="Times New Roman"/>
                <w:color w:val="auto"/>
                <w:sz w:val="22"/>
                <w:szCs w:val="22"/>
                <w:highlight w:val="none"/>
              </w:rPr>
              <w:t>货物技术规格及配置、商务要求对比，一项指标负偏离扣1分，标注★的指标</w:t>
            </w:r>
            <w:r>
              <w:rPr>
                <w:rFonts w:hint="eastAsia" w:ascii="Times New Roman" w:hAnsi="Times New Roman" w:eastAsia="新宋体" w:cs="Times New Roman"/>
                <w:color w:val="auto"/>
                <w:sz w:val="22"/>
                <w:szCs w:val="22"/>
                <w:highlight w:val="none"/>
                <w:lang w:eastAsia="zh-CN"/>
              </w:rPr>
              <w:t>负</w:t>
            </w:r>
            <w:r>
              <w:rPr>
                <w:rFonts w:hint="default" w:ascii="Times New Roman" w:hAnsi="Times New Roman" w:eastAsia="新宋体" w:cs="Times New Roman"/>
                <w:color w:val="auto"/>
                <w:sz w:val="22"/>
                <w:szCs w:val="22"/>
                <w:highlight w:val="none"/>
              </w:rPr>
              <w:t>偏离每项扣4分</w:t>
            </w:r>
            <w:r>
              <w:rPr>
                <w:rFonts w:hint="eastAsia" w:ascii="Times New Roman" w:hAnsi="Times New Roman" w:eastAsia="新宋体" w:cs="Times New Roman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新宋体" w:cs="Times New Roman"/>
                <w:color w:val="auto"/>
                <w:sz w:val="22"/>
                <w:szCs w:val="22"/>
                <w:highlight w:val="none"/>
              </w:rPr>
              <w:t>扣完为止</w:t>
            </w:r>
            <w:r>
              <w:rPr>
                <w:rFonts w:hint="default" w:ascii="Times New Roman" w:hAnsi="Times New Roman" w:eastAsia="新宋体" w:cs="Times New Roman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投标设备配套的合理性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评委对投标设备配套的合理性、功能实现程度进行评价：投标设备配套合理、功能实现程度高的，得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6-8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分；配套较合理、功能实现程度较高的，得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3-5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分；配套合理性一般、不能完全达到临床要求功能的，得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0-2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投标设备技术指标的先进性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评委对投标设备技术指标的先进性进行评价：技术指标高于招标要求且具有较高临床使用价值的，每项得1分；最高得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投标机型的档次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投标机型在产品系列中属高档产品的，得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8-11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分；属中等档次产品的，得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4-7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分；属低档产品的，得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运行成本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包括保修价格、售后服务方案、年运行费用和消耗品或易耗品价格等综合运行成本进行评价。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保修服务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保修期超过招标文件要求的，每增加1年加1分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增加部分不足1年的不计分。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投标产品总体质量性能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投标产品在临床上的使用情况、稳定性、故障率等总体质量性能综合评价。</w:t>
            </w:r>
          </w:p>
          <w:p>
            <w:pPr>
              <w:ind w:left="105" w:leftChars="50" w:right="10" w:rightChars="5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A档：6-8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B档：3-5分；C档：0-2分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市场占有率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温州市或浙江省内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年1月1日起至今与最终用户签订的投标机型合同复印件，每份有效合同得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分，最多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分。（与同一采购人签订的多份合同或协议视为一个业绩）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制造商或代理商的售后服务和维修能力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制造商或代理商的售后服务和维修能力，服务响应速度、服务人员水平、备品备件配置等综合评价。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0-3分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spacing w:before="120" w:beforeLines="50" w:after="120" w:afterLines="5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4" w:firstLineChars="200"/>
        <w:jc w:val="both"/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价格分采用低价优先法计算，即满足招标文件要求且投标报价最低的投标报价为评标基准价，其得分为满分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分。其他投标人的价格分按照下列公式计算：</w:t>
      </w:r>
    </w:p>
    <w:p>
      <w:pPr>
        <w:spacing w:before="120" w:beforeLines="50" w:after="120" w:after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价格分=（评标基准价/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投标报价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%×100</w:t>
      </w:r>
    </w:p>
    <w:p>
      <w:pPr>
        <w:pStyle w:val="5"/>
        <w:jc w:val="center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报价一览表</w:t>
      </w:r>
    </w:p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温州市中医院十万分之一天平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                  </w:t>
      </w:r>
    </w:p>
    <w:tbl>
      <w:tblPr>
        <w:tblStyle w:val="16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45"/>
        <w:gridCol w:w="1037"/>
        <w:gridCol w:w="1023"/>
        <w:gridCol w:w="322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型号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人民币元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十万分之一天平</w:t>
            </w:r>
          </w:p>
        </w:tc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02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大写：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小写：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line="450" w:lineRule="exact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说明：不提供此表格将被视为没有实质性响应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遴选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pStyle w:val="8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both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五、</w:t>
      </w:r>
      <w:r>
        <w:rPr>
          <w:rFonts w:hint="eastAsia"/>
          <w:b/>
          <w:bCs w:val="0"/>
          <w:sz w:val="28"/>
          <w:szCs w:val="28"/>
        </w:rPr>
        <w:t>设备配置清单</w:t>
      </w:r>
    </w:p>
    <w:tbl>
      <w:tblPr>
        <w:tblStyle w:val="16"/>
        <w:tblpPr w:leftFromText="180" w:rightFromText="180" w:vertAnchor="text" w:horzAnchor="margin" w:tblpXSpec="center" w:tblpY="357"/>
        <w:tblOverlap w:val="never"/>
        <w:tblW w:w="9500" w:type="dxa"/>
        <w:tblInd w:w="-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88"/>
        <w:gridCol w:w="1950"/>
        <w:gridCol w:w="1725"/>
        <w:gridCol w:w="1380"/>
        <w:gridCol w:w="1352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5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品牌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产品名称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规格型号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数量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金额（元）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left"/>
        <w:rPr>
          <w:sz w:val="24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黑体"/>
          <w:b/>
          <w:bCs/>
          <w:sz w:val="28"/>
          <w:szCs w:val="28"/>
          <w:lang w:val="en-US" w:eastAsia="zh-CN"/>
        </w:rPr>
      </w:pPr>
      <w:bookmarkStart w:id="1" w:name="_GoBack"/>
      <w:bookmarkEnd w:id="1"/>
    </w:p>
    <w:p>
      <w:pPr>
        <w:pStyle w:val="13"/>
        <w:rPr>
          <w:rFonts w:hint="eastAsia" w:ascii="宋体" w:hAnsi="宋体" w:eastAsia="宋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80" w:lineRule="exact"/>
        <w:rPr>
          <w:rFonts w:hint="eastAsia"/>
        </w:rPr>
      </w:pPr>
    </w:p>
    <w:sectPr>
      <w:footerReference r:id="rId3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jMDk4ZjUyNmI5ZWM0NTQwMmI0OWNkNmNiZDhjNj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61E2864"/>
    <w:rsid w:val="076646E5"/>
    <w:rsid w:val="084B5379"/>
    <w:rsid w:val="09CB578A"/>
    <w:rsid w:val="0F427144"/>
    <w:rsid w:val="0F9C6A6C"/>
    <w:rsid w:val="1124087B"/>
    <w:rsid w:val="15F0193F"/>
    <w:rsid w:val="16586A57"/>
    <w:rsid w:val="16EF2001"/>
    <w:rsid w:val="17B96491"/>
    <w:rsid w:val="1B951E05"/>
    <w:rsid w:val="203F5CE6"/>
    <w:rsid w:val="252A6495"/>
    <w:rsid w:val="26614AE7"/>
    <w:rsid w:val="26A36964"/>
    <w:rsid w:val="2C0B329E"/>
    <w:rsid w:val="2DCF6290"/>
    <w:rsid w:val="2EE23DA1"/>
    <w:rsid w:val="32E87DD1"/>
    <w:rsid w:val="33F15215"/>
    <w:rsid w:val="35584BB1"/>
    <w:rsid w:val="36F20F59"/>
    <w:rsid w:val="36FF0897"/>
    <w:rsid w:val="38620F4A"/>
    <w:rsid w:val="3A5C534F"/>
    <w:rsid w:val="3AA307AA"/>
    <w:rsid w:val="3D4A148F"/>
    <w:rsid w:val="3D766728"/>
    <w:rsid w:val="3F351791"/>
    <w:rsid w:val="42417305"/>
    <w:rsid w:val="43F47C2B"/>
    <w:rsid w:val="442D7AA8"/>
    <w:rsid w:val="45B222C8"/>
    <w:rsid w:val="46AB0BAA"/>
    <w:rsid w:val="4B86017E"/>
    <w:rsid w:val="4BB26B7D"/>
    <w:rsid w:val="4F835253"/>
    <w:rsid w:val="50430A48"/>
    <w:rsid w:val="52957526"/>
    <w:rsid w:val="539C47DE"/>
    <w:rsid w:val="57A36574"/>
    <w:rsid w:val="58D72375"/>
    <w:rsid w:val="5A1D1FAE"/>
    <w:rsid w:val="5DAF6DF6"/>
    <w:rsid w:val="5EEC01A1"/>
    <w:rsid w:val="61E865CA"/>
    <w:rsid w:val="63750765"/>
    <w:rsid w:val="64F466B7"/>
    <w:rsid w:val="654C0859"/>
    <w:rsid w:val="65B0017A"/>
    <w:rsid w:val="677734BF"/>
    <w:rsid w:val="6AD77E43"/>
    <w:rsid w:val="6FA3415F"/>
    <w:rsid w:val="712E3A4E"/>
    <w:rsid w:val="71BA3A22"/>
    <w:rsid w:val="71CD3E62"/>
    <w:rsid w:val="724D0AFE"/>
    <w:rsid w:val="72E83474"/>
    <w:rsid w:val="72F62F44"/>
    <w:rsid w:val="75A35A24"/>
    <w:rsid w:val="78362761"/>
    <w:rsid w:val="78BC52C2"/>
    <w:rsid w:val="79F966D5"/>
    <w:rsid w:val="7D531607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2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Body Text"/>
    <w:basedOn w:val="1"/>
    <w:next w:val="8"/>
    <w:qFormat/>
    <w:uiPriority w:val="0"/>
    <w:pPr>
      <w:spacing w:after="120" w:afterLines="0"/>
    </w:pPr>
  </w:style>
  <w:style w:type="paragraph" w:styleId="8">
    <w:name w:val="Body Text First Indent"/>
    <w:basedOn w:val="7"/>
    <w:next w:val="9"/>
    <w:qFormat/>
    <w:uiPriority w:val="0"/>
    <w:pPr>
      <w:ind w:firstLine="420" w:firstLineChars="100"/>
    </w:pPr>
    <w:rPr>
      <w:b/>
      <w:bCs/>
      <w:szCs w:val="24"/>
    </w:rPr>
  </w:style>
  <w:style w:type="paragraph" w:styleId="9">
    <w:name w:val="toc 6"/>
    <w:basedOn w:val="1"/>
    <w:next w:val="1"/>
    <w:qFormat/>
    <w:uiPriority w:val="0"/>
    <w:pPr>
      <w:ind w:left="2100" w:leftChars="1000"/>
    </w:pPr>
  </w:style>
  <w:style w:type="paragraph" w:styleId="10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1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table" w:styleId="17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uiPriority w:val="0"/>
  </w:style>
  <w:style w:type="paragraph" w:customStyle="1" w:styleId="21">
    <w:name w:val="BodyText1I"/>
    <w:basedOn w:val="22"/>
    <w:qFormat/>
    <w:uiPriority w:val="0"/>
    <w:pPr>
      <w:ind w:firstLine="420" w:firstLineChars="100"/>
    </w:pPr>
  </w:style>
  <w:style w:type="paragraph" w:customStyle="1" w:styleId="22">
    <w:name w:val="BodyText"/>
    <w:basedOn w:val="1"/>
    <w:qFormat/>
    <w:uiPriority w:val="0"/>
    <w:pPr>
      <w:spacing w:after="120"/>
    </w:pPr>
  </w:style>
  <w:style w:type="paragraph" w:customStyle="1" w:styleId="23">
    <w:name w:val="表格文字"/>
    <w:basedOn w:val="1"/>
    <w:next w:val="7"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4">
    <w:name w:val="页眉 Char"/>
    <w:basedOn w:val="18"/>
    <w:link w:val="12"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8"/>
    <w:link w:val="11"/>
    <w:qFormat/>
    <w:uiPriority w:val="0"/>
    <w:rPr>
      <w:kern w:val="2"/>
      <w:sz w:val="18"/>
      <w:szCs w:val="18"/>
    </w:rPr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1"/>
    <w:basedOn w:val="1"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6</TotalTime>
  <ScaleCrop>false</ScaleCrop>
  <LinksUpToDate>false</LinksUpToDate>
  <CharactersWithSpaces>2342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天津卫</cp:lastModifiedBy>
  <dcterms:modified xsi:type="dcterms:W3CDTF">2023-06-02T00:14:41Z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BDC350B777C44DFDACB8FBB696258D1E</vt:lpwstr>
  </property>
</Properties>
</file>