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3"/>
          <w:rFonts w:hint="eastAsia" w:asciiTheme="minorEastAsia" w:hAnsiTheme="minorEastAsia" w:eastAsiaTheme="minorEastAsia" w:cstheme="minorEastAsia"/>
          <w:b/>
          <w:bCs/>
          <w:sz w:val="32"/>
          <w:szCs w:val="32"/>
          <w:lang w:val="en-US" w:eastAsia="zh-CN"/>
        </w:rPr>
      </w:pPr>
      <w:r>
        <w:rPr>
          <w:rStyle w:val="13"/>
          <w:rFonts w:hint="eastAsia" w:asciiTheme="minorEastAsia" w:hAnsiTheme="minorEastAsia" w:eastAsiaTheme="minorEastAsia" w:cstheme="minorEastAsia"/>
          <w:b/>
          <w:bCs/>
          <w:sz w:val="36"/>
          <w:szCs w:val="36"/>
          <w:lang w:val="en-US" w:eastAsia="zh-CN"/>
        </w:rPr>
        <w:t>温州市中医院关于超声雾化熏洗仪项目的招标</w:t>
      </w:r>
    </w:p>
    <w:p>
      <w:pPr>
        <w:numPr>
          <w:ilvl w:val="0"/>
          <w:numId w:val="1"/>
        </w:numPr>
        <w:jc w:val="both"/>
        <w:rPr>
          <w:rStyle w:val="13"/>
          <w:rFonts w:hint="eastAsia" w:asciiTheme="minorEastAsia" w:hAnsiTheme="minorEastAsia" w:eastAsiaTheme="minorEastAsia" w:cstheme="minorEastAsia"/>
          <w:b/>
          <w:bCs/>
          <w:sz w:val="32"/>
          <w:szCs w:val="32"/>
        </w:rPr>
      </w:pPr>
      <w:r>
        <w:rPr>
          <w:rStyle w:val="13"/>
          <w:rFonts w:hint="eastAsia" w:asciiTheme="minorEastAsia" w:hAnsiTheme="minorEastAsia" w:eastAsiaTheme="minorEastAsia" w:cstheme="minorEastAsia"/>
          <w:b/>
          <w:bCs/>
          <w:sz w:val="32"/>
          <w:szCs w:val="32"/>
        </w:rPr>
        <w:t>项目基本情况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5"/>
        <w:gridCol w:w="5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5" w:type="dxa"/>
          </w:tcPr>
          <w:p>
            <w:pPr>
              <w:jc w:val="both"/>
              <w:rPr>
                <w:rFonts w:hint="eastAsia" w:ascii="宋体" w:hAnsi="宋体" w:eastAsia="宋体" w:cs="宋体"/>
                <w:b w:val="0"/>
                <w:bCs w:val="0"/>
                <w:color w:val="auto"/>
                <w:sz w:val="24"/>
                <w:szCs w:val="24"/>
                <w:vertAlign w:val="baseline"/>
                <w:lang w:val="en-US"/>
              </w:rPr>
            </w:pPr>
            <w:r>
              <w:rPr>
                <w:rFonts w:hint="eastAsia" w:ascii="宋体" w:hAnsi="宋体" w:eastAsia="宋体" w:cs="宋体"/>
                <w:b w:val="0"/>
                <w:bCs w:val="0"/>
                <w:color w:val="auto"/>
                <w:sz w:val="24"/>
                <w:szCs w:val="24"/>
              </w:rPr>
              <w:t>项目编号：</w:t>
            </w:r>
            <w:r>
              <w:rPr>
                <w:rFonts w:hint="eastAsia" w:asciiTheme="minorEastAsia" w:hAnsiTheme="minorEastAsia" w:cstheme="minorEastAsia"/>
                <w:color w:val="auto"/>
                <w:sz w:val="24"/>
                <w:szCs w:val="24"/>
                <w:vertAlign w:val="baseline"/>
                <w:lang w:val="en-US" w:eastAsia="zh-CN"/>
              </w:rPr>
              <w:t>2023-sb-cg-006</w:t>
            </w:r>
          </w:p>
        </w:tc>
        <w:tc>
          <w:tcPr>
            <w:tcW w:w="5183" w:type="dxa"/>
          </w:tcPr>
          <w:p>
            <w:pPr>
              <w:jc w:val="left"/>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rPr>
              <w:t>项目名称：</w:t>
            </w:r>
            <w:r>
              <w:rPr>
                <w:rFonts w:hint="eastAsia" w:ascii="宋体" w:hAnsi="宋体" w:eastAsia="宋体" w:cs="宋体"/>
                <w:color w:val="auto"/>
                <w:sz w:val="24"/>
                <w:szCs w:val="24"/>
                <w:lang w:eastAsia="zh-CN"/>
              </w:rPr>
              <w:t>超声雾化熏洗仪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5" w:type="dxa"/>
          </w:tcPr>
          <w:p>
            <w:pPr>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数量：1台</w:t>
            </w:r>
          </w:p>
        </w:tc>
        <w:tc>
          <w:tcPr>
            <w:tcW w:w="5183" w:type="dxa"/>
          </w:tcPr>
          <w:p>
            <w:pPr>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预算</w:t>
            </w:r>
            <w:r>
              <w:rPr>
                <w:rFonts w:hint="eastAsia" w:ascii="宋体" w:hAnsi="宋体" w:eastAsia="宋体" w:cs="宋体"/>
                <w:b w:val="0"/>
                <w:bCs w:val="0"/>
                <w:color w:val="auto"/>
                <w:sz w:val="24"/>
                <w:szCs w:val="24"/>
                <w:lang w:val="en-US" w:eastAsia="zh-CN"/>
              </w:rPr>
              <w:t>总</w:t>
            </w:r>
            <w:r>
              <w:rPr>
                <w:rFonts w:hint="eastAsia" w:ascii="宋体" w:hAnsi="宋体" w:eastAsia="宋体" w:cs="宋体"/>
                <w:b w:val="0"/>
                <w:bCs w:val="0"/>
                <w:color w:val="auto"/>
                <w:sz w:val="24"/>
                <w:szCs w:val="24"/>
              </w:rPr>
              <w:t>金额（元）:</w:t>
            </w:r>
            <w:r>
              <w:rPr>
                <w:rFonts w:hint="eastAsia" w:ascii="宋体" w:hAnsi="宋体" w:eastAsia="宋体" w:cs="宋体"/>
                <w:b w:val="0"/>
                <w:bCs w:val="0"/>
                <w:color w:val="auto"/>
                <w:sz w:val="24"/>
                <w:szCs w:val="24"/>
                <w:lang w:val="en-US" w:eastAsia="zh-CN"/>
              </w:rPr>
              <w:t>4.5万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288" w:type="dxa"/>
            <w:gridSpan w:val="2"/>
          </w:tcPr>
          <w:p>
            <w:pPr>
              <w:jc w:val="both"/>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color w:val="auto"/>
                <w:sz w:val="24"/>
                <w:szCs w:val="24"/>
              </w:rPr>
              <w:t>简要规格描述或项目基本概况介绍、用途：</w:t>
            </w:r>
            <w:r>
              <w:rPr>
                <w:rFonts w:hint="eastAsia" w:ascii="宋体" w:hAnsi="宋体" w:eastAsia="宋体" w:cs="宋体"/>
                <w:color w:val="auto"/>
                <w:sz w:val="21"/>
                <w:szCs w:val="21"/>
                <w:lang w:eastAsia="zh-CN"/>
              </w:rPr>
              <w:t>内痔、外痔、混合痔、肛门水肿、肛门瘙痒、直肠炎、肛窦炎、术后促进伤口愈合、软化疤痕、肛门瘙痒等肛门疾病等；阴道炎、盆腔炎、阴部湿疹、阴痒等妇科疾病；前列腺炎等泌尿科疾病；康复保健等</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8" w:type="dxa"/>
            <w:gridSpan w:val="2"/>
          </w:tcPr>
          <w:p>
            <w:pPr>
              <w:jc w:val="both"/>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color w:val="auto"/>
                <w:sz w:val="24"/>
                <w:szCs w:val="24"/>
              </w:rPr>
              <w:t>备注：</w:t>
            </w:r>
            <w:r>
              <w:rPr>
                <w:rFonts w:hint="eastAsia" w:ascii="宋体" w:hAnsi="宋体" w:eastAsia="宋体" w:cs="宋体"/>
                <w:color w:val="auto"/>
                <w:sz w:val="24"/>
                <w:szCs w:val="24"/>
                <w:lang w:eastAsia="zh-CN"/>
              </w:rPr>
              <w:t>国产</w:t>
            </w:r>
          </w:p>
        </w:tc>
      </w:tr>
    </w:tbl>
    <w:p>
      <w:pPr>
        <w:jc w:val="both"/>
        <w:rPr>
          <w:rFonts w:hint="eastAsia" w:asciiTheme="minorEastAsia" w:hAnsiTheme="minorEastAsia" w:eastAsiaTheme="minorEastAsia" w:cstheme="minorEastAsia"/>
          <w:b w:val="0"/>
          <w:bCs w:val="0"/>
          <w:sz w:val="24"/>
          <w:szCs w:val="24"/>
        </w:rPr>
      </w:pPr>
    </w:p>
    <w:p>
      <w:pPr>
        <w:numPr>
          <w:ilvl w:val="0"/>
          <w:numId w:val="1"/>
        </w:numPr>
        <w:jc w:val="both"/>
        <w:rPr>
          <w:rStyle w:val="13"/>
          <w:rFonts w:hint="eastAsia" w:asciiTheme="minorEastAsia" w:hAnsiTheme="minorEastAsia" w:eastAsiaTheme="minorEastAsia" w:cstheme="minorEastAsia"/>
          <w:b/>
          <w:bCs/>
          <w:sz w:val="32"/>
          <w:szCs w:val="32"/>
          <w:lang w:val="en-US" w:eastAsia="zh-CN"/>
        </w:rPr>
      </w:pPr>
      <w:r>
        <w:rPr>
          <w:rStyle w:val="13"/>
          <w:rFonts w:hint="eastAsia" w:asciiTheme="minorEastAsia" w:hAnsiTheme="minorEastAsia" w:eastAsiaTheme="minorEastAsia" w:cstheme="minorEastAsia"/>
          <w:b/>
          <w:bCs/>
          <w:sz w:val="32"/>
          <w:szCs w:val="32"/>
          <w:lang w:val="en-US" w:eastAsia="zh-CN"/>
        </w:rPr>
        <w:t>采购方式和定标原则</w:t>
      </w:r>
    </w:p>
    <w:p>
      <w:pPr>
        <w:numPr>
          <w:ilvl w:val="0"/>
          <w:numId w:val="0"/>
        </w:num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本项目我院采取院内组织公开招标的方式，以综合评分最高者中标的原则确定中标供应商。</w:t>
      </w:r>
    </w:p>
    <w:p>
      <w:pPr>
        <w:pStyle w:val="7"/>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3"/>
          <w:rFonts w:hint="eastAsia" w:asciiTheme="minorEastAsia" w:hAnsiTheme="minorEastAsia" w:eastAsiaTheme="minorEastAsia" w:cstheme="minorEastAsia"/>
          <w:b/>
          <w:bCs/>
          <w:kern w:val="2"/>
          <w:sz w:val="32"/>
          <w:szCs w:val="32"/>
          <w:lang w:val="en-US" w:eastAsia="zh-CN" w:bidi="ar-SA"/>
        </w:rPr>
      </w:pPr>
      <w:r>
        <w:rPr>
          <w:rStyle w:val="13"/>
          <w:rFonts w:hint="eastAsia" w:asciiTheme="minorEastAsia" w:hAnsiTheme="minorEastAsia" w:eastAsiaTheme="minorEastAsia" w:cstheme="minorEastAsia"/>
          <w:b/>
          <w:bCs/>
          <w:kern w:val="2"/>
          <w:sz w:val="32"/>
          <w:szCs w:val="32"/>
          <w:lang w:val="en-US" w:eastAsia="zh-CN" w:bidi="ar-SA"/>
        </w:rPr>
        <w:t>获取招标文件</w:t>
      </w:r>
    </w:p>
    <w:p>
      <w:pPr>
        <w:pStyle w:val="7"/>
        <w:keepNext w:val="0"/>
        <w:keepLines w:val="0"/>
        <w:widowControl/>
        <w:suppressLineNumbers w:val="0"/>
        <w:spacing w:line="300" w:lineRule="atLeast"/>
        <w:rPr>
          <w:rFonts w:hint="eastAsia" w:asciiTheme="minorEastAsia" w:hAnsiTheme="minorEastAsia" w:eastAsiaTheme="minorEastAsia" w:cstheme="minorEastAsia"/>
          <w:kern w:val="2"/>
          <w:sz w:val="24"/>
          <w:szCs w:val="24"/>
          <w:highlight w:val="yellow"/>
          <w:lang w:val="en-US" w:eastAsia="zh-CN" w:bidi="ar-SA"/>
        </w:rPr>
      </w:pPr>
      <w:r>
        <w:rPr>
          <w:rFonts w:hint="eastAsia" w:asciiTheme="minorEastAsia" w:hAnsiTheme="minorEastAsia" w:eastAsiaTheme="minorEastAsia" w:cstheme="minorEastAsia"/>
          <w:kern w:val="2"/>
          <w:sz w:val="24"/>
          <w:szCs w:val="24"/>
          <w:lang w:val="en-US" w:eastAsia="zh-CN" w:bidi="ar-SA"/>
        </w:rPr>
        <w:t>地点（网址）</w:t>
      </w:r>
      <w:r>
        <w:rPr>
          <w:rFonts w:hint="eastAsia" w:asciiTheme="minorEastAsia" w:hAnsiTheme="minorEastAsia" w:eastAsiaTheme="minorEastAsia" w:cstheme="minorEastAsia"/>
          <w:kern w:val="2"/>
          <w:sz w:val="24"/>
          <w:szCs w:val="24"/>
          <w:highlight w:val="none"/>
          <w:lang w:val="en-US" w:eastAsia="zh-CN" w:bidi="ar-SA"/>
        </w:rPr>
        <w:t>：</w:t>
      </w:r>
      <w:r>
        <w:rPr>
          <w:rFonts w:hint="eastAsia" w:asciiTheme="minorEastAsia" w:hAnsiTheme="minorEastAsia" w:eastAsiaTheme="minorEastAsia" w:cstheme="minorEastAsia"/>
          <w:kern w:val="2"/>
          <w:szCs w:val="24"/>
          <w:highlight w:val="none"/>
          <w:lang w:eastAsia="zh-CN"/>
        </w:rPr>
        <w:t>h</w:t>
      </w:r>
      <w:r>
        <w:rPr>
          <w:rFonts w:hint="eastAsia" w:asciiTheme="minorEastAsia" w:hAnsiTheme="minorEastAsia" w:eastAsiaTheme="minorEastAsia" w:cstheme="minorEastAsia"/>
          <w:kern w:val="2"/>
          <w:szCs w:val="24"/>
          <w:lang w:eastAsia="zh-CN"/>
        </w:rPr>
        <w:t>ttp://www.wzszyy.com/</w:t>
      </w:r>
    </w:p>
    <w:p>
      <w:pPr>
        <w:pStyle w:val="7"/>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3"/>
          <w:rFonts w:hint="eastAsia" w:asciiTheme="minorEastAsia" w:hAnsiTheme="minorEastAsia" w:eastAsiaTheme="minorEastAsia" w:cstheme="minorEastAsia"/>
          <w:b/>
          <w:bCs/>
          <w:kern w:val="2"/>
          <w:sz w:val="32"/>
          <w:szCs w:val="32"/>
          <w:lang w:val="en-US" w:eastAsia="zh-CN" w:bidi="ar-SA"/>
        </w:rPr>
      </w:pPr>
      <w:r>
        <w:rPr>
          <w:rStyle w:val="13"/>
          <w:rFonts w:hint="eastAsia" w:asciiTheme="minorEastAsia" w:hAnsiTheme="minorEastAsia" w:eastAsiaTheme="minorEastAsia" w:cstheme="minorEastAsia"/>
          <w:b/>
          <w:bCs/>
          <w:kern w:val="2"/>
          <w:sz w:val="32"/>
          <w:szCs w:val="32"/>
          <w:lang w:val="en-US" w:eastAsia="zh-CN" w:bidi="ar-SA"/>
        </w:rPr>
        <w:t>提交投标文件截止时间、开标时间和地点</w:t>
      </w:r>
    </w:p>
    <w:p>
      <w:pP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1、</w:t>
      </w:r>
      <w:r>
        <w:rPr>
          <w:rFonts w:hint="eastAsia" w:asciiTheme="minorEastAsia" w:hAnsiTheme="minorEastAsia" w:eastAsiaTheme="minorEastAsia" w:cstheme="minorEastAsia"/>
          <w:kern w:val="2"/>
          <w:sz w:val="24"/>
          <w:szCs w:val="24"/>
          <w:lang w:val="en-US" w:eastAsia="zh-CN" w:bidi="ar-SA"/>
        </w:rPr>
        <w:t>提交投标文件截止时间：202</w:t>
      </w:r>
      <w:r>
        <w:rPr>
          <w:rFonts w:hint="eastAsia" w:asciiTheme="minorEastAsia" w:hAnsiTheme="minorEastAsia" w:cstheme="minorEastAsia"/>
          <w:kern w:val="2"/>
          <w:sz w:val="24"/>
          <w:szCs w:val="24"/>
          <w:lang w:val="en-US" w:eastAsia="zh-CN" w:bidi="ar-SA"/>
        </w:rPr>
        <w:t>3</w:t>
      </w:r>
      <w:r>
        <w:rPr>
          <w:rFonts w:hint="eastAsia" w:asciiTheme="minorEastAsia" w:hAnsiTheme="minorEastAsia" w:eastAsiaTheme="minorEastAsia" w:cstheme="minorEastAsia"/>
          <w:kern w:val="2"/>
          <w:sz w:val="24"/>
          <w:szCs w:val="24"/>
          <w:lang w:val="en-US" w:eastAsia="zh-CN" w:bidi="ar-SA"/>
        </w:rPr>
        <w:t>年</w:t>
      </w:r>
      <w:r>
        <w:rPr>
          <w:rFonts w:hint="eastAsia" w:asciiTheme="minorEastAsia" w:hAnsiTheme="minorEastAsia" w:cstheme="minorEastAsia"/>
          <w:kern w:val="2"/>
          <w:sz w:val="24"/>
          <w:szCs w:val="24"/>
          <w:lang w:val="en-US" w:eastAsia="zh-CN" w:bidi="ar-SA"/>
        </w:rPr>
        <w:t>4</w:t>
      </w:r>
      <w:r>
        <w:rPr>
          <w:rFonts w:hint="eastAsia" w:asciiTheme="minorEastAsia" w:hAnsiTheme="minorEastAsia" w:eastAsiaTheme="minorEastAsia" w:cstheme="minorEastAsia"/>
          <w:color w:val="0000FF"/>
          <w:kern w:val="2"/>
          <w:sz w:val="24"/>
          <w:szCs w:val="24"/>
          <w:lang w:val="en-US" w:eastAsia="zh-CN" w:bidi="ar-SA"/>
        </w:rPr>
        <w:t>月</w:t>
      </w:r>
      <w:r>
        <w:rPr>
          <w:rFonts w:hint="eastAsia" w:asciiTheme="minorEastAsia" w:hAnsiTheme="minorEastAsia" w:cstheme="minorEastAsia"/>
          <w:color w:val="0000FF"/>
          <w:kern w:val="2"/>
          <w:sz w:val="24"/>
          <w:szCs w:val="24"/>
          <w:lang w:val="en-US" w:eastAsia="zh-CN" w:bidi="ar-SA"/>
        </w:rPr>
        <w:t>27</w:t>
      </w:r>
      <w:r>
        <w:rPr>
          <w:rFonts w:hint="eastAsia" w:asciiTheme="minorEastAsia" w:hAnsiTheme="minorEastAsia" w:eastAsiaTheme="minorEastAsia" w:cstheme="minorEastAsia"/>
          <w:color w:val="0000FF"/>
          <w:kern w:val="2"/>
          <w:sz w:val="24"/>
          <w:szCs w:val="24"/>
          <w:lang w:val="en-US" w:eastAsia="zh-CN" w:bidi="ar-SA"/>
        </w:rPr>
        <w:t>日</w:t>
      </w:r>
      <w:r>
        <w:rPr>
          <w:rFonts w:hint="eastAsia" w:asciiTheme="minorEastAsia" w:hAnsiTheme="minorEastAsia" w:cstheme="minorEastAsia"/>
          <w:color w:val="0000FF"/>
          <w:kern w:val="2"/>
          <w:sz w:val="24"/>
          <w:szCs w:val="24"/>
          <w:lang w:val="en-US" w:eastAsia="zh-CN" w:bidi="ar-SA"/>
        </w:rPr>
        <w:t>上</w:t>
      </w:r>
      <w:r>
        <w:rPr>
          <w:rFonts w:hint="eastAsia" w:asciiTheme="minorEastAsia" w:hAnsiTheme="minorEastAsia" w:eastAsiaTheme="minorEastAsia" w:cstheme="minorEastAsia"/>
          <w:color w:val="0000FF"/>
          <w:kern w:val="2"/>
          <w:sz w:val="24"/>
          <w:szCs w:val="24"/>
          <w:lang w:val="en-US" w:eastAsia="zh-CN" w:bidi="ar-SA"/>
        </w:rPr>
        <w:t>午</w:t>
      </w:r>
      <w:r>
        <w:rPr>
          <w:rFonts w:hint="eastAsia" w:asciiTheme="minorEastAsia" w:hAnsiTheme="minorEastAsia" w:cstheme="minorEastAsia"/>
          <w:color w:val="0000FF"/>
          <w:kern w:val="2"/>
          <w:sz w:val="24"/>
          <w:szCs w:val="24"/>
          <w:lang w:val="en-US" w:eastAsia="zh-CN" w:bidi="ar-SA"/>
        </w:rPr>
        <w:t>11</w:t>
      </w:r>
      <w:r>
        <w:rPr>
          <w:rFonts w:hint="eastAsia" w:asciiTheme="minorEastAsia" w:hAnsiTheme="minorEastAsia" w:eastAsiaTheme="minorEastAsia" w:cstheme="minorEastAsia"/>
          <w:color w:val="0000FF"/>
          <w:kern w:val="2"/>
          <w:sz w:val="24"/>
          <w:szCs w:val="24"/>
          <w:lang w:val="en-US" w:eastAsia="zh-CN" w:bidi="ar-SA"/>
        </w:rPr>
        <w:t>：00</w:t>
      </w:r>
      <w:r>
        <w:rPr>
          <w:rFonts w:hint="eastAsia" w:asciiTheme="minorEastAsia" w:hAnsiTheme="minorEastAsia" w:eastAsiaTheme="minorEastAsia" w:cstheme="minorEastAsia"/>
          <w:kern w:val="2"/>
          <w:sz w:val="24"/>
          <w:szCs w:val="24"/>
          <w:lang w:val="en-US" w:eastAsia="zh-CN" w:bidi="ar-SA"/>
        </w:rPr>
        <w:t>（北京时间）</w:t>
      </w:r>
      <w:r>
        <w:rPr>
          <w:rFonts w:hint="eastAsia" w:asciiTheme="minorEastAsia" w:hAnsiTheme="minorEastAsia" w:eastAsiaTheme="minorEastAsia" w:cstheme="minorEastAsia"/>
          <w:kern w:val="2"/>
          <w:sz w:val="24"/>
          <w:szCs w:val="24"/>
          <w:lang w:val="en-US" w:eastAsia="zh-CN" w:bidi="ar-SA"/>
        </w:rPr>
        <w:br w:type="textWrapping"/>
      </w:r>
      <w:r>
        <w:rPr>
          <w:rFonts w:hint="eastAsia" w:asciiTheme="minorEastAsia" w:hAnsiTheme="minorEastAsia" w:cstheme="minorEastAsia"/>
          <w:kern w:val="2"/>
          <w:sz w:val="24"/>
          <w:szCs w:val="24"/>
          <w:lang w:val="en-US" w:eastAsia="zh-CN" w:bidi="ar-SA"/>
        </w:rPr>
        <w:t>2、</w:t>
      </w:r>
      <w:r>
        <w:rPr>
          <w:rFonts w:hint="eastAsia" w:asciiTheme="minorEastAsia" w:hAnsiTheme="minorEastAsia" w:eastAsiaTheme="minorEastAsia" w:cstheme="minorEastAsia"/>
          <w:kern w:val="2"/>
          <w:sz w:val="24"/>
          <w:szCs w:val="24"/>
          <w:lang w:val="en-US" w:eastAsia="zh-CN" w:bidi="ar-SA"/>
        </w:rPr>
        <w:t>开标时间：202</w:t>
      </w:r>
      <w:r>
        <w:rPr>
          <w:rFonts w:hint="eastAsia" w:asciiTheme="minorEastAsia" w:hAnsiTheme="minorEastAsia" w:cstheme="minorEastAsia"/>
          <w:kern w:val="2"/>
          <w:sz w:val="24"/>
          <w:szCs w:val="24"/>
          <w:lang w:val="en-US" w:eastAsia="zh-CN" w:bidi="ar-SA"/>
        </w:rPr>
        <w:t>3</w:t>
      </w:r>
      <w:r>
        <w:rPr>
          <w:rFonts w:hint="eastAsia" w:asciiTheme="minorEastAsia" w:hAnsiTheme="minorEastAsia" w:eastAsiaTheme="minorEastAsia" w:cstheme="minorEastAsia"/>
          <w:kern w:val="2"/>
          <w:sz w:val="24"/>
          <w:szCs w:val="24"/>
          <w:lang w:val="en-US" w:eastAsia="zh-CN" w:bidi="ar-SA"/>
        </w:rPr>
        <w:t>年</w:t>
      </w:r>
      <w:r>
        <w:rPr>
          <w:rFonts w:hint="eastAsia" w:asciiTheme="minorEastAsia" w:hAnsiTheme="minorEastAsia" w:cstheme="minorEastAsia"/>
          <w:kern w:val="2"/>
          <w:sz w:val="24"/>
          <w:szCs w:val="24"/>
          <w:lang w:val="en-US" w:eastAsia="zh-CN" w:bidi="ar-SA"/>
        </w:rPr>
        <w:t>4</w:t>
      </w:r>
      <w:r>
        <w:rPr>
          <w:rFonts w:hint="eastAsia" w:asciiTheme="minorEastAsia" w:hAnsiTheme="minorEastAsia" w:eastAsiaTheme="minorEastAsia" w:cstheme="minorEastAsia"/>
          <w:color w:val="0000FF"/>
          <w:kern w:val="2"/>
          <w:sz w:val="24"/>
          <w:szCs w:val="24"/>
          <w:lang w:val="en-US" w:eastAsia="zh-CN" w:bidi="ar-SA"/>
        </w:rPr>
        <w:t>月</w:t>
      </w:r>
      <w:r>
        <w:rPr>
          <w:rFonts w:hint="eastAsia" w:asciiTheme="minorEastAsia" w:hAnsiTheme="minorEastAsia" w:cstheme="minorEastAsia"/>
          <w:color w:val="0000FF"/>
          <w:kern w:val="2"/>
          <w:sz w:val="24"/>
          <w:szCs w:val="24"/>
          <w:lang w:val="en-US" w:eastAsia="zh-CN" w:bidi="ar-SA"/>
        </w:rPr>
        <w:t>27</w:t>
      </w:r>
      <w:r>
        <w:rPr>
          <w:rFonts w:hint="eastAsia" w:asciiTheme="minorEastAsia" w:hAnsiTheme="minorEastAsia" w:eastAsiaTheme="minorEastAsia" w:cstheme="minorEastAsia"/>
          <w:color w:val="0000FF"/>
          <w:kern w:val="2"/>
          <w:sz w:val="24"/>
          <w:szCs w:val="24"/>
          <w:lang w:val="en-US" w:eastAsia="zh-CN" w:bidi="ar-SA"/>
        </w:rPr>
        <w:t>日下午14：10</w:t>
      </w:r>
      <w:r>
        <w:rPr>
          <w:rFonts w:hint="eastAsia" w:asciiTheme="minorEastAsia" w:hAnsiTheme="minorEastAsia" w:eastAsiaTheme="minorEastAsia" w:cstheme="minorEastAsia"/>
          <w:kern w:val="2"/>
          <w:sz w:val="24"/>
          <w:szCs w:val="24"/>
          <w:lang w:val="en-US" w:eastAsia="zh-CN" w:bidi="ar-SA"/>
        </w:rPr>
        <w:t>（北京时间）</w:t>
      </w:r>
    </w:p>
    <w:p>
      <w:pP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3、</w:t>
      </w:r>
      <w:r>
        <w:rPr>
          <w:rFonts w:hint="eastAsia" w:asciiTheme="minorEastAsia" w:hAnsiTheme="minorEastAsia" w:eastAsiaTheme="minorEastAsia" w:cstheme="minorEastAsia"/>
          <w:kern w:val="2"/>
          <w:sz w:val="24"/>
          <w:szCs w:val="24"/>
          <w:lang w:val="en-US" w:eastAsia="zh-CN" w:bidi="ar-SA"/>
        </w:rPr>
        <w:t xml:space="preserve">开标地点：温州市中医院行政楼3楼309会议室 </w:t>
      </w:r>
    </w:p>
    <w:p>
      <w:pP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4、</w:t>
      </w:r>
      <w:r>
        <w:rPr>
          <w:rFonts w:hint="eastAsia" w:asciiTheme="minorEastAsia" w:hAnsiTheme="minorEastAsia" w:eastAsiaTheme="minorEastAsia" w:cstheme="minorEastAsia"/>
          <w:kern w:val="2"/>
          <w:sz w:val="24"/>
          <w:szCs w:val="24"/>
          <w:lang w:val="en-US" w:eastAsia="zh-CN" w:bidi="ar-SA"/>
        </w:rPr>
        <w:t>包装要求:投标文件的技术资信标、商务（报价）标分别密封于包封袋中，并在封套的封口处加盖投标人单位章，并由法定代表人或其授权代表签字。</w:t>
      </w:r>
    </w:p>
    <w:p>
      <w:pPr>
        <w:rPr>
          <w:rFonts w:hint="eastAsia" w:asciiTheme="minorEastAsia" w:hAnsi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5、</w:t>
      </w:r>
      <w:r>
        <w:rPr>
          <w:rFonts w:hint="eastAsia" w:asciiTheme="minorEastAsia" w:hAnsiTheme="minorEastAsia" w:eastAsiaTheme="minorEastAsia" w:cstheme="minorEastAsia"/>
          <w:kern w:val="2"/>
          <w:sz w:val="24"/>
          <w:szCs w:val="24"/>
          <w:lang w:val="en-US" w:eastAsia="zh-CN" w:bidi="ar-SA"/>
        </w:rPr>
        <w:t>投标方式：接受邮寄和现场投递的纸质投标文件</w:t>
      </w:r>
      <w:r>
        <w:rPr>
          <w:rFonts w:hint="eastAsia" w:asciiTheme="minorEastAsia" w:hAnsiTheme="minorEastAsia" w:cstheme="minorEastAsia"/>
          <w:kern w:val="2"/>
          <w:sz w:val="24"/>
          <w:szCs w:val="24"/>
          <w:lang w:val="en-US" w:eastAsia="zh-CN" w:bidi="ar-SA"/>
        </w:rPr>
        <w:t>/</w:t>
      </w:r>
    </w:p>
    <w:p>
      <w:pP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6、</w:t>
      </w:r>
      <w:r>
        <w:rPr>
          <w:rFonts w:hint="eastAsia" w:asciiTheme="minorEastAsia" w:hAnsiTheme="minorEastAsia" w:eastAsiaTheme="minorEastAsia" w:cstheme="minorEastAsia"/>
          <w:kern w:val="2"/>
          <w:sz w:val="24"/>
          <w:szCs w:val="24"/>
          <w:lang w:val="en-US" w:eastAsia="zh-CN" w:bidi="ar-SA"/>
        </w:rPr>
        <w:t>其他:招标文件一式三份，一正两副加盖公章</w:t>
      </w:r>
    </w:p>
    <w:p>
      <w:pPr>
        <w:pStyle w:val="7"/>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3"/>
          <w:rFonts w:hint="eastAsia" w:asciiTheme="minorEastAsia" w:hAnsiTheme="minorEastAsia" w:eastAsiaTheme="minorEastAsia" w:cstheme="minorEastAsia"/>
          <w:b/>
          <w:bCs/>
          <w:kern w:val="2"/>
          <w:sz w:val="32"/>
          <w:szCs w:val="32"/>
          <w:lang w:val="en-US" w:eastAsia="zh-CN" w:bidi="ar-SA"/>
        </w:rPr>
      </w:pPr>
      <w:r>
        <w:rPr>
          <w:rStyle w:val="13"/>
          <w:rFonts w:hint="eastAsia" w:asciiTheme="minorEastAsia" w:hAnsiTheme="minorEastAsia" w:eastAsiaTheme="minorEastAsia" w:cstheme="minorEastAsia"/>
          <w:b/>
          <w:bCs/>
          <w:kern w:val="2"/>
          <w:sz w:val="32"/>
          <w:szCs w:val="32"/>
          <w:lang w:val="en-US" w:eastAsia="zh-CN" w:bidi="ar-SA"/>
        </w:rPr>
        <w:t>公告期限 </w:t>
      </w:r>
    </w:p>
    <w:p>
      <w:pPr>
        <w:pStyle w:val="7"/>
        <w:keepNext w:val="0"/>
        <w:keepLines w:val="0"/>
        <w:widowControl/>
        <w:suppressLineNumbers w:val="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自本公告发布之日起5个工作日。</w:t>
      </w:r>
    </w:p>
    <w:p>
      <w:pPr>
        <w:numPr>
          <w:ilvl w:val="0"/>
          <w:numId w:val="1"/>
        </w:numPr>
        <w:ind w:left="0" w:leftChars="0" w:firstLine="0" w:firstLineChars="0"/>
        <w:jc w:val="both"/>
        <w:rPr>
          <w:rFonts w:hint="eastAsia" w:asciiTheme="minorEastAsia" w:hAnsiTheme="minorEastAsia" w:eastAsiaTheme="minorEastAsia" w:cstheme="minorEastAsia"/>
          <w:b/>
          <w:bCs/>
          <w:sz w:val="28"/>
          <w:szCs w:val="28"/>
        </w:rPr>
      </w:pPr>
      <w:r>
        <w:rPr>
          <w:rStyle w:val="13"/>
          <w:rFonts w:hint="eastAsia" w:asciiTheme="minorEastAsia" w:hAnsiTheme="minorEastAsia" w:eastAsiaTheme="minorEastAsia" w:cstheme="minorEastAsia"/>
          <w:b/>
          <w:bCs/>
          <w:kern w:val="2"/>
          <w:sz w:val="32"/>
          <w:szCs w:val="32"/>
          <w:lang w:val="en-US" w:eastAsia="zh-CN" w:bidi="ar-SA"/>
        </w:rPr>
        <w:t>投标文件编制要求</w:t>
      </w:r>
    </w:p>
    <w:p>
      <w:pPr>
        <w:snapToGrid w:val="0"/>
        <w:spacing w:line="360" w:lineRule="auto"/>
        <w:ind w:firstLine="417" w:firstLineChars="174"/>
        <w:jc w:val="left"/>
        <w:outlineLvl w:val="2"/>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（一）投标文件的组成</w:t>
      </w:r>
    </w:p>
    <w:p>
      <w:pPr>
        <w:snapToGrid w:val="0"/>
        <w:spacing w:line="360" w:lineRule="auto"/>
        <w:ind w:firstLine="480" w:firstLineChars="200"/>
        <w:jc w:val="lef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投标文件由资格证明文件、商务技术文件和报价文件三部份组成</w:t>
      </w:r>
      <w:r>
        <w:rPr>
          <w:rFonts w:hint="eastAsia" w:asciiTheme="minorEastAsia" w:hAnsiTheme="minorEastAsia" w:eastAsiaTheme="minorEastAsia" w:cstheme="minorEastAsia"/>
          <w:b w:val="0"/>
          <w:bCs/>
          <w:sz w:val="24"/>
          <w:szCs w:val="24"/>
          <w:lang w:eastAsia="zh-CN"/>
        </w:rPr>
        <w:t>。</w:t>
      </w:r>
    </w:p>
    <w:p>
      <w:pPr>
        <w:snapToGrid w:val="0"/>
        <w:spacing w:before="120" w:beforeLines="50" w:line="360" w:lineRule="auto"/>
        <w:ind w:firstLine="470" w:firstLineChars="196"/>
        <w:jc w:val="lef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1.资格证明文件：</w:t>
      </w:r>
    </w:p>
    <w:p>
      <w:pPr>
        <w:snapToGrid w:val="0"/>
        <w:spacing w:line="360" w:lineRule="auto"/>
        <w:ind w:firstLine="470" w:firstLineChars="1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（1）投标人资格承诺函；</w:t>
      </w:r>
    </w:p>
    <w:p>
      <w:pPr>
        <w:snapToGrid w:val="0"/>
        <w:spacing w:line="360" w:lineRule="auto"/>
        <w:ind w:firstLine="470" w:firstLineChars="1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（2）法人或者其他组织投标的提供营业执照等证明文件，自然人投标的提供身份证明；</w:t>
      </w:r>
    </w:p>
    <w:p>
      <w:pPr>
        <w:snapToGrid w:val="0"/>
        <w:spacing w:before="120" w:beforeLines="50" w:line="360" w:lineRule="auto"/>
        <w:ind w:firstLine="470" w:firstLineChars="196"/>
        <w:jc w:val="lef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 商务技术文件：</w:t>
      </w:r>
    </w:p>
    <w:p>
      <w:pPr>
        <w:snapToGrid w:val="0"/>
        <w:spacing w:line="360" w:lineRule="auto"/>
        <w:ind w:firstLine="470" w:firstLineChars="1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（1）投标人营业执照；</w:t>
      </w:r>
    </w:p>
    <w:p>
      <w:pPr>
        <w:snapToGrid w:val="0"/>
        <w:spacing w:line="360" w:lineRule="auto"/>
        <w:ind w:firstLine="470" w:firstLineChars="1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（2）投标人为医疗器械生产企业的：第二类、第三类医疗器械生产企业提供《医疗器械生产许可证》、第一类医疗器械生产企业提供第一类医疗器械生产备案凭证；</w:t>
      </w:r>
    </w:p>
    <w:p>
      <w:pPr>
        <w:snapToGrid w:val="0"/>
        <w:spacing w:line="360" w:lineRule="auto"/>
        <w:ind w:firstLine="470" w:firstLineChars="1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投标人为医疗器械经营企业的：第三类医疗器械经营企业提供《医疗器械经营许可证》、第二类医疗器械经营企业提供第二类医疗器械经营备案凭证；</w:t>
      </w:r>
    </w:p>
    <w:p>
      <w:pPr>
        <w:snapToGrid w:val="0"/>
        <w:spacing w:line="360" w:lineRule="auto"/>
        <w:ind w:firstLine="470" w:firstLineChars="1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且投标人经备案或许可的经营范围必须包含本次投标的所有医疗器械；</w:t>
      </w:r>
    </w:p>
    <w:p>
      <w:pPr>
        <w:snapToGrid w:val="0"/>
        <w:spacing w:line="360" w:lineRule="auto"/>
        <w:ind w:firstLine="470" w:firstLineChars="1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（3）提供食品药品监督管理部门核发的完整有效的医疗器械注册或备案证明；</w:t>
      </w:r>
    </w:p>
    <w:p>
      <w:pPr>
        <w:snapToGrid w:val="0"/>
        <w:spacing w:line="360" w:lineRule="auto"/>
        <w:ind w:firstLine="470" w:firstLineChars="196"/>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▲（4）货物制造商或其它有销售资格（提供证明材料）的供应商出具的授权书（适用于投标人是进口货物代理商的情形）；</w:t>
      </w:r>
    </w:p>
    <w:p>
      <w:pPr>
        <w:snapToGrid w:val="0"/>
        <w:spacing w:line="360" w:lineRule="auto"/>
        <w:ind w:firstLine="470" w:firstLineChars="196"/>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kern w:val="0"/>
          <w:sz w:val="24"/>
          <w:szCs w:val="24"/>
        </w:rPr>
        <w:t>（5）投标声明函</w:t>
      </w:r>
      <w:r>
        <w:rPr>
          <w:rFonts w:hint="eastAsia" w:asciiTheme="minorEastAsia" w:hAnsiTheme="minorEastAsia" w:eastAsiaTheme="minorEastAsia" w:cstheme="minorEastAsia"/>
          <w:sz w:val="24"/>
          <w:szCs w:val="24"/>
        </w:rPr>
        <w:t>；</w:t>
      </w:r>
    </w:p>
    <w:p>
      <w:pPr>
        <w:snapToGrid w:val="0"/>
        <w:spacing w:line="360" w:lineRule="auto"/>
        <w:ind w:firstLine="470" w:firstLineChars="1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（6）投标产品一览表</w:t>
      </w:r>
    </w:p>
    <w:p>
      <w:pPr>
        <w:snapToGrid w:val="0"/>
        <w:spacing w:line="360" w:lineRule="auto"/>
        <w:ind w:firstLine="470" w:firstLineChars="1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（7）技术响应表；</w:t>
      </w:r>
    </w:p>
    <w:p>
      <w:pPr>
        <w:snapToGrid w:val="0"/>
        <w:spacing w:line="360" w:lineRule="auto"/>
        <w:ind w:firstLine="470" w:firstLineChars="1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（8）合同条款响应承诺</w:t>
      </w:r>
    </w:p>
    <w:p>
      <w:pPr>
        <w:snapToGrid w:val="0"/>
        <w:spacing w:line="360" w:lineRule="auto"/>
        <w:ind w:firstLine="470" w:firstLineChars="1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（9）设备配置清单；</w:t>
      </w:r>
    </w:p>
    <w:p>
      <w:pPr>
        <w:snapToGrid w:val="0"/>
        <w:spacing w:line="360" w:lineRule="auto"/>
        <w:ind w:firstLine="470" w:firstLineChars="1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（10）消耗品或易耗品价格； </w:t>
      </w:r>
    </w:p>
    <w:p>
      <w:pPr>
        <w:snapToGrid w:val="0"/>
        <w:spacing w:line="360" w:lineRule="auto"/>
        <w:ind w:firstLine="470" w:firstLineChars="1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（11）售后服务承诺书</w:t>
      </w:r>
    </w:p>
    <w:p>
      <w:pPr>
        <w:snapToGrid w:val="0"/>
        <w:spacing w:line="360" w:lineRule="auto"/>
        <w:ind w:firstLine="470" w:firstLineChars="1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（12）业绩证明</w:t>
      </w:r>
    </w:p>
    <w:p>
      <w:pPr>
        <w:snapToGrid w:val="0"/>
        <w:spacing w:line="360" w:lineRule="auto"/>
        <w:ind w:firstLine="470" w:firstLineChars="1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（13）投标人建议的安装、调试、验收方法或方案；</w:t>
      </w:r>
    </w:p>
    <w:p>
      <w:pPr>
        <w:snapToGrid w:val="0"/>
        <w:spacing w:line="360" w:lineRule="auto"/>
        <w:ind w:firstLine="470" w:firstLineChars="1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（14）技术服务、技术培训的内容和措施；</w:t>
      </w:r>
    </w:p>
    <w:p>
      <w:pPr>
        <w:snapToGrid w:val="0"/>
        <w:spacing w:line="360" w:lineRule="auto"/>
        <w:ind w:firstLine="470" w:firstLineChars="1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（15）项目实施人员一览表</w:t>
      </w:r>
    </w:p>
    <w:p>
      <w:pPr>
        <w:snapToGrid w:val="0"/>
        <w:spacing w:line="360" w:lineRule="auto"/>
        <w:ind w:firstLine="470" w:firstLineChars="1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（16）维修能力（详见评分标准要求）；</w:t>
      </w:r>
    </w:p>
    <w:p>
      <w:pPr>
        <w:snapToGrid w:val="0"/>
        <w:spacing w:line="360" w:lineRule="auto"/>
        <w:ind w:firstLine="470" w:firstLineChars="1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（17）投标机型的彩页和原厂技术参数；</w:t>
      </w:r>
    </w:p>
    <w:p>
      <w:pPr>
        <w:snapToGrid w:val="0"/>
        <w:spacing w:line="360" w:lineRule="auto"/>
        <w:ind w:firstLine="470" w:firstLineChars="1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节能产品的相关证明材料：投标产品列入财政部、发展改革委发布的节能产品品目清单的，提供国家市场监督管理总局公布的《参与实施政府采购节能产品认证机构名录》内的认证机构出具的、处于有效期之内的节能标志产品认证证书；</w:t>
      </w:r>
    </w:p>
    <w:p>
      <w:pPr>
        <w:snapToGrid w:val="0"/>
        <w:spacing w:line="360" w:lineRule="auto"/>
        <w:ind w:firstLine="470" w:firstLineChars="1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环境标志产品的相关证明材料：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pPr>
        <w:snapToGrid w:val="0"/>
        <w:spacing w:line="360" w:lineRule="auto"/>
        <w:ind w:firstLine="470" w:firstLineChars="1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）评分方法中的评审证明文件等；</w:t>
      </w:r>
    </w:p>
    <w:p>
      <w:pPr>
        <w:snapToGrid w:val="0"/>
        <w:spacing w:line="360" w:lineRule="auto"/>
        <w:ind w:firstLine="470" w:firstLineChars="1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）投标人认为需要提供的其他文件。</w:t>
      </w:r>
    </w:p>
    <w:p>
      <w:pPr>
        <w:snapToGrid w:val="0"/>
        <w:spacing w:line="360" w:lineRule="auto"/>
        <w:ind w:firstLine="472" w:firstLineChars="196"/>
        <w:jc w:val="left"/>
        <w:rPr>
          <w:rFonts w:hint="eastAsia" w:asciiTheme="minorEastAsia" w:hAnsiTheme="minorEastAsia" w:eastAsiaTheme="minorEastAsia" w:cstheme="minorEastAsia"/>
          <w:b/>
          <w:sz w:val="24"/>
          <w:szCs w:val="24"/>
        </w:rPr>
      </w:pPr>
    </w:p>
    <w:p>
      <w:pPr>
        <w:snapToGrid w:val="0"/>
        <w:spacing w:line="360" w:lineRule="auto"/>
        <w:ind w:firstLine="470" w:firstLineChars="196"/>
        <w:jc w:val="lef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3.报价文件：</w:t>
      </w:r>
    </w:p>
    <w:p>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（1）开标一览表；</w:t>
      </w:r>
    </w:p>
    <w:p>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（2）投标报价明细表；</w:t>
      </w:r>
    </w:p>
    <w:p>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（3）投标人针对报价需要说明的其他文件和说明（如有）；</w:t>
      </w:r>
    </w:p>
    <w:p>
      <w:pPr>
        <w:snapToGrid w:val="0"/>
        <w:spacing w:line="360" w:lineRule="auto"/>
        <w:ind w:firstLine="470" w:firstLineChars="1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（4）中小企业的相关证明材料（如有</w:t>
      </w:r>
      <w:r>
        <w:rPr>
          <w:rFonts w:hint="eastAsia" w:asciiTheme="minorEastAsia" w:hAnsiTheme="minorEastAsia" w:eastAsiaTheme="minorEastAsia" w:cstheme="minorEastAsia"/>
          <w:kern w:val="0"/>
          <w:sz w:val="24"/>
          <w:szCs w:val="24"/>
        </w:rPr>
        <w:t>）；</w:t>
      </w:r>
    </w:p>
    <w:p>
      <w:pPr>
        <w:snapToGrid w:val="0"/>
        <w:spacing w:line="360" w:lineRule="auto"/>
        <w:ind w:firstLine="470" w:firstLineChars="1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（5）残疾人福利性单位声明函(如有）；</w:t>
      </w:r>
    </w:p>
    <w:p>
      <w:pPr>
        <w:snapToGrid w:val="0"/>
        <w:spacing w:line="360" w:lineRule="auto"/>
        <w:ind w:firstLine="470" w:firstLineChars="1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（6）由省级以上监狱管理局、戒毒管理局（含新疆生产建设兵团）出具的属于监狱企业的证明文件（如有）。</w:t>
      </w:r>
    </w:p>
    <w:p>
      <w:pPr>
        <w:pStyle w:val="7"/>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3"/>
          <w:rFonts w:hint="eastAsia" w:asciiTheme="minorEastAsia" w:hAnsiTheme="minorEastAsia" w:eastAsiaTheme="minorEastAsia" w:cstheme="minorEastAsia"/>
          <w:b/>
          <w:bCs/>
          <w:kern w:val="2"/>
          <w:sz w:val="32"/>
          <w:szCs w:val="32"/>
          <w:lang w:val="en-US" w:eastAsia="zh-CN" w:bidi="ar-SA"/>
        </w:rPr>
      </w:pPr>
      <w:r>
        <w:rPr>
          <w:rStyle w:val="13"/>
          <w:rFonts w:hint="eastAsia" w:asciiTheme="minorEastAsia" w:hAnsiTheme="minorEastAsia" w:eastAsiaTheme="minorEastAsia" w:cstheme="minorEastAsia"/>
          <w:b/>
          <w:bCs/>
          <w:kern w:val="2"/>
          <w:sz w:val="32"/>
          <w:szCs w:val="32"/>
          <w:lang w:val="en-US" w:eastAsia="zh-CN" w:bidi="ar-SA"/>
        </w:rPr>
        <w:t>商务、技术参数偏离表</w:t>
      </w:r>
    </w:p>
    <w:tbl>
      <w:tblPr>
        <w:tblStyle w:val="10"/>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6348"/>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1190" w:type="dxa"/>
            <w:tcBorders>
              <w:top w:val="single" w:color="auto" w:sz="12" w:space="0"/>
              <w:left w:val="single" w:color="auto" w:sz="12" w:space="0"/>
              <w:bottom w:val="single" w:color="auto" w:sz="12" w:space="0"/>
            </w:tcBorders>
            <w:noWrap w:val="0"/>
            <w:vAlign w:val="center"/>
          </w:tcPr>
          <w:p>
            <w:pPr>
              <w:widowControl/>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6348" w:type="dxa"/>
            <w:tcBorders>
              <w:top w:val="single" w:color="auto" w:sz="12" w:space="0"/>
              <w:bottom w:val="single" w:color="auto" w:sz="12" w:space="0"/>
            </w:tcBorders>
            <w:noWrap w:val="0"/>
            <w:vAlign w:val="center"/>
          </w:tcPr>
          <w:p>
            <w:pPr>
              <w:widowControl/>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技术要求</w:t>
            </w:r>
          </w:p>
        </w:tc>
        <w:tc>
          <w:tcPr>
            <w:tcW w:w="1492" w:type="dxa"/>
            <w:tcBorders>
              <w:top w:val="single" w:color="auto" w:sz="12" w:space="0"/>
              <w:bottom w:val="single" w:color="auto" w:sz="12" w:space="0"/>
              <w:right w:val="single" w:color="auto" w:sz="12" w:space="0"/>
            </w:tcBorders>
            <w:noWrap w:val="0"/>
            <w:vAlign w:val="center"/>
          </w:tcPr>
          <w:p>
            <w:pPr>
              <w:widowControl/>
              <w:ind w:left="964" w:hanging="843" w:hangingChars="40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投标</w:t>
            </w:r>
            <w:r>
              <w:rPr>
                <w:rFonts w:hint="eastAsia" w:ascii="宋体" w:hAnsi="宋体" w:eastAsia="宋体" w:cs="宋体"/>
                <w:b/>
                <w:bCs/>
                <w:color w:val="auto"/>
                <w:sz w:val="21"/>
                <w:szCs w:val="21"/>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top w:val="single" w:color="auto" w:sz="12" w:space="0"/>
              <w:left w:val="single" w:color="auto" w:sz="12" w:space="0"/>
            </w:tcBorders>
            <w:noWrap w:val="0"/>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一</w:t>
            </w:r>
          </w:p>
        </w:tc>
        <w:tc>
          <w:tcPr>
            <w:tcW w:w="6348" w:type="dxa"/>
            <w:tcBorders>
              <w:top w:val="single" w:color="auto" w:sz="12" w:space="0"/>
            </w:tcBorders>
            <w:noWrap w:val="0"/>
            <w:vAlign w:val="center"/>
          </w:tcPr>
          <w:p>
            <w:pPr>
              <w:rPr>
                <w:rFonts w:hint="eastAsia" w:ascii="宋体" w:hAnsi="宋体" w:eastAsia="宋体" w:cs="宋体"/>
                <w:b/>
                <w:color w:val="auto"/>
                <w:sz w:val="21"/>
                <w:szCs w:val="21"/>
              </w:rPr>
            </w:pPr>
            <w:r>
              <w:rPr>
                <w:rFonts w:hint="eastAsia" w:ascii="宋体" w:hAnsi="宋体" w:eastAsia="宋体" w:cs="宋体"/>
                <w:b/>
                <w:color w:val="auto"/>
                <w:sz w:val="21"/>
                <w:szCs w:val="21"/>
              </w:rPr>
              <w:t>总体要求：</w:t>
            </w:r>
          </w:p>
        </w:tc>
        <w:tc>
          <w:tcPr>
            <w:tcW w:w="1492" w:type="dxa"/>
            <w:tcBorders>
              <w:top w:val="single" w:color="auto" w:sz="12" w:space="0"/>
              <w:right w:val="single" w:color="auto" w:sz="12" w:space="0"/>
            </w:tcBorders>
            <w:noWrap w:val="0"/>
            <w:vAlign w:val="center"/>
          </w:tcPr>
          <w:p>
            <w:pPr>
              <w:widowControl/>
              <w:spacing w:line="360" w:lineRule="exact"/>
              <w:ind w:left="840" w:hanging="840" w:hangingChars="40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6348" w:type="dxa"/>
            <w:noWrap w:val="0"/>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适用范围：内痔、外痔、混合痔、肛门水肿、肛门瘙痒、直肠炎、肛窦炎、术后促进伤口愈合、软化疤痕、肛门瘙痒等肛门疾病等；阴道炎、盆腔炎、阴部湿疹、阴痒等妇科疾病；前列腺炎等泌尿科疾病；康复保健等。</w:t>
            </w:r>
          </w:p>
        </w:tc>
        <w:tc>
          <w:tcPr>
            <w:tcW w:w="1492" w:type="dxa"/>
            <w:tcBorders>
              <w:right w:val="single" w:color="auto" w:sz="12" w:space="0"/>
            </w:tcBorders>
            <w:noWrap w:val="0"/>
            <w:vAlign w:val="center"/>
          </w:tcPr>
          <w:p>
            <w:pPr>
              <w:widowControl/>
              <w:spacing w:line="360" w:lineRule="exact"/>
              <w:ind w:left="843" w:hanging="843" w:hangingChars="400"/>
              <w:jc w:val="center"/>
              <w:rPr>
                <w:rFonts w:hint="eastAsia"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tcBorders>
              <w:left w:val="single" w:color="auto" w:sz="12"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6348" w:type="dxa"/>
            <w:noWrap w:val="0"/>
            <w:vAlign w:val="center"/>
          </w:tcPr>
          <w:p>
            <w:pPr>
              <w:rPr>
                <w:rFonts w:hint="eastAsia" w:ascii="宋体" w:hAnsi="宋体" w:eastAsia="宋体" w:cs="宋体"/>
                <w:color w:val="auto"/>
                <w:sz w:val="21"/>
                <w:szCs w:val="21"/>
              </w:rPr>
            </w:pPr>
          </w:p>
        </w:tc>
        <w:tc>
          <w:tcPr>
            <w:tcW w:w="1492" w:type="dxa"/>
            <w:tcBorders>
              <w:right w:val="single" w:color="auto" w:sz="12" w:space="0"/>
            </w:tcBorders>
            <w:noWrap w:val="0"/>
            <w:vAlign w:val="center"/>
          </w:tcPr>
          <w:p>
            <w:pPr>
              <w:widowControl/>
              <w:spacing w:line="360" w:lineRule="exact"/>
              <w:ind w:left="840" w:hanging="840" w:hangingChars="40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二</w:t>
            </w:r>
          </w:p>
        </w:tc>
        <w:tc>
          <w:tcPr>
            <w:tcW w:w="6348" w:type="dxa"/>
            <w:noWrap w:val="0"/>
            <w:vAlign w:val="center"/>
          </w:tcPr>
          <w:p>
            <w:pPr>
              <w:rPr>
                <w:rFonts w:hint="eastAsia" w:ascii="宋体" w:hAnsi="宋体" w:eastAsia="宋体" w:cs="宋体"/>
                <w:color w:val="auto"/>
                <w:sz w:val="21"/>
                <w:szCs w:val="21"/>
              </w:rPr>
            </w:pPr>
            <w:r>
              <w:rPr>
                <w:rFonts w:hint="eastAsia" w:ascii="宋体" w:hAnsi="宋体" w:eastAsia="宋体" w:cs="宋体"/>
                <w:b/>
                <w:color w:val="auto"/>
                <w:sz w:val="21"/>
                <w:szCs w:val="21"/>
              </w:rPr>
              <w:t>功能要求及技术参数：</w:t>
            </w:r>
          </w:p>
        </w:tc>
        <w:tc>
          <w:tcPr>
            <w:tcW w:w="1492" w:type="dxa"/>
            <w:tcBorders>
              <w:right w:val="single" w:color="auto" w:sz="12" w:space="0"/>
            </w:tcBorders>
            <w:noWrap w:val="0"/>
            <w:vAlign w:val="center"/>
          </w:tcPr>
          <w:p>
            <w:pPr>
              <w:widowControl/>
              <w:spacing w:line="360" w:lineRule="exact"/>
              <w:ind w:left="840" w:hanging="840" w:hangingChars="40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widowControl/>
              <w:jc w:val="center"/>
              <w:rPr>
                <w:rFonts w:hint="eastAsia" w:ascii="宋体" w:hAnsi="宋体" w:eastAsia="宋体" w:cs="宋体"/>
                <w:b/>
                <w:color w:val="auto"/>
                <w:sz w:val="21"/>
                <w:szCs w:val="21"/>
              </w:rPr>
            </w:pPr>
            <w:r>
              <w:rPr>
                <w:rFonts w:hint="eastAsia" w:ascii="宋体" w:hAnsi="宋体" w:eastAsia="宋体" w:cs="宋体"/>
                <w:color w:val="auto"/>
                <w:sz w:val="21"/>
                <w:szCs w:val="21"/>
              </w:rPr>
              <w:t>2.1.</w:t>
            </w:r>
          </w:p>
        </w:tc>
        <w:tc>
          <w:tcPr>
            <w:tcW w:w="6348" w:type="dxa"/>
            <w:noWrap w:val="0"/>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交流220V±10V，50Hz   额定功率600 W </w:t>
            </w:r>
          </w:p>
        </w:tc>
        <w:tc>
          <w:tcPr>
            <w:tcW w:w="1492" w:type="dxa"/>
            <w:tcBorders>
              <w:right w:val="single" w:color="auto" w:sz="12" w:space="0"/>
            </w:tcBorders>
            <w:noWrap w:val="0"/>
            <w:vAlign w:val="center"/>
          </w:tcPr>
          <w:p>
            <w:pPr>
              <w:widowControl/>
              <w:spacing w:line="360" w:lineRule="exact"/>
              <w:ind w:left="840" w:hanging="840" w:hangingChars="40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6348" w:type="dxa"/>
            <w:noWrap w:val="0"/>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治疗时间0-30分钟（可设定） </w:t>
            </w:r>
          </w:p>
        </w:tc>
        <w:tc>
          <w:tcPr>
            <w:tcW w:w="1492" w:type="dxa"/>
            <w:tcBorders>
              <w:right w:val="single" w:color="auto" w:sz="12" w:space="0"/>
            </w:tcBorders>
            <w:noWrap w:val="0"/>
            <w:vAlign w:val="center"/>
          </w:tcPr>
          <w:p>
            <w:pPr>
              <w:widowControl/>
              <w:spacing w:line="360" w:lineRule="exact"/>
              <w:ind w:left="840" w:hanging="840" w:hangingChars="40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2.3.</w:t>
            </w:r>
          </w:p>
        </w:tc>
        <w:tc>
          <w:tcPr>
            <w:tcW w:w="6348" w:type="dxa"/>
            <w:noWrap w:val="0"/>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熏蒸温度：35℃-42℃</w:t>
            </w:r>
          </w:p>
        </w:tc>
        <w:tc>
          <w:tcPr>
            <w:tcW w:w="1492" w:type="dxa"/>
            <w:tcBorders>
              <w:right w:val="single" w:color="auto" w:sz="12" w:space="0"/>
            </w:tcBorders>
            <w:noWrap w:val="0"/>
            <w:vAlign w:val="center"/>
          </w:tcPr>
          <w:p>
            <w:pPr>
              <w:widowControl/>
              <w:spacing w:line="360" w:lineRule="exact"/>
              <w:ind w:left="840" w:hanging="840" w:hangingChars="40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2.4.</w:t>
            </w:r>
          </w:p>
        </w:tc>
        <w:tc>
          <w:tcPr>
            <w:tcW w:w="6348" w:type="dxa"/>
            <w:noWrap w:val="0"/>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坐浴温度：35℃-42℃</w:t>
            </w:r>
          </w:p>
        </w:tc>
        <w:tc>
          <w:tcPr>
            <w:tcW w:w="1492" w:type="dxa"/>
            <w:tcBorders>
              <w:right w:val="single" w:color="auto" w:sz="12" w:space="0"/>
            </w:tcBorders>
            <w:noWrap w:val="0"/>
            <w:vAlign w:val="center"/>
          </w:tcPr>
          <w:p>
            <w:pPr>
              <w:widowControl/>
              <w:spacing w:line="360" w:lineRule="exact"/>
              <w:ind w:left="840" w:hanging="840" w:hangingChars="40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tcBorders>
              <w:left w:val="single" w:color="auto" w:sz="12"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rPr>
              <w:t>2.5.</w:t>
            </w:r>
          </w:p>
        </w:tc>
        <w:tc>
          <w:tcPr>
            <w:tcW w:w="6348" w:type="dxa"/>
            <w:noWrap w:val="0"/>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熏蒸量最大550ml/h  </w:t>
            </w:r>
          </w:p>
        </w:tc>
        <w:tc>
          <w:tcPr>
            <w:tcW w:w="1492" w:type="dxa"/>
            <w:tcBorders>
              <w:right w:val="single" w:color="auto" w:sz="12" w:space="0"/>
            </w:tcBorders>
            <w:noWrap w:val="0"/>
            <w:vAlign w:val="center"/>
          </w:tcPr>
          <w:p>
            <w:pPr>
              <w:widowControl/>
              <w:spacing w:line="360" w:lineRule="exact"/>
              <w:ind w:firstLine="843" w:firstLineChars="400"/>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2.6.</w:t>
            </w:r>
          </w:p>
        </w:tc>
        <w:tc>
          <w:tcPr>
            <w:tcW w:w="6348" w:type="dxa"/>
            <w:noWrap w:val="0"/>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超声震荡频率：1.6MHz</w:t>
            </w:r>
          </w:p>
        </w:tc>
        <w:tc>
          <w:tcPr>
            <w:tcW w:w="1492" w:type="dxa"/>
            <w:tcBorders>
              <w:right w:val="single" w:color="auto" w:sz="12" w:space="0"/>
            </w:tcBorders>
            <w:noWrap w:val="0"/>
            <w:vAlign w:val="center"/>
          </w:tcPr>
          <w:p>
            <w:pPr>
              <w:widowControl/>
              <w:spacing w:line="360" w:lineRule="exact"/>
              <w:ind w:left="840" w:hanging="840" w:hangingChars="40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2.7.</w:t>
            </w:r>
          </w:p>
        </w:tc>
        <w:tc>
          <w:tcPr>
            <w:tcW w:w="6348" w:type="dxa"/>
            <w:noWrap w:val="0"/>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雾化颗粒直径：1-10</w:t>
            </w:r>
            <w:r>
              <w:rPr>
                <w:rFonts w:hint="eastAsia" w:ascii="宋体" w:hAnsi="宋体" w:eastAsia="宋体" w:cs="宋体"/>
                <w:color w:val="auto"/>
                <w:sz w:val="21"/>
                <w:szCs w:val="21"/>
                <w:lang w:eastAsia="zh-CN"/>
              </w:rPr>
              <w:fldChar w:fldCharType="begin"/>
            </w:r>
            <w:r>
              <w:rPr>
                <w:rFonts w:hint="eastAsia" w:ascii="宋体" w:hAnsi="宋体" w:eastAsia="宋体" w:cs="宋体"/>
                <w:color w:val="auto"/>
                <w:sz w:val="21"/>
                <w:szCs w:val="21"/>
                <w:lang w:eastAsia="zh-CN"/>
              </w:rPr>
              <w:instrText xml:space="preserve"> HYPERLINK "http://www.baidu.com/link?url=kkz5oUOmIg4ZcIBKETKEe4vT7PaHsuI39gKtt1fAGVEPjwAUMahkPz2bPWljWUYWe2fX6xhVPdpDY7T687PikhJxeE9BM4HoJpCeCrlOjZ7" \o "微米" </w:instrText>
            </w:r>
            <w:r>
              <w:rPr>
                <w:rFonts w:hint="eastAsia" w:ascii="宋体" w:hAnsi="宋体" w:eastAsia="宋体" w:cs="宋体"/>
                <w:color w:val="auto"/>
                <w:sz w:val="21"/>
                <w:szCs w:val="21"/>
                <w:lang w:eastAsia="zh-CN"/>
              </w:rPr>
              <w:fldChar w:fldCharType="separate"/>
            </w:r>
            <w:r>
              <w:rPr>
                <w:rFonts w:hint="eastAsia" w:ascii="宋体" w:hAnsi="宋体" w:eastAsia="宋体" w:cs="宋体"/>
                <w:color w:val="auto"/>
                <w:sz w:val="21"/>
                <w:szCs w:val="21"/>
                <w:lang w:eastAsia="zh-CN"/>
              </w:rPr>
              <w:fldChar w:fldCharType="end"/>
            </w:r>
            <w:r>
              <w:rPr>
                <w:rFonts w:hint="eastAsia" w:ascii="宋体" w:hAnsi="宋体" w:eastAsia="宋体" w:cs="宋体"/>
                <w:color w:val="auto"/>
                <w:sz w:val="21"/>
                <w:szCs w:val="21"/>
                <w:lang w:eastAsia="zh-CN"/>
              </w:rPr>
              <w:t>μm</w:t>
            </w:r>
          </w:p>
        </w:tc>
        <w:tc>
          <w:tcPr>
            <w:tcW w:w="1492" w:type="dxa"/>
            <w:tcBorders>
              <w:right w:val="single" w:color="auto" w:sz="12" w:space="0"/>
            </w:tcBorders>
            <w:noWrap w:val="0"/>
            <w:vAlign w:val="center"/>
          </w:tcPr>
          <w:p>
            <w:pPr>
              <w:widowControl/>
              <w:spacing w:line="360" w:lineRule="exact"/>
              <w:ind w:left="840" w:hanging="840" w:hangingChars="40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2.8.</w:t>
            </w:r>
          </w:p>
        </w:tc>
        <w:tc>
          <w:tcPr>
            <w:tcW w:w="6348" w:type="dxa"/>
            <w:noWrap w:val="0"/>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微电脑控制，漏电保护，超时、超温、液体烧干自动保护</w:t>
            </w:r>
          </w:p>
        </w:tc>
        <w:tc>
          <w:tcPr>
            <w:tcW w:w="1492" w:type="dxa"/>
            <w:tcBorders>
              <w:right w:val="single" w:color="auto" w:sz="12" w:space="0"/>
            </w:tcBorders>
            <w:noWrap w:val="0"/>
            <w:vAlign w:val="center"/>
          </w:tcPr>
          <w:p>
            <w:pPr>
              <w:widowControl/>
              <w:spacing w:line="360" w:lineRule="exact"/>
              <w:ind w:left="840" w:hanging="840" w:hangingChars="40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2.9.</w:t>
            </w:r>
          </w:p>
        </w:tc>
        <w:tc>
          <w:tcPr>
            <w:tcW w:w="6348" w:type="dxa"/>
            <w:noWrap w:val="0"/>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数字显示时间、温度，可根据需要设定</w:t>
            </w:r>
          </w:p>
        </w:tc>
        <w:tc>
          <w:tcPr>
            <w:tcW w:w="1492" w:type="dxa"/>
            <w:tcBorders>
              <w:right w:val="single" w:color="auto" w:sz="12" w:space="0"/>
            </w:tcBorders>
            <w:noWrap w:val="0"/>
            <w:vAlign w:val="center"/>
          </w:tcPr>
          <w:p>
            <w:pPr>
              <w:widowControl/>
              <w:spacing w:line="360" w:lineRule="exact"/>
              <w:ind w:left="840" w:hanging="840" w:hangingChars="40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2.10.</w:t>
            </w:r>
          </w:p>
        </w:tc>
        <w:tc>
          <w:tcPr>
            <w:tcW w:w="6348" w:type="dxa"/>
            <w:noWrap w:val="0"/>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可实现熏蒸、坐浴、气泡按摩功能</w:t>
            </w:r>
          </w:p>
        </w:tc>
        <w:tc>
          <w:tcPr>
            <w:tcW w:w="1492" w:type="dxa"/>
            <w:tcBorders>
              <w:right w:val="single" w:color="auto" w:sz="12" w:space="0"/>
            </w:tcBorders>
            <w:noWrap w:val="0"/>
            <w:vAlign w:val="center"/>
          </w:tcPr>
          <w:p>
            <w:pPr>
              <w:widowControl/>
              <w:spacing w:line="360" w:lineRule="exact"/>
              <w:ind w:left="840" w:hanging="840" w:hangingChars="40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2.11.</w:t>
            </w:r>
          </w:p>
        </w:tc>
        <w:tc>
          <w:tcPr>
            <w:tcW w:w="6348" w:type="dxa"/>
            <w:noWrap w:val="0"/>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使用隔离透声坐浴膜（一人一膜），将患者和设备完全隔离，彻底解决了患者之间的交叉感染且干净卫生，同时患者治疗过程中产生的污物不会进入设备</w:t>
            </w:r>
          </w:p>
        </w:tc>
        <w:tc>
          <w:tcPr>
            <w:tcW w:w="1492" w:type="dxa"/>
            <w:tcBorders>
              <w:right w:val="single" w:color="auto" w:sz="12" w:space="0"/>
            </w:tcBorders>
            <w:noWrap w:val="0"/>
            <w:vAlign w:val="center"/>
          </w:tcPr>
          <w:p>
            <w:pPr>
              <w:widowControl/>
              <w:spacing w:line="360" w:lineRule="exact"/>
              <w:ind w:left="840" w:hanging="840" w:hangingChars="40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rPr>
              <w:t>2.12.</w:t>
            </w:r>
          </w:p>
        </w:tc>
        <w:tc>
          <w:tcPr>
            <w:tcW w:w="6348" w:type="dxa"/>
            <w:noWrap w:val="0"/>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使用隔离透声坐浴膜（一人一膜），将药液和设备完全隔离，设备内只需加入自来水，设备清洗方便且不产生药垢，设备永不堵塞，设备故障率也大大降低</w:t>
            </w:r>
          </w:p>
        </w:tc>
        <w:tc>
          <w:tcPr>
            <w:tcW w:w="1492" w:type="dxa"/>
            <w:tcBorders>
              <w:right w:val="single" w:color="auto" w:sz="12" w:space="0"/>
            </w:tcBorders>
            <w:noWrap w:val="0"/>
            <w:vAlign w:val="center"/>
          </w:tcPr>
          <w:p>
            <w:pPr>
              <w:widowControl/>
              <w:spacing w:line="360" w:lineRule="exact"/>
              <w:ind w:left="840" w:hanging="840" w:hangingChars="40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2.13.</w:t>
            </w:r>
          </w:p>
        </w:tc>
        <w:tc>
          <w:tcPr>
            <w:tcW w:w="6348" w:type="dxa"/>
            <w:noWrap w:val="0"/>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实施人性化设计，坐浴盖内腔合理，熏蒸坐浴舒适</w:t>
            </w:r>
          </w:p>
        </w:tc>
        <w:tc>
          <w:tcPr>
            <w:tcW w:w="1492" w:type="dxa"/>
            <w:tcBorders>
              <w:right w:val="single" w:color="auto" w:sz="12" w:space="0"/>
            </w:tcBorders>
            <w:noWrap w:val="0"/>
            <w:vAlign w:val="center"/>
          </w:tcPr>
          <w:p>
            <w:pPr>
              <w:widowControl/>
              <w:spacing w:line="360" w:lineRule="exact"/>
              <w:ind w:left="840" w:hanging="840" w:hangingChars="40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rPr>
              <w:t>2.14.</w:t>
            </w:r>
          </w:p>
        </w:tc>
        <w:tc>
          <w:tcPr>
            <w:tcW w:w="6348" w:type="dxa"/>
            <w:noWrap w:val="0"/>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操作简单方便，结构合理、紧奏、体积小、移动方便(不需要外接水源及下水口)</w:t>
            </w:r>
          </w:p>
        </w:tc>
        <w:tc>
          <w:tcPr>
            <w:tcW w:w="1492" w:type="dxa"/>
            <w:tcBorders>
              <w:right w:val="single" w:color="auto" w:sz="12" w:space="0"/>
            </w:tcBorders>
            <w:noWrap w:val="0"/>
            <w:vAlign w:val="center"/>
          </w:tcPr>
          <w:p>
            <w:pPr>
              <w:widowControl/>
              <w:spacing w:line="360" w:lineRule="exact"/>
              <w:ind w:left="840" w:hanging="840" w:hangingChars="40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2.15.</w:t>
            </w:r>
          </w:p>
        </w:tc>
        <w:tc>
          <w:tcPr>
            <w:tcW w:w="6348" w:type="dxa"/>
            <w:noWrap w:val="0"/>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在设备五年的使用期限内，设备使用次数可达2万次以上</w:t>
            </w:r>
          </w:p>
        </w:tc>
        <w:tc>
          <w:tcPr>
            <w:tcW w:w="1492" w:type="dxa"/>
            <w:tcBorders>
              <w:right w:val="single" w:color="auto" w:sz="12" w:space="0"/>
            </w:tcBorders>
            <w:noWrap w:val="0"/>
            <w:vAlign w:val="center"/>
          </w:tcPr>
          <w:p>
            <w:pPr>
              <w:widowControl/>
              <w:spacing w:line="360" w:lineRule="exact"/>
              <w:ind w:left="840" w:hanging="840" w:hangingChars="40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2.16.</w:t>
            </w:r>
          </w:p>
        </w:tc>
        <w:tc>
          <w:tcPr>
            <w:tcW w:w="6348" w:type="dxa"/>
            <w:noWrap w:val="0"/>
            <w:vAlign w:val="center"/>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主机一台</w:t>
            </w:r>
          </w:p>
        </w:tc>
        <w:tc>
          <w:tcPr>
            <w:tcW w:w="1492" w:type="dxa"/>
            <w:tcBorders>
              <w:right w:val="single" w:color="auto" w:sz="12" w:space="0"/>
            </w:tcBorders>
            <w:noWrap w:val="0"/>
            <w:vAlign w:val="center"/>
          </w:tcPr>
          <w:p>
            <w:pPr>
              <w:widowControl/>
              <w:spacing w:line="360" w:lineRule="exact"/>
              <w:ind w:left="840" w:hanging="840" w:hangingChars="40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2.17.</w:t>
            </w:r>
          </w:p>
        </w:tc>
        <w:tc>
          <w:tcPr>
            <w:tcW w:w="6348" w:type="dxa"/>
            <w:noWrap w:val="0"/>
            <w:vAlign w:val="center"/>
          </w:tcPr>
          <w:p>
            <w:pP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控制器1个</w:t>
            </w:r>
          </w:p>
        </w:tc>
        <w:tc>
          <w:tcPr>
            <w:tcW w:w="1492" w:type="dxa"/>
            <w:tcBorders>
              <w:right w:val="single" w:color="auto" w:sz="12" w:space="0"/>
            </w:tcBorders>
            <w:noWrap w:val="0"/>
            <w:vAlign w:val="center"/>
          </w:tcPr>
          <w:p>
            <w:pPr>
              <w:widowControl/>
              <w:spacing w:line="360" w:lineRule="exact"/>
              <w:ind w:left="840" w:hanging="840" w:hangingChars="40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2.18.</w:t>
            </w:r>
          </w:p>
        </w:tc>
        <w:tc>
          <w:tcPr>
            <w:tcW w:w="6348" w:type="dxa"/>
            <w:noWrap w:val="0"/>
            <w:vAlign w:val="center"/>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隔离透声膜</w:t>
            </w:r>
            <w:r>
              <w:rPr>
                <w:rFonts w:hint="eastAsia" w:ascii="宋体" w:hAnsi="宋体" w:eastAsia="宋体" w:cs="宋体"/>
                <w:color w:val="auto"/>
                <w:sz w:val="21"/>
                <w:szCs w:val="21"/>
                <w:lang w:val="en-US" w:eastAsia="zh-CN"/>
              </w:rPr>
              <w:t>10片</w:t>
            </w:r>
          </w:p>
        </w:tc>
        <w:tc>
          <w:tcPr>
            <w:tcW w:w="1492" w:type="dxa"/>
            <w:tcBorders>
              <w:right w:val="single" w:color="auto" w:sz="12" w:space="0"/>
            </w:tcBorders>
            <w:noWrap w:val="0"/>
            <w:vAlign w:val="center"/>
          </w:tcPr>
          <w:p>
            <w:pPr>
              <w:widowControl/>
              <w:spacing w:line="360" w:lineRule="exact"/>
              <w:ind w:left="840" w:hanging="840" w:hangingChars="40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top"/>
          </w:tcPr>
          <w:p>
            <w:pPr>
              <w:keepNext w:val="0"/>
              <w:keepLines w:val="0"/>
              <w:widowControl/>
              <w:suppressLineNumbers w:val="0"/>
              <w:jc w:val="center"/>
              <w:textAlignment w:val="top"/>
              <w:rPr>
                <w:rFonts w:hint="eastAsia" w:ascii="宋体" w:hAnsi="宋体" w:eastAsia="宋体" w:cs="宋体"/>
                <w:b/>
                <w:color w:val="auto"/>
                <w:sz w:val="21"/>
                <w:szCs w:val="21"/>
              </w:rPr>
            </w:pPr>
            <w:r>
              <w:rPr>
                <w:rFonts w:hint="eastAsia" w:ascii="宋体" w:hAnsi="宋体" w:eastAsia="宋体" w:cs="宋体"/>
                <w:b/>
                <w:bCs/>
                <w:i w:val="0"/>
                <w:iCs w:val="0"/>
                <w:color w:val="auto"/>
                <w:kern w:val="0"/>
                <w:sz w:val="21"/>
                <w:szCs w:val="21"/>
                <w:u w:val="none"/>
                <w:lang w:val="en-US" w:eastAsia="zh-CN" w:bidi="ar"/>
              </w:rPr>
              <w:t>三</w:t>
            </w:r>
          </w:p>
        </w:tc>
        <w:tc>
          <w:tcPr>
            <w:tcW w:w="6348" w:type="dxa"/>
            <w:noWrap w:val="0"/>
            <w:vAlign w:val="top"/>
          </w:tcPr>
          <w:p>
            <w:pPr>
              <w:keepNext w:val="0"/>
              <w:keepLines w:val="0"/>
              <w:widowControl/>
              <w:suppressLineNumbers w:val="0"/>
              <w:jc w:val="both"/>
              <w:textAlignment w:val="top"/>
              <w:rPr>
                <w:rFonts w:hint="eastAsia" w:ascii="宋体" w:hAnsi="宋体" w:eastAsia="宋体" w:cs="宋体"/>
                <w:b/>
                <w:color w:val="auto"/>
                <w:sz w:val="21"/>
                <w:szCs w:val="21"/>
              </w:rPr>
            </w:pPr>
            <w:r>
              <w:rPr>
                <w:rFonts w:hint="eastAsia" w:ascii="宋体" w:hAnsi="宋体" w:eastAsia="宋体" w:cs="宋体"/>
                <w:b/>
                <w:bCs/>
                <w:i w:val="0"/>
                <w:iCs w:val="0"/>
                <w:color w:val="auto"/>
                <w:kern w:val="0"/>
                <w:sz w:val="21"/>
                <w:szCs w:val="21"/>
                <w:u w:val="none"/>
                <w:lang w:val="en-US" w:eastAsia="zh-CN" w:bidi="ar"/>
              </w:rPr>
              <w:t>安装验收</w:t>
            </w:r>
          </w:p>
        </w:tc>
        <w:tc>
          <w:tcPr>
            <w:tcW w:w="1492" w:type="dxa"/>
            <w:tcBorders>
              <w:right w:val="single" w:color="auto" w:sz="12" w:space="0"/>
            </w:tcBorders>
            <w:noWrap w:val="0"/>
            <w:vAlign w:val="top"/>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top"/>
          </w:tcPr>
          <w:p>
            <w:pPr>
              <w:keepNext w:val="0"/>
              <w:keepLines w:val="0"/>
              <w:widowControl/>
              <w:suppressLineNumbers w:val="0"/>
              <w:jc w:val="center"/>
              <w:textAlignment w:val="top"/>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3.1</w:t>
            </w:r>
          </w:p>
        </w:tc>
        <w:tc>
          <w:tcPr>
            <w:tcW w:w="6348" w:type="dxa"/>
            <w:noWrap w:val="0"/>
            <w:vAlign w:val="center"/>
          </w:tcPr>
          <w:p>
            <w:pPr>
              <w:keepNext w:val="0"/>
              <w:keepLines w:val="0"/>
              <w:widowControl/>
              <w:suppressLineNumbers w:val="0"/>
              <w:jc w:val="both"/>
              <w:textAlignment w:val="center"/>
              <w:rPr>
                <w:rFonts w:hint="eastAsia" w:ascii="宋体" w:hAnsi="宋体" w:eastAsia="宋体" w:cs="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安装地点：医院指定科室；</w:t>
            </w:r>
          </w:p>
        </w:tc>
        <w:tc>
          <w:tcPr>
            <w:tcW w:w="1492" w:type="dxa"/>
            <w:tcBorders>
              <w:right w:val="single" w:color="auto" w:sz="12" w:space="0"/>
            </w:tcBorders>
            <w:noWrap w:val="0"/>
            <w:vAlign w:val="top"/>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top"/>
          </w:tcPr>
          <w:p>
            <w:pPr>
              <w:keepNext w:val="0"/>
              <w:keepLines w:val="0"/>
              <w:widowControl/>
              <w:suppressLineNumbers w:val="0"/>
              <w:jc w:val="center"/>
              <w:textAlignment w:val="top"/>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3.2</w:t>
            </w:r>
          </w:p>
        </w:tc>
        <w:tc>
          <w:tcPr>
            <w:tcW w:w="6348" w:type="dxa"/>
            <w:noWrap w:val="0"/>
            <w:vAlign w:val="center"/>
          </w:tcPr>
          <w:p>
            <w:pPr>
              <w:keepNext w:val="0"/>
              <w:keepLines w:val="0"/>
              <w:widowControl/>
              <w:suppressLineNumbers w:val="0"/>
              <w:jc w:val="both"/>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安装完成时间：合同签订后1个月内交货，接买方通知后3天内完成安装；</w:t>
            </w:r>
          </w:p>
        </w:tc>
        <w:tc>
          <w:tcPr>
            <w:tcW w:w="1492" w:type="dxa"/>
            <w:tcBorders>
              <w:right w:val="single" w:color="auto" w:sz="12" w:space="0"/>
            </w:tcBorders>
            <w:noWrap w:val="0"/>
            <w:vAlign w:val="top"/>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bottom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3.3</w:t>
            </w:r>
          </w:p>
        </w:tc>
        <w:tc>
          <w:tcPr>
            <w:tcW w:w="6348" w:type="dxa"/>
            <w:tcBorders>
              <w:bottom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安装标准：符合我国国家有关技术规范和技术标准；</w:t>
            </w:r>
          </w:p>
        </w:tc>
        <w:tc>
          <w:tcPr>
            <w:tcW w:w="1492" w:type="dxa"/>
            <w:tcBorders>
              <w:bottom w:val="single" w:color="auto" w:sz="4" w:space="0"/>
              <w:right w:val="single" w:color="auto" w:sz="12" w:space="0"/>
            </w:tcBorders>
            <w:noWrap w:val="0"/>
            <w:vAlign w:val="top"/>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top"/>
          </w:tcPr>
          <w:p>
            <w:pPr>
              <w:keepNext w:val="0"/>
              <w:keepLines w:val="0"/>
              <w:widowControl/>
              <w:suppressLineNumbers w:val="0"/>
              <w:jc w:val="center"/>
              <w:textAlignment w:val="top"/>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3.4</w:t>
            </w:r>
          </w:p>
        </w:tc>
        <w:tc>
          <w:tcPr>
            <w:tcW w:w="6348" w:type="dxa"/>
            <w:noWrap w:val="0"/>
            <w:vAlign w:val="center"/>
          </w:tcPr>
          <w:p>
            <w:pPr>
              <w:keepNext w:val="0"/>
              <w:keepLines w:val="0"/>
              <w:widowControl/>
              <w:suppressLineNumbers w:val="0"/>
              <w:jc w:val="both"/>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验收标准：符合我国国家有关技术规范和技术标准。</w:t>
            </w:r>
          </w:p>
        </w:tc>
        <w:tc>
          <w:tcPr>
            <w:tcW w:w="1492" w:type="dxa"/>
            <w:tcBorders>
              <w:right w:val="single" w:color="auto" w:sz="12" w:space="0"/>
            </w:tcBorders>
            <w:noWrap w:val="0"/>
            <w:vAlign w:val="top"/>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top"/>
          </w:tcPr>
          <w:p>
            <w:pPr>
              <w:keepNext w:val="0"/>
              <w:keepLines w:val="0"/>
              <w:widowControl/>
              <w:suppressLineNumbers w:val="0"/>
              <w:jc w:val="center"/>
              <w:textAlignment w:val="top"/>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3.5</w:t>
            </w:r>
          </w:p>
        </w:tc>
        <w:tc>
          <w:tcPr>
            <w:tcW w:w="6348" w:type="dxa"/>
            <w:noWrap w:val="0"/>
            <w:vAlign w:val="center"/>
          </w:tcPr>
          <w:p>
            <w:pPr>
              <w:keepNext w:val="0"/>
              <w:keepLines w:val="0"/>
              <w:widowControl/>
              <w:suppressLineNumbers w:val="0"/>
              <w:jc w:val="both"/>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安装、验收合格前所产生的一切费用（包括卸货、搬运、必要时的安全性能检测费等）由供方负责提供。</w:t>
            </w:r>
          </w:p>
        </w:tc>
        <w:tc>
          <w:tcPr>
            <w:tcW w:w="1492" w:type="dxa"/>
            <w:tcBorders>
              <w:right w:val="single" w:color="auto" w:sz="12" w:space="0"/>
            </w:tcBorders>
            <w:noWrap w:val="0"/>
            <w:vAlign w:val="top"/>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tcBorders>
            <w:noWrap w:val="0"/>
            <w:vAlign w:val="top"/>
          </w:tcPr>
          <w:p>
            <w:pPr>
              <w:keepNext w:val="0"/>
              <w:keepLines w:val="0"/>
              <w:widowControl/>
              <w:suppressLineNumbers w:val="0"/>
              <w:jc w:val="center"/>
              <w:textAlignment w:val="top"/>
              <w:rPr>
                <w:rFonts w:hint="eastAsia" w:ascii="宋体" w:hAnsi="宋体" w:eastAsia="宋体" w:cs="宋体"/>
                <w:color w:val="auto"/>
                <w:sz w:val="21"/>
                <w:szCs w:val="21"/>
              </w:rPr>
            </w:pPr>
            <w:r>
              <w:rPr>
                <w:rFonts w:hint="eastAsia" w:ascii="宋体" w:hAnsi="宋体" w:eastAsia="宋体" w:cs="宋体"/>
                <w:b/>
                <w:bCs/>
                <w:i w:val="0"/>
                <w:iCs w:val="0"/>
                <w:color w:val="auto"/>
                <w:kern w:val="0"/>
                <w:sz w:val="21"/>
                <w:szCs w:val="21"/>
                <w:u w:val="none"/>
                <w:lang w:val="en-US" w:eastAsia="zh-CN" w:bidi="ar"/>
              </w:rPr>
              <w:t>四</w:t>
            </w:r>
          </w:p>
        </w:tc>
        <w:tc>
          <w:tcPr>
            <w:tcW w:w="6348" w:type="dxa"/>
            <w:noWrap w:val="0"/>
            <w:vAlign w:val="top"/>
          </w:tcPr>
          <w:p>
            <w:pPr>
              <w:keepNext w:val="0"/>
              <w:keepLines w:val="0"/>
              <w:widowControl/>
              <w:suppressLineNumbers w:val="0"/>
              <w:jc w:val="both"/>
              <w:textAlignment w:val="top"/>
              <w:rPr>
                <w:rFonts w:hint="eastAsia" w:ascii="宋体" w:hAnsi="宋体" w:eastAsia="宋体" w:cs="宋体"/>
                <w:color w:val="auto"/>
                <w:sz w:val="21"/>
                <w:szCs w:val="21"/>
              </w:rPr>
            </w:pPr>
            <w:r>
              <w:rPr>
                <w:rFonts w:hint="eastAsia" w:ascii="宋体" w:hAnsi="宋体" w:eastAsia="宋体" w:cs="宋体"/>
                <w:b/>
                <w:bCs/>
                <w:i w:val="0"/>
                <w:iCs w:val="0"/>
                <w:color w:val="auto"/>
                <w:kern w:val="0"/>
                <w:sz w:val="21"/>
                <w:szCs w:val="21"/>
                <w:u w:val="none"/>
                <w:lang w:val="en-US" w:eastAsia="zh-CN" w:bidi="ar"/>
              </w:rPr>
              <w:t>售后服务</w:t>
            </w:r>
          </w:p>
        </w:tc>
        <w:tc>
          <w:tcPr>
            <w:tcW w:w="1492" w:type="dxa"/>
            <w:tcBorders>
              <w:right w:val="single" w:color="auto" w:sz="12" w:space="0"/>
            </w:tcBorders>
            <w:noWrap w:val="0"/>
            <w:vAlign w:val="top"/>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4.1</w:t>
            </w:r>
          </w:p>
        </w:tc>
        <w:tc>
          <w:tcPr>
            <w:tcW w:w="6348" w:type="dxa"/>
            <w:tcBorders>
              <w:bottom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免费保修：设备验收合格后保修≥2年，期间免一切维修费用；</w:t>
            </w:r>
          </w:p>
        </w:tc>
        <w:tc>
          <w:tcPr>
            <w:tcW w:w="1492" w:type="dxa"/>
            <w:tcBorders>
              <w:bottom w:val="single" w:color="auto" w:sz="4" w:space="0"/>
              <w:right w:val="single" w:color="auto" w:sz="12" w:space="0"/>
            </w:tcBorders>
            <w:noWrap w:val="0"/>
            <w:vAlign w:val="top"/>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bottom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b/>
                <w:color w:val="auto"/>
                <w:sz w:val="21"/>
                <w:szCs w:val="21"/>
              </w:rPr>
            </w:pPr>
            <w:r>
              <w:rPr>
                <w:rFonts w:hint="eastAsia" w:ascii="宋体" w:hAnsi="宋体" w:eastAsia="宋体" w:cs="宋体"/>
                <w:b/>
                <w:bCs/>
                <w:i w:val="0"/>
                <w:iCs w:val="0"/>
                <w:color w:val="auto"/>
                <w:kern w:val="0"/>
                <w:sz w:val="21"/>
                <w:szCs w:val="21"/>
                <w:u w:val="none"/>
                <w:lang w:val="en-US" w:eastAsia="zh-CN" w:bidi="ar"/>
              </w:rPr>
              <w:t>五</w:t>
            </w:r>
          </w:p>
        </w:tc>
        <w:tc>
          <w:tcPr>
            <w:tcW w:w="6348" w:type="dxa"/>
            <w:tcBorders>
              <w:bottom w:val="single" w:color="auto" w:sz="4" w:space="0"/>
            </w:tcBorders>
            <w:noWrap w:val="0"/>
            <w:vAlign w:val="top"/>
          </w:tcPr>
          <w:p>
            <w:pPr>
              <w:keepNext w:val="0"/>
              <w:keepLines w:val="0"/>
              <w:widowControl/>
              <w:suppressLineNumbers w:val="0"/>
              <w:jc w:val="both"/>
              <w:textAlignment w:val="top"/>
              <w:rPr>
                <w:rFonts w:hint="eastAsia" w:ascii="宋体" w:hAnsi="宋体" w:eastAsia="宋体" w:cs="宋体"/>
                <w:b/>
                <w:color w:val="auto"/>
                <w:sz w:val="21"/>
                <w:szCs w:val="21"/>
              </w:rPr>
            </w:pPr>
            <w:r>
              <w:rPr>
                <w:rFonts w:hint="eastAsia" w:ascii="宋体" w:hAnsi="宋体" w:eastAsia="宋体" w:cs="宋体"/>
                <w:b/>
                <w:bCs/>
                <w:i w:val="0"/>
                <w:iCs w:val="0"/>
                <w:color w:val="auto"/>
                <w:kern w:val="0"/>
                <w:sz w:val="21"/>
                <w:szCs w:val="21"/>
                <w:u w:val="none"/>
                <w:lang w:val="en-US" w:eastAsia="zh-CN" w:bidi="ar"/>
              </w:rPr>
              <w:t>其他要求</w:t>
            </w:r>
          </w:p>
        </w:tc>
        <w:tc>
          <w:tcPr>
            <w:tcW w:w="1492" w:type="dxa"/>
            <w:tcBorders>
              <w:bottom w:val="single" w:color="auto" w:sz="4" w:space="0"/>
              <w:right w:val="single" w:color="auto" w:sz="12" w:space="0"/>
            </w:tcBorders>
            <w:noWrap w:val="0"/>
            <w:vAlign w:val="top"/>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bottom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5.1</w:t>
            </w:r>
          </w:p>
        </w:tc>
        <w:tc>
          <w:tcPr>
            <w:tcW w:w="6348" w:type="dxa"/>
            <w:tcBorders>
              <w:bottom w:val="single" w:color="auto" w:sz="4" w:space="0"/>
            </w:tcBorders>
            <w:noWrap w:val="0"/>
            <w:vAlign w:val="top"/>
          </w:tcPr>
          <w:p>
            <w:pPr>
              <w:keepNext w:val="0"/>
              <w:keepLines w:val="0"/>
              <w:widowControl/>
              <w:suppressLineNumbers w:val="0"/>
              <w:jc w:val="both"/>
              <w:textAlignment w:val="top"/>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属于医疗器械管理范围的产品必须提供医疗器械注册证及注册登记表</w:t>
            </w:r>
          </w:p>
        </w:tc>
        <w:tc>
          <w:tcPr>
            <w:tcW w:w="1492" w:type="dxa"/>
            <w:tcBorders>
              <w:bottom w:val="single" w:color="auto" w:sz="4" w:space="0"/>
              <w:right w:val="single" w:color="auto" w:sz="12" w:space="0"/>
            </w:tcBorders>
            <w:noWrap w:val="0"/>
            <w:vAlign w:val="top"/>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bottom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5.2</w:t>
            </w:r>
          </w:p>
        </w:tc>
        <w:tc>
          <w:tcPr>
            <w:tcW w:w="6348" w:type="dxa"/>
            <w:tcBorders>
              <w:bottom w:val="single" w:color="auto" w:sz="4" w:space="0"/>
            </w:tcBorders>
            <w:noWrap w:val="0"/>
            <w:vAlign w:val="top"/>
          </w:tcPr>
          <w:p>
            <w:pPr>
              <w:keepNext w:val="0"/>
              <w:keepLines w:val="0"/>
              <w:widowControl/>
              <w:suppressLineNumbers w:val="0"/>
              <w:jc w:val="both"/>
              <w:textAlignment w:val="top"/>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厂家承诺过保后先维修再付款</w:t>
            </w:r>
          </w:p>
        </w:tc>
        <w:tc>
          <w:tcPr>
            <w:tcW w:w="1492" w:type="dxa"/>
            <w:tcBorders>
              <w:bottom w:val="single" w:color="auto" w:sz="4" w:space="0"/>
              <w:right w:val="single" w:color="auto" w:sz="12" w:space="0"/>
            </w:tcBorders>
            <w:noWrap w:val="0"/>
            <w:vAlign w:val="center"/>
          </w:tcPr>
          <w:p>
            <w:pP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bottom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5.3</w:t>
            </w:r>
          </w:p>
        </w:tc>
        <w:tc>
          <w:tcPr>
            <w:tcW w:w="6348" w:type="dxa"/>
            <w:tcBorders>
              <w:bottom w:val="single" w:color="auto" w:sz="4" w:space="0"/>
            </w:tcBorders>
            <w:noWrap w:val="0"/>
            <w:vAlign w:val="top"/>
          </w:tcPr>
          <w:p>
            <w:pPr>
              <w:keepNext w:val="0"/>
              <w:keepLines w:val="0"/>
              <w:widowControl/>
              <w:suppressLineNumbers w:val="0"/>
              <w:jc w:val="both"/>
              <w:textAlignment w:val="top"/>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操作手册、维修手册：提供操作手册、维修手册各一套</w:t>
            </w:r>
          </w:p>
        </w:tc>
        <w:tc>
          <w:tcPr>
            <w:tcW w:w="1492" w:type="dxa"/>
            <w:tcBorders>
              <w:bottom w:val="single" w:color="auto" w:sz="4" w:space="0"/>
              <w:right w:val="single" w:color="auto" w:sz="12" w:space="0"/>
            </w:tcBorders>
            <w:noWrap w:val="0"/>
            <w:vAlign w:val="top"/>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bottom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5.4</w:t>
            </w:r>
          </w:p>
        </w:tc>
        <w:tc>
          <w:tcPr>
            <w:tcW w:w="6348" w:type="dxa"/>
            <w:tcBorders>
              <w:bottom w:val="single" w:color="auto" w:sz="4" w:space="0"/>
            </w:tcBorders>
            <w:noWrap w:val="0"/>
            <w:vAlign w:val="top"/>
          </w:tcPr>
          <w:p>
            <w:pPr>
              <w:keepNext w:val="0"/>
              <w:keepLines w:val="0"/>
              <w:widowControl/>
              <w:suppressLineNumbers w:val="0"/>
              <w:jc w:val="both"/>
              <w:textAlignment w:val="top"/>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培训：提供临床应用操作培训,并提供临床资料(培训ppt、考核试题)</w:t>
            </w:r>
          </w:p>
        </w:tc>
        <w:tc>
          <w:tcPr>
            <w:tcW w:w="1492" w:type="dxa"/>
            <w:tcBorders>
              <w:bottom w:val="single" w:color="auto" w:sz="4" w:space="0"/>
              <w:right w:val="single" w:color="auto" w:sz="12" w:space="0"/>
            </w:tcBorders>
            <w:noWrap w:val="0"/>
            <w:vAlign w:val="top"/>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bottom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5.5</w:t>
            </w:r>
          </w:p>
        </w:tc>
        <w:tc>
          <w:tcPr>
            <w:tcW w:w="6348" w:type="dxa"/>
            <w:tcBorders>
              <w:bottom w:val="single" w:color="auto" w:sz="4" w:space="0"/>
            </w:tcBorders>
            <w:noWrap w:val="0"/>
            <w:vAlign w:val="top"/>
          </w:tcPr>
          <w:p>
            <w:pPr>
              <w:keepNext w:val="0"/>
              <w:keepLines w:val="0"/>
              <w:widowControl/>
              <w:suppressLineNumbers w:val="0"/>
              <w:jc w:val="both"/>
              <w:textAlignment w:val="top"/>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软件终身免费升级</w:t>
            </w:r>
          </w:p>
        </w:tc>
        <w:tc>
          <w:tcPr>
            <w:tcW w:w="1492" w:type="dxa"/>
            <w:tcBorders>
              <w:bottom w:val="single" w:color="auto" w:sz="4" w:space="0"/>
              <w:right w:val="single" w:color="auto" w:sz="12" w:space="0"/>
            </w:tcBorders>
            <w:noWrap w:val="0"/>
            <w:vAlign w:val="top"/>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bottom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5.6</w:t>
            </w:r>
          </w:p>
        </w:tc>
        <w:tc>
          <w:tcPr>
            <w:tcW w:w="6348" w:type="dxa"/>
            <w:tcBorders>
              <w:bottom w:val="single" w:color="auto" w:sz="4" w:space="0"/>
            </w:tcBorders>
            <w:noWrap w:val="0"/>
            <w:vAlign w:val="top"/>
          </w:tcPr>
          <w:p>
            <w:pPr>
              <w:keepNext w:val="0"/>
              <w:keepLines w:val="0"/>
              <w:widowControl/>
              <w:suppressLineNumbers w:val="0"/>
              <w:jc w:val="both"/>
              <w:textAlignment w:val="top"/>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付款方式:验收合格后90工作日内付款，投标商开具单张发票限额必须大于投标单台设备价格</w:t>
            </w:r>
          </w:p>
        </w:tc>
        <w:tc>
          <w:tcPr>
            <w:tcW w:w="1492" w:type="dxa"/>
            <w:tcBorders>
              <w:bottom w:val="single" w:color="auto" w:sz="4" w:space="0"/>
              <w:right w:val="single" w:color="auto" w:sz="12" w:space="0"/>
            </w:tcBorders>
            <w:noWrap w:val="0"/>
            <w:vAlign w:val="top"/>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0" w:type="dxa"/>
            <w:tcBorders>
              <w:left w:val="single" w:color="auto" w:sz="12" w:space="0"/>
              <w:bottom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5.7</w:t>
            </w:r>
          </w:p>
        </w:tc>
        <w:tc>
          <w:tcPr>
            <w:tcW w:w="6348" w:type="dxa"/>
            <w:tcBorders>
              <w:bottom w:val="single" w:color="auto" w:sz="4" w:space="0"/>
            </w:tcBorders>
            <w:noWrap w:val="0"/>
            <w:vAlign w:val="top"/>
          </w:tcPr>
          <w:p>
            <w:pPr>
              <w:keepNext w:val="0"/>
              <w:keepLines w:val="0"/>
              <w:widowControl/>
              <w:suppressLineNumbers w:val="0"/>
              <w:jc w:val="both"/>
              <w:textAlignment w:val="top"/>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投标商提供的设备必须在距投标当日10个月内生产</w:t>
            </w:r>
          </w:p>
        </w:tc>
        <w:tc>
          <w:tcPr>
            <w:tcW w:w="1492" w:type="dxa"/>
            <w:tcBorders>
              <w:bottom w:val="single" w:color="auto" w:sz="4" w:space="0"/>
              <w:right w:val="single" w:color="auto" w:sz="12" w:space="0"/>
            </w:tcBorders>
            <w:noWrap w:val="0"/>
            <w:vAlign w:val="top"/>
          </w:tcPr>
          <w:p>
            <w:pPr>
              <w:jc w:val="center"/>
              <w:rPr>
                <w:rFonts w:hint="eastAsia" w:ascii="宋体" w:hAnsi="宋体" w:eastAsia="宋体" w:cs="宋体"/>
                <w:color w:val="auto"/>
                <w:sz w:val="21"/>
                <w:szCs w:val="21"/>
              </w:rPr>
            </w:pPr>
          </w:p>
        </w:tc>
      </w:tr>
    </w:tbl>
    <w:p>
      <w:pPr>
        <w:snapToGrid w:val="0"/>
        <w:spacing w:line="360" w:lineRule="auto"/>
        <w:jc w:val="left"/>
        <w:rPr>
          <w:rFonts w:hint="eastAsia" w:asciiTheme="minorEastAsia" w:hAnsiTheme="minorEastAsia" w:eastAsiaTheme="minorEastAsia" w:cstheme="minorEastAsia"/>
          <w:sz w:val="24"/>
          <w:szCs w:val="24"/>
        </w:rPr>
      </w:pPr>
      <w:bookmarkStart w:id="0" w:name="_GoBack"/>
      <w:bookmarkEnd w:id="0"/>
    </w:p>
    <w:p>
      <w:pPr>
        <w:snapToGrid w:val="0"/>
        <w:spacing w:line="360" w:lineRule="auto"/>
        <w:ind w:firstLine="470" w:firstLineChars="196"/>
        <w:jc w:val="left"/>
        <w:rPr>
          <w:rFonts w:hint="eastAsia" w:asciiTheme="minorEastAsia" w:hAnsiTheme="minorEastAsia" w:eastAsiaTheme="minorEastAsia" w:cstheme="minorEastAsia"/>
          <w:sz w:val="24"/>
          <w:szCs w:val="24"/>
        </w:rPr>
      </w:pPr>
    </w:p>
    <w:p>
      <w:pPr>
        <w:snapToGrid w:val="0"/>
        <w:spacing w:line="360" w:lineRule="auto"/>
        <w:ind w:firstLine="470" w:firstLineChars="196"/>
        <w:jc w:val="left"/>
        <w:rPr>
          <w:rFonts w:hint="eastAsia" w:asciiTheme="minorEastAsia" w:hAnsiTheme="minorEastAsia" w:eastAsiaTheme="minorEastAsia" w:cstheme="minorEastAsia"/>
          <w:sz w:val="24"/>
          <w:szCs w:val="24"/>
        </w:rPr>
      </w:pPr>
    </w:p>
    <w:p>
      <w:pPr>
        <w:pStyle w:val="7"/>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3"/>
          <w:rFonts w:hint="eastAsia" w:asciiTheme="minorEastAsia" w:hAnsiTheme="minorEastAsia" w:eastAsiaTheme="minorEastAsia" w:cstheme="minorEastAsia"/>
          <w:b/>
          <w:bCs/>
          <w:kern w:val="2"/>
          <w:sz w:val="32"/>
          <w:szCs w:val="32"/>
          <w:lang w:val="en-US" w:eastAsia="zh-CN" w:bidi="ar-SA"/>
        </w:rPr>
      </w:pPr>
      <w:r>
        <w:rPr>
          <w:rStyle w:val="13"/>
          <w:rFonts w:hint="eastAsia" w:asciiTheme="minorEastAsia" w:hAnsiTheme="minorEastAsia" w:eastAsiaTheme="minorEastAsia" w:cstheme="minorEastAsia"/>
          <w:b/>
          <w:bCs/>
          <w:kern w:val="2"/>
          <w:sz w:val="32"/>
          <w:szCs w:val="32"/>
          <w:lang w:val="en-US" w:eastAsia="zh-CN" w:bidi="ar-SA"/>
        </w:rPr>
        <w:t>评分细则</w:t>
      </w:r>
    </w:p>
    <w:p>
      <w:pPr>
        <w:spacing w:line="360" w:lineRule="auto"/>
        <w:ind w:firstLine="457" w:firstLineChars="196"/>
        <w:rPr>
          <w:rStyle w:val="13"/>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pacing w:val="-4"/>
          <w:sz w:val="24"/>
          <w:szCs w:val="24"/>
        </w:rPr>
        <w:t>1、商务技术分（0-65分）</w:t>
      </w:r>
    </w:p>
    <w:tbl>
      <w:tblPr>
        <w:tblStyle w:val="10"/>
        <w:tblW w:w="93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88"/>
        <w:gridCol w:w="2639"/>
        <w:gridCol w:w="997"/>
        <w:gridCol w:w="49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88"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639"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评定项目</w:t>
            </w:r>
          </w:p>
        </w:tc>
        <w:tc>
          <w:tcPr>
            <w:tcW w:w="997"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4945" w:type="dxa"/>
            <w:noWrap w:val="0"/>
            <w:vAlign w:val="center"/>
          </w:tcPr>
          <w:p>
            <w:pPr>
              <w:ind w:left="105" w:leftChars="50" w:right="10" w:rightChars="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评分细则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88"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639"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对应于招标文件设备技术规格及配置的偏离度</w:t>
            </w:r>
          </w:p>
        </w:tc>
        <w:tc>
          <w:tcPr>
            <w:tcW w:w="997" w:type="dxa"/>
            <w:noWrap w:val="0"/>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40</w:t>
            </w:r>
          </w:p>
        </w:tc>
        <w:tc>
          <w:tcPr>
            <w:tcW w:w="4945" w:type="dxa"/>
            <w:noWrap w:val="0"/>
            <w:vAlign w:val="center"/>
          </w:tcPr>
          <w:p>
            <w:pPr>
              <w:ind w:left="105" w:leftChars="50" w:right="10" w:rightChars="5"/>
              <w:rPr>
                <w:rFonts w:hint="eastAsia" w:asciiTheme="minorEastAsia" w:hAnsiTheme="minorEastAsia" w:eastAsiaTheme="minorEastAsia" w:cstheme="minorEastAsia"/>
                <w:sz w:val="24"/>
                <w:szCs w:val="24"/>
              </w:rPr>
            </w:pPr>
            <w:r>
              <w:rPr>
                <w:rFonts w:hint="default" w:ascii="Times New Roman" w:hAnsi="Times New Roman" w:eastAsia="新宋体" w:cs="Times New Roman"/>
                <w:color w:val="auto"/>
                <w:sz w:val="22"/>
                <w:szCs w:val="22"/>
                <w:highlight w:val="none"/>
              </w:rPr>
              <w:t>与招标文件</w:t>
            </w:r>
            <w:r>
              <w:rPr>
                <w:rFonts w:hint="eastAsia" w:ascii="Times New Roman" w:hAnsi="Times New Roman" w:eastAsia="新宋体" w:cs="Times New Roman"/>
                <w:color w:val="auto"/>
                <w:sz w:val="22"/>
                <w:szCs w:val="22"/>
                <w:highlight w:val="none"/>
                <w:lang w:eastAsia="zh-CN"/>
              </w:rPr>
              <w:t>中</w:t>
            </w:r>
            <w:r>
              <w:rPr>
                <w:rFonts w:hint="default" w:ascii="Times New Roman" w:hAnsi="Times New Roman" w:eastAsia="新宋体" w:cs="Times New Roman"/>
                <w:color w:val="auto"/>
                <w:sz w:val="22"/>
                <w:szCs w:val="22"/>
                <w:highlight w:val="none"/>
              </w:rPr>
              <w:t>货物技术规格及配置、商务要求对比，一项指标负偏离扣1分，标注★的指标</w:t>
            </w:r>
            <w:r>
              <w:rPr>
                <w:rFonts w:hint="eastAsia" w:ascii="Times New Roman" w:hAnsi="Times New Roman" w:eastAsia="新宋体" w:cs="Times New Roman"/>
                <w:color w:val="auto"/>
                <w:sz w:val="22"/>
                <w:szCs w:val="22"/>
                <w:highlight w:val="none"/>
                <w:lang w:eastAsia="zh-CN"/>
              </w:rPr>
              <w:t>负</w:t>
            </w:r>
            <w:r>
              <w:rPr>
                <w:rFonts w:hint="default" w:ascii="Times New Roman" w:hAnsi="Times New Roman" w:eastAsia="新宋体" w:cs="Times New Roman"/>
                <w:color w:val="auto"/>
                <w:sz w:val="22"/>
                <w:szCs w:val="22"/>
                <w:highlight w:val="none"/>
              </w:rPr>
              <w:t>偏离每项扣4分</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扣完为止</w:t>
            </w:r>
            <w:r>
              <w:rPr>
                <w:rFonts w:hint="default" w:ascii="Times New Roman" w:hAnsi="Times New Roman" w:eastAsia="新宋体" w:cs="Times New Roman"/>
                <w:color w:val="auto"/>
                <w:sz w:val="22"/>
                <w:szCs w:val="22"/>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88"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639"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投标设备配套的合理性</w:t>
            </w:r>
          </w:p>
        </w:tc>
        <w:tc>
          <w:tcPr>
            <w:tcW w:w="997"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4945" w:type="dxa"/>
            <w:noWrap w:val="0"/>
            <w:vAlign w:val="center"/>
          </w:tcPr>
          <w:p>
            <w:pPr>
              <w:ind w:left="105" w:leftChars="50" w:right="10" w:rightChars="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评委对投标设备配套的合理性、功能实现程度进行评价：投标设备配套合理、功能实现程度高的，得3分；配套较合理、功能实现程度较高的，得2分；配套合理性一般、不能完全达到临床要求功能的，得1分。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788"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639"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投标设备技术指标的先进性</w:t>
            </w:r>
          </w:p>
        </w:tc>
        <w:tc>
          <w:tcPr>
            <w:tcW w:w="997"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4945" w:type="dxa"/>
            <w:noWrap w:val="0"/>
            <w:vAlign w:val="center"/>
          </w:tcPr>
          <w:p>
            <w:pPr>
              <w:ind w:left="105" w:leftChars="50" w:right="10" w:rightChars="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评委对投标设备技术指标的先进性进行评价：技术指标高于招标要求且具有较高临床使用价值的，每项得1分；最高得3分。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88"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639"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投标机型的档次</w:t>
            </w:r>
          </w:p>
        </w:tc>
        <w:tc>
          <w:tcPr>
            <w:tcW w:w="997"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4945" w:type="dxa"/>
            <w:noWrap w:val="0"/>
            <w:vAlign w:val="center"/>
          </w:tcPr>
          <w:p>
            <w:pPr>
              <w:ind w:left="105" w:leftChars="50" w:right="10" w:rightChars="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投标机型在产品系列中属高档产品的，得3分；属中等档次产品的，得2分；属低档产品的，得1分。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88"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639"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运行成本</w:t>
            </w:r>
          </w:p>
        </w:tc>
        <w:tc>
          <w:tcPr>
            <w:tcW w:w="997"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4945" w:type="dxa"/>
            <w:noWrap w:val="0"/>
            <w:vAlign w:val="center"/>
          </w:tcPr>
          <w:p>
            <w:pPr>
              <w:ind w:left="105" w:leftChars="50" w:right="10" w:rightChars="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包括保修价格、售后服务方案、年运行费用和消耗品或易耗品价格等综合运行成本进行评价。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88"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639"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保修服务</w:t>
            </w:r>
          </w:p>
        </w:tc>
        <w:tc>
          <w:tcPr>
            <w:tcW w:w="997"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4945" w:type="dxa"/>
            <w:noWrap w:val="0"/>
            <w:vAlign w:val="center"/>
          </w:tcPr>
          <w:p>
            <w:pPr>
              <w:ind w:left="105" w:leftChars="50" w:right="10" w:rightChars="5"/>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设备</w:t>
            </w:r>
            <w:r>
              <w:rPr>
                <w:rFonts w:hint="eastAsia" w:asciiTheme="minorEastAsia" w:hAnsiTheme="minorEastAsia" w:eastAsiaTheme="minorEastAsia" w:cstheme="minorEastAsia"/>
                <w:sz w:val="24"/>
                <w:szCs w:val="24"/>
              </w:rPr>
              <w:t>保修期超过招标文件要求的，每增加1年加1分</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增加部分不足1年的不计分。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788"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639"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投标产品总体质量性能</w:t>
            </w:r>
          </w:p>
        </w:tc>
        <w:tc>
          <w:tcPr>
            <w:tcW w:w="997"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4</w:t>
            </w:r>
          </w:p>
        </w:tc>
        <w:tc>
          <w:tcPr>
            <w:tcW w:w="4945" w:type="dxa"/>
            <w:noWrap w:val="0"/>
            <w:vAlign w:val="center"/>
          </w:tcPr>
          <w:p>
            <w:pPr>
              <w:ind w:left="105" w:leftChars="50" w:right="10" w:rightChars="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投标产品在临床上的使用情况、稳定性、故障率等总体质量性能综合评价。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88"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639"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市场占有率</w:t>
            </w:r>
          </w:p>
        </w:tc>
        <w:tc>
          <w:tcPr>
            <w:tcW w:w="997"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3</w:t>
            </w:r>
          </w:p>
        </w:tc>
        <w:tc>
          <w:tcPr>
            <w:tcW w:w="4945" w:type="dxa"/>
            <w:noWrap w:val="0"/>
            <w:vAlign w:val="center"/>
          </w:tcPr>
          <w:p>
            <w:pPr>
              <w:ind w:left="105" w:leftChars="50" w:right="10" w:rightChars="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w:t>
            </w:r>
            <w:r>
              <w:rPr>
                <w:rFonts w:hint="eastAsia" w:asciiTheme="minorEastAsia" w:hAnsiTheme="minorEastAsia" w:cstheme="minorEastAsia"/>
                <w:sz w:val="24"/>
                <w:szCs w:val="24"/>
                <w:lang w:eastAsia="zh-CN"/>
              </w:rPr>
              <w:t>温州市或浙江省内</w:t>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cstheme="minorEastAsia"/>
                <w:sz w:val="24"/>
                <w:szCs w:val="24"/>
                <w:lang w:val="en-US" w:eastAsia="zh-CN"/>
              </w:rPr>
              <w:t>9</w:t>
            </w:r>
            <w:r>
              <w:rPr>
                <w:rFonts w:hint="eastAsia" w:asciiTheme="minorEastAsia" w:hAnsiTheme="minorEastAsia" w:eastAsiaTheme="minorEastAsia" w:cstheme="minorEastAsia"/>
                <w:sz w:val="24"/>
                <w:szCs w:val="24"/>
              </w:rPr>
              <w:t>年1月1日起至今与最终用户签订的投标机型合同复印件，每份有效合同得</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分，最多</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88"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2639"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制造商或代理商的售后服务和维修能力</w:t>
            </w:r>
          </w:p>
        </w:tc>
        <w:tc>
          <w:tcPr>
            <w:tcW w:w="997"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3</w:t>
            </w:r>
          </w:p>
        </w:tc>
        <w:tc>
          <w:tcPr>
            <w:tcW w:w="4945" w:type="dxa"/>
            <w:noWrap w:val="0"/>
            <w:vAlign w:val="center"/>
          </w:tcPr>
          <w:p>
            <w:pPr>
              <w:ind w:left="105" w:leftChars="50" w:right="10" w:rightChars="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制造商或代理商的售后服务和维修能力，服务响应速度、服务人员水平、备品备件配置等综合评价。</w:t>
            </w:r>
          </w:p>
        </w:tc>
      </w:tr>
    </w:tbl>
    <w:p>
      <w:pPr>
        <w:spacing w:before="120" w:beforeLines="50" w:after="120" w:afterLines="50"/>
        <w:ind w:firstLine="457" w:firstLineChars="196"/>
        <w:jc w:val="both"/>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spacing w:val="-4"/>
          <w:sz w:val="24"/>
          <w:szCs w:val="24"/>
        </w:rPr>
        <w:t>2、</w:t>
      </w:r>
      <w:r>
        <w:rPr>
          <w:rFonts w:hint="eastAsia" w:asciiTheme="minorEastAsia" w:hAnsiTheme="minorEastAsia" w:eastAsiaTheme="minorEastAsia" w:cstheme="minorEastAsia"/>
          <w:b/>
          <w:bCs/>
          <w:spacing w:val="-4"/>
          <w:sz w:val="24"/>
          <w:szCs w:val="24"/>
        </w:rPr>
        <w:t>价格分（0-35分）</w:t>
      </w:r>
    </w:p>
    <w:p>
      <w:pPr>
        <w:pStyle w:val="7"/>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Fonts w:hint="eastAsia" w:asciiTheme="minorEastAsia" w:hAnsiTheme="minorEastAsia" w:eastAsiaTheme="minorEastAsia" w:cstheme="minorEastAsia"/>
          <w:bCs/>
          <w:spacing w:val="-4"/>
          <w:sz w:val="24"/>
          <w:szCs w:val="24"/>
        </w:rPr>
      </w:pPr>
      <w:r>
        <w:rPr>
          <w:rFonts w:hint="eastAsia" w:asciiTheme="minorEastAsia" w:hAnsiTheme="minorEastAsia" w:eastAsiaTheme="minorEastAsia" w:cstheme="minorEastAsia"/>
          <w:bCs/>
          <w:spacing w:val="-4"/>
          <w:sz w:val="24"/>
          <w:szCs w:val="24"/>
        </w:rPr>
        <w:t>价格分采用低价优先法计算，即满足招标文件要求且投标报价最低的投标报价为评标基准价，其得分为满分35分。其他投标人的价格分按照下列公式计算：</w:t>
      </w:r>
    </w:p>
    <w:p>
      <w:pPr>
        <w:spacing w:before="120" w:beforeLines="50" w:after="120" w:afterLines="50"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价格分=（评标基准价/</w:t>
      </w:r>
      <w:r>
        <w:rPr>
          <w:rFonts w:hint="eastAsia" w:asciiTheme="minorEastAsia" w:hAnsiTheme="minorEastAsia" w:eastAsiaTheme="minorEastAsia" w:cstheme="minorEastAsia"/>
          <w:bCs/>
          <w:spacing w:val="-4"/>
          <w:sz w:val="24"/>
          <w:szCs w:val="24"/>
        </w:rPr>
        <w:t>投标报价</w:t>
      </w:r>
      <w:r>
        <w:rPr>
          <w:rFonts w:hint="eastAsia" w:asciiTheme="minorEastAsia" w:hAnsiTheme="minorEastAsia" w:eastAsiaTheme="minorEastAsia" w:cstheme="minorEastAsia"/>
          <w:sz w:val="24"/>
          <w:szCs w:val="24"/>
        </w:rPr>
        <w:t>）×35%×100</w:t>
      </w:r>
    </w:p>
    <w:p>
      <w:pPr>
        <w:numPr>
          <w:ilvl w:val="0"/>
          <w:numId w:val="2"/>
        </w:numPr>
        <w:ind w:firstLine="482" w:firstLineChars="200"/>
        <w:jc w:val="left"/>
        <w:rPr>
          <w:sz w:val="24"/>
        </w:rPr>
      </w:pPr>
      <w:r>
        <w:rPr>
          <w:rFonts w:hint="eastAsia" w:asciiTheme="minorEastAsia" w:hAnsiTheme="minorEastAsia" w:eastAsiaTheme="minorEastAsia" w:cstheme="minorEastAsia"/>
          <w:b/>
          <w:bCs w:val="0"/>
          <w:sz w:val="24"/>
          <w:szCs w:val="24"/>
          <w:lang w:val="en-US" w:eastAsia="zh-CN"/>
        </w:rPr>
        <w:t>总分：</w:t>
      </w:r>
      <w:r>
        <w:rPr>
          <w:rFonts w:hint="eastAsia" w:asciiTheme="minorEastAsia" w:hAnsiTheme="minorEastAsia" w:eastAsiaTheme="minorEastAsia" w:cstheme="minorEastAsia"/>
          <w:sz w:val="24"/>
          <w:szCs w:val="24"/>
        </w:rPr>
        <w:t>投标人的综合得分为以上商务技术分及价格分之和</w:t>
      </w:r>
      <w:r>
        <w:rPr>
          <w:sz w:val="24"/>
        </w:rPr>
        <w:t>。</w:t>
      </w:r>
    </w:p>
    <w:p>
      <w:pPr>
        <w:widowControl w:val="0"/>
        <w:numPr>
          <w:ilvl w:val="0"/>
          <w:numId w:val="0"/>
        </w:numPr>
        <w:jc w:val="left"/>
        <w:rPr>
          <w:sz w:val="24"/>
        </w:rPr>
      </w:pPr>
    </w:p>
    <w:p>
      <w:pPr>
        <w:widowControl w:val="0"/>
        <w:numPr>
          <w:ilvl w:val="0"/>
          <w:numId w:val="0"/>
        </w:numPr>
        <w:jc w:val="left"/>
        <w:rPr>
          <w:sz w:val="24"/>
        </w:rPr>
      </w:pPr>
    </w:p>
    <w:p>
      <w:pPr>
        <w:widowControl w:val="0"/>
        <w:numPr>
          <w:ilvl w:val="0"/>
          <w:numId w:val="0"/>
        </w:numPr>
        <w:jc w:val="left"/>
        <w:rPr>
          <w:sz w:val="24"/>
        </w:rPr>
      </w:pPr>
    </w:p>
    <w:p>
      <w:pPr>
        <w:widowControl w:val="0"/>
        <w:numPr>
          <w:ilvl w:val="0"/>
          <w:numId w:val="0"/>
        </w:numPr>
        <w:jc w:val="left"/>
        <w:rPr>
          <w:sz w:val="24"/>
        </w:rPr>
      </w:pPr>
    </w:p>
    <w:p>
      <w:pPr>
        <w:widowControl w:val="0"/>
        <w:numPr>
          <w:ilvl w:val="0"/>
          <w:numId w:val="0"/>
        </w:numPr>
        <w:jc w:val="left"/>
        <w:rPr>
          <w:sz w:val="24"/>
        </w:rPr>
      </w:pPr>
    </w:p>
    <w:p>
      <w:pPr>
        <w:pStyle w:val="7"/>
        <w:keepNext w:val="0"/>
        <w:keepLines w:val="0"/>
        <w:widowControl/>
        <w:numPr>
          <w:ilvl w:val="0"/>
          <w:numId w:val="0"/>
        </w:numPr>
        <w:suppressLineNumbers w:val="0"/>
        <w:spacing w:before="255" w:beforeAutospacing="0" w:after="255" w:afterAutospacing="0" w:line="300" w:lineRule="atLeast"/>
        <w:ind w:leftChars="0" w:right="0" w:rightChars="0"/>
        <w:jc w:val="both"/>
        <w:rPr>
          <w:rStyle w:val="13"/>
          <w:rFonts w:hint="default" w:eastAsia="宋体" w:asciiTheme="minorEastAsia" w:hAnsiTheme="minorEastAsia" w:cstheme="minorEastAsia"/>
          <w:b/>
          <w:bCs/>
          <w:kern w:val="2"/>
          <w:sz w:val="32"/>
          <w:szCs w:val="32"/>
          <w:lang w:val="en-US" w:eastAsia="zh-CN" w:bidi="ar-SA"/>
        </w:rPr>
      </w:pPr>
      <w:r>
        <w:rPr>
          <w:rStyle w:val="13"/>
          <w:rFonts w:hint="eastAsia" w:eastAsia="宋体" w:asciiTheme="minorEastAsia" w:hAnsiTheme="minorEastAsia" w:cstheme="minorEastAsia"/>
          <w:b/>
          <w:bCs/>
          <w:kern w:val="2"/>
          <w:sz w:val="32"/>
          <w:szCs w:val="32"/>
          <w:lang w:val="en-US" w:eastAsia="zh-CN" w:bidi="ar-SA"/>
        </w:rPr>
        <w:t>九、我院正式合同版本</w:t>
      </w:r>
    </w:p>
    <w:p>
      <w:pPr>
        <w:pStyle w:val="8"/>
        <w:rPr>
          <w:rFonts w:hint="eastAsia"/>
          <w:sz w:val="30"/>
          <w:szCs w:val="30"/>
        </w:rPr>
      </w:pPr>
    </w:p>
    <w:p>
      <w:pPr>
        <w:pStyle w:val="8"/>
        <w:rPr>
          <w:sz w:val="44"/>
        </w:rPr>
      </w:pPr>
      <w:r>
        <w:rPr>
          <w:rFonts w:hint="eastAsia"/>
          <w:sz w:val="44"/>
        </w:rPr>
        <w:t>温州市中医院医疗设备采购合同</w:t>
      </w:r>
    </w:p>
    <w:p>
      <w:pPr>
        <w:rPr>
          <w:w w:val="95"/>
          <w:sz w:val="22"/>
          <w:szCs w:val="22"/>
        </w:rPr>
      </w:pPr>
      <w:r>
        <w:rPr>
          <w:rFonts w:hint="eastAsia"/>
          <w:w w:val="95"/>
        </w:rPr>
        <w:t xml:space="preserve">                                         </w:t>
      </w:r>
      <w:r>
        <w:rPr>
          <w:rFonts w:hint="eastAsia"/>
          <w:w w:val="95"/>
          <w:sz w:val="22"/>
          <w:szCs w:val="22"/>
        </w:rPr>
        <w:t xml:space="preserve"> </w:t>
      </w:r>
      <w:r>
        <w:rPr>
          <w:w w:val="95"/>
          <w:sz w:val="22"/>
          <w:szCs w:val="22"/>
        </w:rPr>
        <w:t>合同编号：</w:t>
      </w:r>
      <w:r>
        <w:rPr>
          <w:rFonts w:hint="eastAsia"/>
          <w:w w:val="95"/>
          <w:sz w:val="22"/>
          <w:szCs w:val="22"/>
        </w:rPr>
        <w:t xml:space="preserve">          </w:t>
      </w:r>
    </w:p>
    <w:p>
      <w:pPr>
        <w:spacing w:before="107" w:line="220" w:lineRule="atLeast"/>
        <w:ind w:left="105"/>
        <w:rPr>
          <w:b/>
          <w:sz w:val="22"/>
          <w:szCs w:val="22"/>
        </w:rPr>
      </w:pPr>
      <w:r>
        <w:rPr>
          <w:rFonts w:hint="eastAsia"/>
          <w:b/>
          <w:sz w:val="22"/>
          <w:szCs w:val="22"/>
        </w:rPr>
        <w:t>甲方（采购单位）：温州市中医院</w:t>
      </w:r>
    </w:p>
    <w:p>
      <w:pPr>
        <w:spacing w:before="107" w:line="220" w:lineRule="atLeast"/>
        <w:ind w:left="105"/>
        <w:rPr>
          <w:b/>
          <w:sz w:val="22"/>
          <w:szCs w:val="22"/>
        </w:rPr>
      </w:pPr>
      <w:r>
        <w:rPr>
          <w:b/>
          <w:sz w:val="22"/>
          <w:szCs w:val="22"/>
        </w:rPr>
        <w:t>乙方（供应商）：</w:t>
      </w:r>
      <w:r>
        <w:rPr>
          <w:rFonts w:hint="eastAsia"/>
          <w:b/>
          <w:sz w:val="22"/>
          <w:szCs w:val="22"/>
        </w:rPr>
        <w:t xml:space="preserve"> </w:t>
      </w:r>
    </w:p>
    <w:p>
      <w:pPr>
        <w:pStyle w:val="3"/>
        <w:spacing w:before="106"/>
        <w:ind w:left="111" w:right="209" w:firstLine="550" w:firstLineChars="250"/>
        <w:rPr>
          <w:color w:val="000000" w:themeColor="text1"/>
          <w:sz w:val="22"/>
          <w:szCs w:val="22"/>
          <w14:textFill>
            <w14:solidFill>
              <w14:schemeClr w14:val="tx1"/>
            </w14:solidFill>
          </w14:textFill>
        </w:rPr>
      </w:pPr>
      <w:r>
        <w:rPr>
          <w:sz w:val="22"/>
          <w:szCs w:val="22"/>
        </w:rPr>
        <w:t>根据《中华人民共</w:t>
      </w:r>
      <w:r>
        <w:rPr>
          <w:color w:val="000000" w:themeColor="text1"/>
          <w:sz w:val="22"/>
          <w:szCs w:val="22"/>
          <w14:textFill>
            <w14:solidFill>
              <w14:schemeClr w14:val="tx1"/>
            </w14:solidFill>
          </w14:textFill>
        </w:rPr>
        <w:t>和国政府采购法》、《中华人民共和国</w:t>
      </w:r>
      <w:r>
        <w:rPr>
          <w:rFonts w:hint="eastAsia"/>
          <w:color w:val="000000" w:themeColor="text1"/>
          <w:sz w:val="22"/>
          <w:szCs w:val="22"/>
          <w14:textFill>
            <w14:solidFill>
              <w14:schemeClr w14:val="tx1"/>
            </w14:solidFill>
          </w14:textFill>
        </w:rPr>
        <w:t>民法典</w:t>
      </w:r>
      <w:r>
        <w:rPr>
          <w:color w:val="000000" w:themeColor="text1"/>
          <w:sz w:val="22"/>
          <w:szCs w:val="22"/>
          <w14:textFill>
            <w14:solidFill>
              <w14:schemeClr w14:val="tx1"/>
            </w14:solidFill>
          </w14:textFill>
        </w:rPr>
        <w:t>》等相关法律法规，以及</w:t>
      </w:r>
      <w:r>
        <w:rPr>
          <w:rFonts w:hint="eastAsia"/>
          <w:color w:val="000000" w:themeColor="text1"/>
          <w:sz w:val="22"/>
          <w:szCs w:val="22"/>
          <w:u w:val="single"/>
          <w:lang w:val="en-US" w:eastAsia="zh-CN"/>
          <w14:textFill>
            <w14:solidFill>
              <w14:schemeClr w14:val="tx1"/>
            </w14:solidFill>
          </w14:textFill>
        </w:rPr>
        <w:t xml:space="preserve">         项</w:t>
      </w:r>
      <w:r>
        <w:rPr>
          <w:color w:val="000000" w:themeColor="text1"/>
          <w:sz w:val="22"/>
          <w:szCs w:val="22"/>
          <w14:textFill>
            <w14:solidFill>
              <w14:schemeClr w14:val="tx1"/>
            </w14:solidFill>
          </w14:textFill>
        </w:rPr>
        <w:t>目</w:t>
      </w:r>
      <w:r>
        <w:rPr>
          <w:rFonts w:hint="eastAsia"/>
          <w:color w:val="000000" w:themeColor="text1"/>
          <w:sz w:val="22"/>
          <w:szCs w:val="22"/>
          <w:u w:val="single"/>
          <w:lang w:val="en-US"/>
          <w14:textFill>
            <w14:solidFill>
              <w14:schemeClr w14:val="tx1"/>
            </w14:solidFill>
          </w14:textFill>
        </w:rPr>
        <w:t>(招标</w:t>
      </w:r>
      <w:r>
        <w:rPr>
          <w:color w:val="000000" w:themeColor="text1"/>
          <w:sz w:val="22"/>
          <w:szCs w:val="22"/>
          <w:u w:val="single"/>
          <w:lang w:val="en-US"/>
          <w14:textFill>
            <w14:solidFill>
              <w14:schemeClr w14:val="tx1"/>
            </w14:solidFill>
          </w14:textFill>
        </w:rPr>
        <w:t>编号</w:t>
      </w:r>
      <w:r>
        <w:rPr>
          <w:rFonts w:hint="eastAsia"/>
          <w:color w:val="000000" w:themeColor="text1"/>
          <w:sz w:val="22"/>
          <w:szCs w:val="22"/>
          <w:u w:val="single"/>
          <w:lang w:val="en-US" w:eastAsia="zh-CN"/>
          <w14:textFill>
            <w14:solidFill>
              <w14:schemeClr w14:val="tx1"/>
            </w14:solidFill>
          </w14:textFill>
        </w:rPr>
        <w:t xml:space="preserve">:      </w:t>
      </w:r>
      <w:r>
        <w:rPr>
          <w:rFonts w:hint="eastAsia"/>
          <w:color w:val="000000" w:themeColor="text1"/>
          <w:sz w:val="22"/>
          <w:szCs w:val="22"/>
          <w:u w:val="single"/>
          <w:lang w:val="en-US"/>
          <w14:textFill>
            <w14:solidFill>
              <w14:schemeClr w14:val="tx1"/>
            </w14:solidFill>
          </w14:textFill>
        </w:rPr>
        <w:t>)</w:t>
      </w:r>
      <w:r>
        <w:rPr>
          <w:color w:val="000000" w:themeColor="text1"/>
          <w:sz w:val="22"/>
          <w:szCs w:val="22"/>
          <w14:textFill>
            <w14:solidFill>
              <w14:schemeClr w14:val="tx1"/>
            </w14:solidFill>
          </w14:textFill>
        </w:rPr>
        <w:t>（以下简称</w:t>
      </w:r>
      <w:r>
        <w:rPr>
          <w:rFonts w:ascii="Verdana" w:hAnsi="Verdana" w:eastAsia="Verdana"/>
          <w:color w:val="000000" w:themeColor="text1"/>
          <w:sz w:val="22"/>
          <w:szCs w:val="22"/>
          <w14:textFill>
            <w14:solidFill>
              <w14:schemeClr w14:val="tx1"/>
            </w14:solidFill>
          </w14:textFill>
        </w:rPr>
        <w:t>“</w:t>
      </w:r>
      <w:r>
        <w:rPr>
          <w:color w:val="000000" w:themeColor="text1"/>
          <w:sz w:val="22"/>
          <w:szCs w:val="22"/>
          <w14:textFill>
            <w14:solidFill>
              <w14:schemeClr w14:val="tx1"/>
            </w14:solidFill>
          </w14:textFill>
        </w:rPr>
        <w:t>项目</w:t>
      </w:r>
      <w:r>
        <w:rPr>
          <w:rFonts w:ascii="Verdana" w:hAnsi="Verdana" w:eastAsia="Verdana"/>
          <w:color w:val="000000" w:themeColor="text1"/>
          <w:sz w:val="22"/>
          <w:szCs w:val="22"/>
          <w14:textFill>
            <w14:solidFill>
              <w14:schemeClr w14:val="tx1"/>
            </w14:solidFill>
          </w14:textFill>
        </w:rPr>
        <w:t>”</w:t>
      </w:r>
      <w:r>
        <w:rPr>
          <w:color w:val="000000" w:themeColor="text1"/>
          <w:sz w:val="22"/>
          <w:szCs w:val="22"/>
          <w14:textFill>
            <w14:solidFill>
              <w14:schemeClr w14:val="tx1"/>
            </w14:solidFill>
          </w14:textFill>
        </w:rPr>
        <w:t>）招标文件、中标供应商投标文件、项目采购协议，或入围承诺书，甲乙双方经协商一致，签署本合同。</w:t>
      </w:r>
    </w:p>
    <w:p>
      <w:pPr>
        <w:pStyle w:val="2"/>
        <w:numPr>
          <w:ilvl w:val="0"/>
          <w:numId w:val="0"/>
        </w:numPr>
        <w:spacing w:before="84" w:after="13"/>
        <w:ind w:left="105"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一、</w:t>
      </w:r>
      <w:r>
        <w:rPr>
          <w:color w:val="000000" w:themeColor="text1"/>
          <w:sz w:val="22"/>
          <w:szCs w:val="22"/>
          <w14:textFill>
            <w14:solidFill>
              <w14:schemeClr w14:val="tx1"/>
            </w14:solidFill>
          </w14:textFill>
        </w:rPr>
        <w:t>货物内容及合同价格</w:t>
      </w:r>
    </w:p>
    <w:tbl>
      <w:tblPr>
        <w:tblStyle w:val="10"/>
        <w:tblW w:w="9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13"/>
        <w:gridCol w:w="1418"/>
        <w:gridCol w:w="1559"/>
        <w:gridCol w:w="2126"/>
        <w:gridCol w:w="993"/>
        <w:gridCol w:w="13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 w:hRule="atLeast"/>
          <w:jc w:val="center"/>
        </w:trPr>
        <w:tc>
          <w:tcPr>
            <w:tcW w:w="1813" w:type="dxa"/>
            <w:vAlign w:val="center"/>
          </w:tcPr>
          <w:p>
            <w:pPr>
              <w:pStyle w:val="17"/>
              <w:spacing w:before="116"/>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货物名称</w:t>
            </w:r>
          </w:p>
        </w:tc>
        <w:tc>
          <w:tcPr>
            <w:tcW w:w="1418" w:type="dxa"/>
            <w:vAlign w:val="center"/>
          </w:tcPr>
          <w:p>
            <w:pPr>
              <w:pStyle w:val="17"/>
              <w:spacing w:before="116"/>
              <w:ind w:right="276"/>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品牌</w:t>
            </w:r>
          </w:p>
        </w:tc>
        <w:tc>
          <w:tcPr>
            <w:tcW w:w="1559" w:type="dxa"/>
            <w:vAlign w:val="center"/>
          </w:tcPr>
          <w:p>
            <w:pPr>
              <w:pStyle w:val="17"/>
              <w:spacing w:before="116"/>
              <w:ind w:left="287" w:right="276"/>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型号规格</w:t>
            </w:r>
          </w:p>
        </w:tc>
        <w:tc>
          <w:tcPr>
            <w:tcW w:w="2126" w:type="dxa"/>
            <w:vAlign w:val="center"/>
          </w:tcPr>
          <w:p>
            <w:pPr>
              <w:pStyle w:val="17"/>
              <w:spacing w:before="116"/>
              <w:ind w:left="71" w:right="61"/>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配置要求</w:t>
            </w:r>
          </w:p>
        </w:tc>
        <w:tc>
          <w:tcPr>
            <w:tcW w:w="993" w:type="dxa"/>
            <w:vAlign w:val="center"/>
          </w:tcPr>
          <w:p>
            <w:pPr>
              <w:pStyle w:val="17"/>
              <w:spacing w:before="116"/>
              <w:ind w:left="71" w:right="61"/>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数量</w:t>
            </w:r>
          </w:p>
        </w:tc>
        <w:tc>
          <w:tcPr>
            <w:tcW w:w="1353" w:type="dxa"/>
            <w:vAlign w:val="center"/>
          </w:tcPr>
          <w:p>
            <w:pPr>
              <w:pStyle w:val="17"/>
              <w:spacing w:before="116"/>
              <w:ind w:left="71" w:right="62"/>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单价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pPr>
              <w:pStyle w:val="17"/>
              <w:jc w:val="center"/>
              <w:rPr>
                <w:b/>
                <w:color w:val="000000" w:themeColor="text1"/>
                <w:sz w:val="22"/>
                <w:szCs w:val="22"/>
                <w:lang w:val="en-US"/>
                <w14:textFill>
                  <w14:solidFill>
                    <w14:schemeClr w14:val="tx1"/>
                  </w14:solidFill>
                </w14:textFill>
              </w:rPr>
            </w:pPr>
          </w:p>
        </w:tc>
        <w:tc>
          <w:tcPr>
            <w:tcW w:w="1418" w:type="dxa"/>
            <w:vAlign w:val="center"/>
          </w:tcPr>
          <w:p>
            <w:pPr>
              <w:pStyle w:val="17"/>
              <w:jc w:val="center"/>
              <w:rPr>
                <w:b/>
                <w:color w:val="000000" w:themeColor="text1"/>
                <w:sz w:val="22"/>
                <w:szCs w:val="22"/>
                <w:lang w:val="en-US"/>
                <w14:textFill>
                  <w14:solidFill>
                    <w14:schemeClr w14:val="tx1"/>
                  </w14:solidFill>
                </w14:textFill>
              </w:rPr>
            </w:pPr>
          </w:p>
        </w:tc>
        <w:tc>
          <w:tcPr>
            <w:tcW w:w="1559" w:type="dxa"/>
            <w:vAlign w:val="center"/>
          </w:tcPr>
          <w:p>
            <w:pPr>
              <w:pStyle w:val="17"/>
              <w:jc w:val="center"/>
              <w:rPr>
                <w:b/>
                <w:color w:val="000000" w:themeColor="text1"/>
                <w:sz w:val="22"/>
                <w:szCs w:val="22"/>
                <w:lang w:val="en-US"/>
                <w14:textFill>
                  <w14:solidFill>
                    <w14:schemeClr w14:val="tx1"/>
                  </w14:solidFill>
                </w14:textFill>
              </w:rPr>
            </w:pPr>
          </w:p>
        </w:tc>
        <w:tc>
          <w:tcPr>
            <w:tcW w:w="2126" w:type="dxa"/>
            <w:vAlign w:val="center"/>
          </w:tcPr>
          <w:p>
            <w:pPr>
              <w:pStyle w:val="17"/>
              <w:jc w:val="center"/>
              <w:rPr>
                <w:rFonts w:ascii="Verdana"/>
                <w:color w:val="000000" w:themeColor="text1"/>
                <w:sz w:val="22"/>
                <w:szCs w:val="22"/>
                <w14:textFill>
                  <w14:solidFill>
                    <w14:schemeClr w14:val="tx1"/>
                  </w14:solidFill>
                </w14:textFill>
              </w:rPr>
            </w:pPr>
          </w:p>
        </w:tc>
        <w:tc>
          <w:tcPr>
            <w:tcW w:w="993" w:type="dxa"/>
            <w:vAlign w:val="center"/>
          </w:tcPr>
          <w:p>
            <w:pPr>
              <w:pStyle w:val="17"/>
              <w:jc w:val="center"/>
              <w:rPr>
                <w:rFonts w:ascii="Verdana"/>
                <w:color w:val="000000" w:themeColor="text1"/>
                <w:sz w:val="22"/>
                <w:szCs w:val="22"/>
                <w14:textFill>
                  <w14:solidFill>
                    <w14:schemeClr w14:val="tx1"/>
                  </w14:solidFill>
                </w14:textFill>
              </w:rPr>
            </w:pPr>
          </w:p>
        </w:tc>
        <w:tc>
          <w:tcPr>
            <w:tcW w:w="1353" w:type="dxa"/>
            <w:vAlign w:val="center"/>
          </w:tcPr>
          <w:p>
            <w:pPr>
              <w:pStyle w:val="17"/>
              <w:jc w:val="center"/>
              <w:rPr>
                <w:rFonts w:ascii="Verdana"/>
                <w:color w:val="000000" w:themeColor="text1"/>
                <w:sz w:val="22"/>
                <w:szCs w:val="2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pPr>
              <w:pStyle w:val="17"/>
              <w:jc w:val="center"/>
              <w:rPr>
                <w:b/>
                <w:color w:val="000000" w:themeColor="text1"/>
                <w:sz w:val="22"/>
                <w:szCs w:val="22"/>
                <w:lang w:val="en-US"/>
                <w14:textFill>
                  <w14:solidFill>
                    <w14:schemeClr w14:val="tx1"/>
                  </w14:solidFill>
                </w14:textFill>
              </w:rPr>
            </w:pPr>
          </w:p>
        </w:tc>
        <w:tc>
          <w:tcPr>
            <w:tcW w:w="1418" w:type="dxa"/>
            <w:vAlign w:val="center"/>
          </w:tcPr>
          <w:p>
            <w:pPr>
              <w:pStyle w:val="17"/>
              <w:jc w:val="center"/>
              <w:rPr>
                <w:b/>
                <w:color w:val="000000" w:themeColor="text1"/>
                <w:sz w:val="22"/>
                <w:szCs w:val="22"/>
                <w:lang w:val="en-US"/>
                <w14:textFill>
                  <w14:solidFill>
                    <w14:schemeClr w14:val="tx1"/>
                  </w14:solidFill>
                </w14:textFill>
              </w:rPr>
            </w:pPr>
          </w:p>
        </w:tc>
        <w:tc>
          <w:tcPr>
            <w:tcW w:w="1559" w:type="dxa"/>
            <w:vAlign w:val="center"/>
          </w:tcPr>
          <w:p>
            <w:pPr>
              <w:pStyle w:val="17"/>
              <w:jc w:val="center"/>
              <w:rPr>
                <w:b/>
                <w:color w:val="000000" w:themeColor="text1"/>
                <w:sz w:val="22"/>
                <w:szCs w:val="22"/>
                <w:lang w:val="en-US"/>
                <w14:textFill>
                  <w14:solidFill>
                    <w14:schemeClr w14:val="tx1"/>
                  </w14:solidFill>
                </w14:textFill>
              </w:rPr>
            </w:pPr>
          </w:p>
        </w:tc>
        <w:tc>
          <w:tcPr>
            <w:tcW w:w="2126" w:type="dxa"/>
            <w:vAlign w:val="center"/>
          </w:tcPr>
          <w:p>
            <w:pPr>
              <w:pStyle w:val="17"/>
              <w:jc w:val="center"/>
              <w:rPr>
                <w:rFonts w:ascii="Verdana"/>
                <w:color w:val="000000" w:themeColor="text1"/>
                <w:sz w:val="22"/>
                <w:szCs w:val="22"/>
                <w14:textFill>
                  <w14:solidFill>
                    <w14:schemeClr w14:val="tx1"/>
                  </w14:solidFill>
                </w14:textFill>
              </w:rPr>
            </w:pPr>
          </w:p>
        </w:tc>
        <w:tc>
          <w:tcPr>
            <w:tcW w:w="993" w:type="dxa"/>
            <w:vAlign w:val="center"/>
          </w:tcPr>
          <w:p>
            <w:pPr>
              <w:pStyle w:val="17"/>
              <w:jc w:val="center"/>
              <w:rPr>
                <w:rFonts w:ascii="Verdana"/>
                <w:color w:val="000000" w:themeColor="text1"/>
                <w:sz w:val="22"/>
                <w:szCs w:val="22"/>
                <w14:textFill>
                  <w14:solidFill>
                    <w14:schemeClr w14:val="tx1"/>
                  </w14:solidFill>
                </w14:textFill>
              </w:rPr>
            </w:pPr>
          </w:p>
        </w:tc>
        <w:tc>
          <w:tcPr>
            <w:tcW w:w="1353" w:type="dxa"/>
            <w:vAlign w:val="center"/>
          </w:tcPr>
          <w:p>
            <w:pPr>
              <w:pStyle w:val="17"/>
              <w:jc w:val="center"/>
              <w:rPr>
                <w:rFonts w:ascii="Verdana"/>
                <w:color w:val="000000" w:themeColor="text1"/>
                <w:sz w:val="22"/>
                <w:szCs w:val="2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65" w:hRule="atLeast"/>
          <w:jc w:val="center"/>
        </w:trPr>
        <w:tc>
          <w:tcPr>
            <w:tcW w:w="9262" w:type="dxa"/>
            <w:gridSpan w:val="6"/>
          </w:tcPr>
          <w:p>
            <w:pPr>
              <w:pStyle w:val="17"/>
              <w:spacing w:before="116"/>
              <w:ind w:left="0" w:leftChars="0" w:firstLine="0" w:firstLineChars="0"/>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合同总价大写</w:t>
            </w:r>
            <w:r>
              <w:rPr>
                <w:rFonts w:hint="eastAsia"/>
                <w:color w:val="000000" w:themeColor="text1"/>
                <w:sz w:val="22"/>
                <w:szCs w:val="22"/>
                <w:lang w:val="en-US"/>
                <w14:textFill>
                  <w14:solidFill>
                    <w14:schemeClr w14:val="tx1"/>
                  </w14:solidFill>
                </w14:textFill>
              </w:rPr>
              <w:t xml:space="preserve">: </w:t>
            </w:r>
            <w:r>
              <w:rPr>
                <w:rFonts w:hint="eastAsia"/>
                <w:color w:val="000000" w:themeColor="text1"/>
                <w:sz w:val="22"/>
                <w:szCs w:val="22"/>
                <w14:textFill>
                  <w14:solidFill>
                    <w14:schemeClr w14:val="tx1"/>
                  </w14:solidFill>
                </w14:textFill>
              </w:rPr>
              <w:t xml:space="preserve">元整                           </w:t>
            </w:r>
            <w:r>
              <w:rPr>
                <w:color w:val="000000" w:themeColor="text1"/>
                <w:sz w:val="22"/>
                <w:szCs w:val="22"/>
                <w14:textFill>
                  <w14:solidFill>
                    <w14:schemeClr w14:val="tx1"/>
                  </w14:solidFill>
                </w14:textFill>
              </w:rPr>
              <w:t>小写：￥</w:t>
            </w:r>
          </w:p>
        </w:tc>
      </w:tr>
    </w:tbl>
    <w:p>
      <w:pPr>
        <w:ind w:right="1636"/>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金额单位：元</w:t>
      </w:r>
    </w:p>
    <w:p>
      <w:pPr>
        <w:pStyle w:val="3"/>
        <w:spacing w:line="0" w:lineRule="atLeast"/>
        <w:ind w:right="21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注：1、商品型号、数量、配置要求及使用单位地址等详见附件清单</w:t>
      </w:r>
    </w:p>
    <w:p>
      <w:pPr>
        <w:pStyle w:val="3"/>
        <w:spacing w:line="0" w:lineRule="atLeast"/>
        <w:ind w:left="105" w:right="21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 xml:space="preserve">   2、以上合同总价包含货物到达用户并能正常使用所需的一切费用，包括但不限于包装费、运输费、装卸费、保险费、安装调试费、技术服务费、培训费以及保修费、税费等。</w:t>
      </w:r>
    </w:p>
    <w:p>
      <w:pPr>
        <w:pStyle w:val="2"/>
        <w:spacing w:before="8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二、技术资料</w:t>
      </w:r>
    </w:p>
    <w:p>
      <w:pPr>
        <w:pStyle w:val="18"/>
        <w:numPr>
          <w:ilvl w:val="0"/>
          <w:numId w:val="0"/>
        </w:numPr>
        <w:tabs>
          <w:tab w:val="left" w:pos="522"/>
        </w:tabs>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乙方应按招标文件规定的时间向甲方提供使用货物的有关技术资料。</w:t>
      </w:r>
    </w:p>
    <w:p>
      <w:pPr>
        <w:pStyle w:val="18"/>
        <w:numPr>
          <w:ilvl w:val="0"/>
          <w:numId w:val="0"/>
        </w:numPr>
        <w:tabs>
          <w:tab w:val="left" w:pos="522"/>
        </w:tabs>
        <w:ind w:left="351" w:leftChars="0" w:right="101" w:righ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
        <w:spacing w:before="8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三、知识产权</w:t>
      </w:r>
    </w:p>
    <w:p>
      <w:pPr>
        <w:pStyle w:val="3"/>
        <w:spacing w:before="22"/>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乙方应保证所提供的货物或其任何一部分均不会侵犯任何第三方的知识产权。</w:t>
      </w:r>
    </w:p>
    <w:p>
      <w:pPr>
        <w:pStyle w:val="2"/>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四、产权担保</w:t>
      </w:r>
    </w:p>
    <w:p>
      <w:pPr>
        <w:pStyle w:val="3"/>
        <w:spacing w:before="23"/>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乙方保证所交付的货物的所有权完全属于乙方且无任何抵押、查封等产权瑕疵。</w:t>
      </w:r>
    </w:p>
    <w:p>
      <w:pPr>
        <w:pStyle w:val="2"/>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五、转包或分包</w:t>
      </w:r>
    </w:p>
    <w:p>
      <w:pPr>
        <w:pStyle w:val="3"/>
        <w:spacing w:before="22"/>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本合同范围的货物，应由乙方直接供应，不得转让他人供应，否则，甲方有权解除合同，没收质量保证金并追究乙方的违约责任。</w:t>
      </w:r>
    </w:p>
    <w:p>
      <w:pPr>
        <w:pStyle w:val="2"/>
        <w:spacing w:before="107"/>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六、质保期和质保金</w:t>
      </w:r>
    </w:p>
    <w:p>
      <w:pPr>
        <w:pStyle w:val="18"/>
        <w:numPr>
          <w:ilvl w:val="0"/>
          <w:numId w:val="0"/>
        </w:numPr>
        <w:tabs>
          <w:tab w:val="left" w:pos="522"/>
        </w:tabs>
        <w:ind w:left="351" w:leftChars="0"/>
        <w:rPr>
          <w:color w:val="000000" w:themeColor="text1"/>
          <w:sz w:val="22"/>
          <w:szCs w:val="22"/>
          <w14:textFill>
            <w14:solidFill>
              <w14:schemeClr w14:val="tx1"/>
            </w14:solidFill>
          </w14:textFill>
        </w:rPr>
      </w:pPr>
      <w:r>
        <w:rPr>
          <w:rFonts w:hint="eastAsia"/>
          <w:color w:val="000000" w:themeColor="text1"/>
          <w:spacing w:val="-6"/>
          <w:sz w:val="22"/>
          <w:szCs w:val="22"/>
          <w:lang w:val="en-US" w:eastAsia="zh-CN"/>
          <w14:textFill>
            <w14:solidFill>
              <w14:schemeClr w14:val="tx1"/>
            </w14:solidFill>
          </w14:textFill>
        </w:rPr>
        <w:t>1、</w:t>
      </w:r>
      <w:r>
        <w:rPr>
          <w:color w:val="000000" w:themeColor="text1"/>
          <w:spacing w:val="-6"/>
          <w:sz w:val="22"/>
          <w:szCs w:val="22"/>
          <w14:textFill>
            <w14:solidFill>
              <w14:schemeClr w14:val="tx1"/>
            </w14:solidFill>
          </w14:textFill>
        </w:rPr>
        <w:t>质保期为</w:t>
      </w:r>
      <w:r>
        <w:rPr>
          <w:rFonts w:hint="eastAsia"/>
          <w:color w:val="000000" w:themeColor="text1"/>
          <w:spacing w:val="-6"/>
          <w:sz w:val="22"/>
          <w:szCs w:val="22"/>
          <w:u w:val="single"/>
          <w:lang w:val="en-US"/>
          <w14:textFill>
            <w14:solidFill>
              <w14:schemeClr w14:val="tx1"/>
            </w14:solidFill>
          </w14:textFill>
        </w:rPr>
        <w:t xml:space="preserve">    </w:t>
      </w:r>
      <w:r>
        <w:rPr>
          <w:rFonts w:hint="eastAsia"/>
          <w:color w:val="000000" w:themeColor="text1"/>
          <w:spacing w:val="-6"/>
          <w:sz w:val="22"/>
          <w:szCs w:val="22"/>
          <w:lang w:val="en-US"/>
          <w14:textFill>
            <w14:solidFill>
              <w14:schemeClr w14:val="tx1"/>
            </w14:solidFill>
          </w14:textFill>
        </w:rPr>
        <w:t>年</w:t>
      </w:r>
      <w:r>
        <w:rPr>
          <w:color w:val="000000" w:themeColor="text1"/>
          <w:sz w:val="22"/>
          <w:szCs w:val="22"/>
          <w14:textFill>
            <w14:solidFill>
              <w14:schemeClr w14:val="tx1"/>
            </w14:solidFill>
          </w14:textFill>
        </w:rPr>
        <w:t>。（自交货验收合格之日起计）</w:t>
      </w:r>
    </w:p>
    <w:p>
      <w:pPr>
        <w:pStyle w:val="18"/>
        <w:numPr>
          <w:ilvl w:val="0"/>
          <w:numId w:val="0"/>
        </w:numPr>
        <w:tabs>
          <w:tab w:val="left" w:pos="522"/>
          <w:tab w:val="left" w:pos="1347"/>
        </w:tabs>
        <w:spacing w:before="70"/>
        <w:ind w:left="351" w:leftChars="0"/>
        <w:rPr>
          <w:rFonts w:hint="eastAsia" w:ascii="Verdana" w:eastAsia="宋体"/>
          <w:strike/>
          <w:dstrike w:val="0"/>
          <w:color w:val="000000" w:themeColor="text1"/>
          <w:sz w:val="22"/>
          <w:szCs w:val="22"/>
          <w:highlight w:val="none"/>
          <w:lang w:val="en-US" w:eastAsia="zh-CN"/>
          <w14:textFill>
            <w14:solidFill>
              <w14:schemeClr w14:val="tx1"/>
            </w14:solidFill>
          </w14:textFill>
        </w:rPr>
      </w:pPr>
      <w:r>
        <w:rPr>
          <w:rFonts w:hint="eastAsia"/>
          <w:strike w:val="0"/>
          <w:dstrike w:val="0"/>
          <w:color w:val="000000" w:themeColor="text1"/>
          <w:sz w:val="22"/>
          <w:szCs w:val="22"/>
          <w:highlight w:val="none"/>
          <w:lang w:val="en-US" w:eastAsia="zh-CN"/>
          <w14:textFill>
            <w14:solidFill>
              <w14:schemeClr w14:val="tx1"/>
            </w14:solidFill>
          </w14:textFill>
        </w:rPr>
        <w:t>2、</w:t>
      </w:r>
      <w:r>
        <w:rPr>
          <w:strike w:val="0"/>
          <w:dstrike w:val="0"/>
          <w:color w:val="000000" w:themeColor="text1"/>
          <w:sz w:val="22"/>
          <w:szCs w:val="22"/>
          <w:highlight w:val="none"/>
          <w14:textFill>
            <w14:solidFill>
              <w14:schemeClr w14:val="tx1"/>
            </w14:solidFill>
          </w14:textFill>
        </w:rPr>
        <w:t>质保金</w:t>
      </w:r>
      <w:r>
        <w:rPr>
          <w:rFonts w:hint="eastAsia"/>
          <w:strike w:val="0"/>
          <w:dstrike w:val="0"/>
          <w:color w:val="000000" w:themeColor="text1"/>
          <w:sz w:val="22"/>
          <w:szCs w:val="22"/>
          <w:highlight w:val="none"/>
          <w:lang w:eastAsia="zh-CN"/>
          <w14:textFill>
            <w14:solidFill>
              <w14:schemeClr w14:val="tx1"/>
            </w14:solidFill>
          </w14:textFill>
        </w:rPr>
        <w:t>：无</w:t>
      </w:r>
    </w:p>
    <w:p>
      <w:pPr>
        <w:pStyle w:val="2"/>
        <w:spacing w:before="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七、交货期、交货方式及交货地点</w:t>
      </w:r>
    </w:p>
    <w:p>
      <w:pPr>
        <w:pStyle w:val="18"/>
        <w:numPr>
          <w:ilvl w:val="0"/>
          <w:numId w:val="0"/>
        </w:numPr>
        <w:tabs>
          <w:tab w:val="left" w:pos="522"/>
        </w:tabs>
        <w:spacing w:before="22"/>
        <w:ind w:left="351" w:leftChars="0"/>
        <w:rPr>
          <w:color w:val="000000" w:themeColor="text1"/>
          <w:sz w:val="22"/>
          <w:szCs w:val="22"/>
          <w14:textFill>
            <w14:solidFill>
              <w14:schemeClr w14:val="tx1"/>
            </w14:solidFill>
          </w14:textFill>
        </w:rPr>
      </w:pPr>
      <w:r>
        <w:rPr>
          <w:rFonts w:hint="eastAsia"/>
          <w:color w:val="000000" w:themeColor="text1"/>
          <w:spacing w:val="-3"/>
          <w:sz w:val="22"/>
          <w:szCs w:val="22"/>
          <w:lang w:val="en-US" w:eastAsia="zh-CN"/>
          <w14:textFill>
            <w14:solidFill>
              <w14:schemeClr w14:val="tx1"/>
            </w14:solidFill>
          </w14:textFill>
        </w:rPr>
        <w:t>1、</w:t>
      </w:r>
      <w:r>
        <w:rPr>
          <w:color w:val="000000" w:themeColor="text1"/>
          <w:spacing w:val="-3"/>
          <w:sz w:val="22"/>
          <w:szCs w:val="22"/>
          <w14:textFill>
            <w14:solidFill>
              <w14:schemeClr w14:val="tx1"/>
            </w14:solidFill>
          </w14:textFill>
        </w:rPr>
        <w:t>交货期：合同签订后</w:t>
      </w:r>
      <w:r>
        <w:rPr>
          <w:rFonts w:hint="eastAsia"/>
          <w:color w:val="000000" w:themeColor="text1"/>
          <w:spacing w:val="-3"/>
          <w:sz w:val="22"/>
          <w:szCs w:val="22"/>
          <w:u w:val="single"/>
          <w:lang w:val="en-US" w:eastAsia="zh-CN"/>
          <w14:textFill>
            <w14:solidFill>
              <w14:schemeClr w14:val="tx1"/>
            </w14:solidFill>
          </w14:textFill>
        </w:rPr>
        <w:t xml:space="preserve">   </w:t>
      </w:r>
      <w:r>
        <w:rPr>
          <w:color w:val="000000" w:themeColor="text1"/>
          <w:sz w:val="22"/>
          <w:szCs w:val="22"/>
          <w14:textFill>
            <w14:solidFill>
              <w14:schemeClr w14:val="tx1"/>
            </w14:solidFill>
          </w14:textFill>
        </w:rPr>
        <w:t>个工作日</w:t>
      </w:r>
    </w:p>
    <w:p>
      <w:pPr>
        <w:pStyle w:val="18"/>
        <w:numPr>
          <w:ilvl w:val="0"/>
          <w:numId w:val="0"/>
        </w:numPr>
        <w:tabs>
          <w:tab w:val="left" w:pos="522"/>
        </w:tabs>
        <w:ind w:left="351" w:leftChars="0"/>
        <w:rPr>
          <w:color w:val="000000" w:themeColor="text1"/>
          <w:sz w:val="22"/>
          <w:szCs w:val="22"/>
          <w14:textFill>
            <w14:solidFill>
              <w14:schemeClr w14:val="tx1"/>
            </w14:solidFill>
          </w14:textFill>
        </w:rPr>
      </w:pPr>
      <w:r>
        <w:rPr>
          <w:rFonts w:hint="eastAsia"/>
          <w:color w:val="000000" w:themeColor="text1"/>
          <w:spacing w:val="-5"/>
          <w:sz w:val="22"/>
          <w:szCs w:val="22"/>
          <w:lang w:val="en-US" w:eastAsia="zh-CN"/>
          <w14:textFill>
            <w14:solidFill>
              <w14:schemeClr w14:val="tx1"/>
            </w14:solidFill>
          </w14:textFill>
        </w:rPr>
        <w:t>2、</w:t>
      </w:r>
      <w:r>
        <w:rPr>
          <w:color w:val="000000" w:themeColor="text1"/>
          <w:spacing w:val="-5"/>
          <w:sz w:val="22"/>
          <w:szCs w:val="22"/>
          <w14:textFill>
            <w14:solidFill>
              <w14:schemeClr w14:val="tx1"/>
            </w14:solidFill>
          </w14:textFill>
        </w:rPr>
        <w:t>交货方式：</w:t>
      </w:r>
      <w:r>
        <w:rPr>
          <w:rFonts w:hint="eastAsia"/>
          <w:color w:val="000000" w:themeColor="text1"/>
          <w:spacing w:val="-5"/>
          <w:sz w:val="22"/>
          <w:szCs w:val="22"/>
          <w14:textFill>
            <w14:solidFill>
              <w14:schemeClr w14:val="tx1"/>
            </w14:solidFill>
          </w14:textFill>
        </w:rPr>
        <w:t>按甲方指定地点</w:t>
      </w:r>
      <w:r>
        <w:rPr>
          <w:color w:val="000000" w:themeColor="text1"/>
          <w:sz w:val="22"/>
          <w:szCs w:val="22"/>
          <w14:textFill>
            <w14:solidFill>
              <w14:schemeClr w14:val="tx1"/>
            </w14:solidFill>
          </w14:textFill>
        </w:rPr>
        <w:t>送货上门</w:t>
      </w:r>
    </w:p>
    <w:p>
      <w:pPr>
        <w:pStyle w:val="18"/>
        <w:numPr>
          <w:ilvl w:val="0"/>
          <w:numId w:val="0"/>
        </w:numPr>
        <w:ind w:left="351" w:leftChars="0"/>
        <w:rPr>
          <w:color w:val="000000" w:themeColor="text1"/>
          <w:sz w:val="22"/>
          <w:szCs w:val="22"/>
          <w14:textFill>
            <w14:solidFill>
              <w14:schemeClr w14:val="tx1"/>
            </w14:solidFill>
          </w14:textFill>
        </w:rPr>
      </w:pPr>
      <w:r>
        <w:rPr>
          <w:rFonts w:hint="eastAsia"/>
          <w:color w:val="000000" w:themeColor="text1"/>
          <w:spacing w:val="-11"/>
          <w:sz w:val="22"/>
          <w:szCs w:val="22"/>
          <w:lang w:val="en-US" w:eastAsia="zh-CN"/>
          <w14:textFill>
            <w14:solidFill>
              <w14:schemeClr w14:val="tx1"/>
            </w14:solidFill>
          </w14:textFill>
        </w:rPr>
        <w:t>3、</w:t>
      </w:r>
      <w:r>
        <w:rPr>
          <w:color w:val="000000" w:themeColor="text1"/>
          <w:spacing w:val="-11"/>
          <w:sz w:val="22"/>
          <w:szCs w:val="22"/>
          <w14:textFill>
            <w14:solidFill>
              <w14:schemeClr w14:val="tx1"/>
            </w14:solidFill>
          </w14:textFill>
        </w:rPr>
        <w:t>交货地点：</w:t>
      </w:r>
      <w:r>
        <w:rPr>
          <w:color w:val="000000" w:themeColor="text1"/>
          <w:sz w:val="22"/>
          <w:szCs w:val="22"/>
          <w14:textFill>
            <w14:solidFill>
              <w14:schemeClr w14:val="tx1"/>
            </w14:solidFill>
          </w14:textFill>
        </w:rPr>
        <w:t>浙江省温州市鹿城</w:t>
      </w:r>
      <w:r>
        <w:rPr>
          <w:rFonts w:hint="eastAsia"/>
          <w:color w:val="000000" w:themeColor="text1"/>
          <w:sz w:val="22"/>
          <w:szCs w:val="22"/>
          <w14:textFill>
            <w14:solidFill>
              <w14:schemeClr w14:val="tx1"/>
            </w14:solidFill>
          </w14:textFill>
        </w:rPr>
        <w:t>区南汇街道六虹桥路蛟尾路9号</w:t>
      </w:r>
    </w:p>
    <w:p>
      <w:pPr>
        <w:tabs>
          <w:tab w:val="left" w:pos="522"/>
        </w:tabs>
        <w:ind w:left="105" w:right="5480"/>
        <w:rPr>
          <w:b/>
          <w:bCs/>
          <w:color w:val="000000" w:themeColor="text1"/>
          <w:sz w:val="22"/>
          <w:szCs w:val="22"/>
          <w14:textFill>
            <w14:solidFill>
              <w14:schemeClr w14:val="tx1"/>
            </w14:solidFill>
          </w14:textFill>
        </w:rPr>
      </w:pPr>
      <w:r>
        <w:rPr>
          <w:b/>
          <w:color w:val="000000" w:themeColor="text1"/>
          <w:spacing w:val="10"/>
          <w:sz w:val="22"/>
          <w:szCs w:val="22"/>
          <w14:textFill>
            <w14:solidFill>
              <w14:schemeClr w14:val="tx1"/>
            </w14:solidFill>
          </w14:textFill>
        </w:rPr>
        <w:t>八、</w:t>
      </w:r>
      <w:r>
        <w:rPr>
          <w:rFonts w:hint="eastAsia"/>
          <w:b/>
          <w:bCs/>
          <w:color w:val="000000" w:themeColor="text1"/>
          <w:sz w:val="22"/>
          <w:szCs w:val="22"/>
          <w14:textFill>
            <w14:solidFill>
              <w14:schemeClr w14:val="tx1"/>
            </w14:solidFill>
          </w14:textFill>
        </w:rPr>
        <w:t>货款支付</w:t>
      </w:r>
    </w:p>
    <w:p>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甲方按以下第</w:t>
      </w:r>
      <w:r>
        <w:rPr>
          <w:rFonts w:hint="eastAsia"/>
          <w:color w:val="000000" w:themeColor="text1"/>
          <w:sz w:val="22"/>
          <w:szCs w:val="22"/>
          <w:u w:val="single"/>
          <w:lang w:val="en-US" w:eastAsia="zh-CN"/>
          <w14:textFill>
            <w14:solidFill>
              <w14:schemeClr w14:val="tx1"/>
            </w14:solidFill>
          </w14:textFill>
        </w:rPr>
        <w:t xml:space="preserve">   </w:t>
      </w:r>
      <w:r>
        <w:rPr>
          <w:rFonts w:hint="eastAsia"/>
          <w:color w:val="000000" w:themeColor="text1"/>
          <w:sz w:val="22"/>
          <w:szCs w:val="22"/>
          <w14:textFill>
            <w14:solidFill>
              <w14:schemeClr w14:val="tx1"/>
            </w14:solidFill>
          </w14:textFill>
        </w:rPr>
        <w:t>种方式支付乙方合同价款。</w:t>
      </w:r>
    </w:p>
    <w:p>
      <w:pPr>
        <w:pStyle w:val="3"/>
        <w:spacing w:before="21"/>
        <w:ind w:left="351"/>
        <w:rPr>
          <w:color w:val="000000" w:themeColor="text1"/>
          <w:sz w:val="22"/>
          <w:szCs w:val="22"/>
          <w14:textFill>
            <w14:solidFill>
              <w14:schemeClr w14:val="tx1"/>
            </w14:solidFill>
          </w14:textFill>
        </w:rPr>
      </w:pPr>
      <w:r>
        <w:rPr>
          <w:rFonts w:ascii="Verdana" w:eastAsia="Verdana"/>
          <w:color w:val="000000" w:themeColor="text1"/>
          <w:sz w:val="22"/>
          <w:szCs w:val="22"/>
          <w14:textFill>
            <w14:solidFill>
              <w14:schemeClr w14:val="tx1"/>
            </w14:solidFill>
          </w14:textFill>
        </w:rPr>
        <w:t>1</w:t>
      </w:r>
      <w:r>
        <w:rPr>
          <w:color w:val="000000" w:themeColor="text1"/>
          <w:sz w:val="22"/>
          <w:szCs w:val="22"/>
          <w14:textFill>
            <w14:solidFill>
              <w14:schemeClr w14:val="tx1"/>
            </w14:solidFill>
          </w14:textFill>
        </w:rPr>
        <w:t>、一次性支付：</w:t>
      </w:r>
    </w:p>
    <w:p>
      <w:pPr>
        <w:pStyle w:val="3"/>
        <w:tabs>
          <w:tab w:val="left" w:pos="4877"/>
        </w:tabs>
        <w:spacing w:before="71"/>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本合同项下的全部货物安装调试完毕并经最终验收合格后</w:t>
      </w:r>
      <w:r>
        <w:rPr>
          <w:rFonts w:hint="eastAsia" w:ascii="宋体" w:hAnsi="宋体" w:eastAsia="宋体" w:cs="宋体"/>
          <w:color w:val="000000" w:themeColor="text1"/>
          <w:kern w:val="0"/>
          <w:sz w:val="22"/>
          <w:szCs w:val="22"/>
          <w:u w:val="single" w:color="4068E0"/>
          <w:lang w:val="en-US" w:eastAsia="zh-CN" w:bidi="zh-CN"/>
          <w14:textFill>
            <w14:solidFill>
              <w14:schemeClr w14:val="tx1"/>
            </w14:solidFill>
          </w14:textFill>
        </w:rPr>
        <w:t xml:space="preserve"> 3 </w:t>
      </w:r>
      <w:r>
        <w:rPr>
          <w:rFonts w:hint="default"/>
          <w:color w:val="000000" w:themeColor="text1"/>
          <w:sz w:val="22"/>
          <w:szCs w:val="22"/>
          <w:lang w:val="zh-CN"/>
          <w14:textFill>
            <w14:solidFill>
              <w14:schemeClr w14:val="tx1"/>
            </w14:solidFill>
          </w14:textFill>
        </w:rPr>
        <w:t>个月</w:t>
      </w:r>
      <w:r>
        <w:rPr>
          <w:color w:val="000000" w:themeColor="text1"/>
          <w:sz w:val="22"/>
          <w:szCs w:val="22"/>
          <w:lang w:val="zh-CN"/>
          <w14:textFill>
            <w14:solidFill>
              <w14:schemeClr w14:val="tx1"/>
            </w14:solidFill>
          </w14:textFill>
        </w:rPr>
        <w:t>内</w:t>
      </w:r>
      <w:r>
        <w:rPr>
          <w:color w:val="000000" w:themeColor="text1"/>
          <w:sz w:val="22"/>
          <w:szCs w:val="22"/>
          <w14:textFill>
            <w14:solidFill>
              <w14:schemeClr w14:val="tx1"/>
            </w14:solidFill>
          </w14:textFill>
        </w:rPr>
        <w:t>，甲方向乙方支付全部合同价款。</w:t>
      </w:r>
    </w:p>
    <w:p>
      <w:pPr>
        <w:pStyle w:val="3"/>
        <w:spacing w:before="69"/>
        <w:ind w:left="351"/>
        <w:rPr>
          <w:color w:val="000000" w:themeColor="text1"/>
          <w:sz w:val="22"/>
          <w:szCs w:val="22"/>
          <w14:textFill>
            <w14:solidFill>
              <w14:schemeClr w14:val="tx1"/>
            </w14:solidFill>
          </w14:textFill>
        </w:rPr>
      </w:pPr>
      <w:r>
        <w:rPr>
          <w:rFonts w:ascii="Verdana" w:eastAsia="Verdana"/>
          <w:color w:val="000000" w:themeColor="text1"/>
          <w:sz w:val="22"/>
          <w:szCs w:val="22"/>
          <w14:textFill>
            <w14:solidFill>
              <w14:schemeClr w14:val="tx1"/>
            </w14:solidFill>
          </w14:textFill>
        </w:rPr>
        <w:t>2</w:t>
      </w:r>
      <w:r>
        <w:rPr>
          <w:color w:val="000000" w:themeColor="text1"/>
          <w:sz w:val="22"/>
          <w:szCs w:val="22"/>
          <w14:textFill>
            <w14:solidFill>
              <w14:schemeClr w14:val="tx1"/>
            </w14:solidFill>
          </w14:textFill>
        </w:rPr>
        <w:t>、分期支付：</w:t>
      </w:r>
    </w:p>
    <w:p>
      <w:pPr>
        <w:pStyle w:val="18"/>
        <w:numPr>
          <w:ilvl w:val="0"/>
          <w:numId w:val="0"/>
        </w:numPr>
        <w:tabs>
          <w:tab w:val="left" w:pos="797"/>
          <w:tab w:val="left" w:pos="2800"/>
          <w:tab w:val="left" w:pos="5814"/>
          <w:tab w:val="left" w:pos="7603"/>
          <w:tab w:val="left" w:pos="8599"/>
        </w:tabs>
        <w:spacing w:before="69"/>
        <w:ind w:left="351"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w:t>
      </w:r>
      <w:r>
        <w:rPr>
          <w:rFonts w:hint="eastAsia"/>
          <w:color w:val="000000" w:themeColor="text1"/>
          <w:sz w:val="22"/>
          <w:szCs w:val="22"/>
          <w:lang w:val="en-US" w:eastAsia="zh-CN"/>
          <w14:textFill>
            <w14:solidFill>
              <w14:schemeClr w14:val="tx1"/>
            </w14:solidFill>
          </w14:textFill>
        </w:rPr>
        <w:t>1</w:t>
      </w:r>
      <w:r>
        <w:rPr>
          <w:rFonts w:hint="eastAsia"/>
          <w:color w:val="000000" w:themeColor="text1"/>
          <w:sz w:val="22"/>
          <w:szCs w:val="22"/>
          <w:lang w:eastAsia="zh-CN"/>
          <w14:textFill>
            <w14:solidFill>
              <w14:schemeClr w14:val="tx1"/>
            </w14:solidFill>
          </w14:textFill>
        </w:rPr>
        <w:t>）</w:t>
      </w:r>
      <w:r>
        <w:rPr>
          <w:color w:val="000000" w:themeColor="text1"/>
          <w:sz w:val="22"/>
          <w:szCs w:val="22"/>
          <w14:textFill>
            <w14:solidFill>
              <w14:schemeClr w14:val="tx1"/>
            </w14:solidFill>
          </w14:textFill>
        </w:rPr>
        <w:t>甲方应于本合同生效后</w:t>
      </w:r>
      <w:r>
        <w:rPr>
          <w:color w:val="000000" w:themeColor="text1"/>
          <w:sz w:val="22"/>
          <w:szCs w:val="22"/>
          <w:u w:val="single" w:color="4068E0"/>
          <w14:textFill>
            <w14:solidFill>
              <w14:schemeClr w14:val="tx1"/>
            </w14:solidFill>
          </w14:textFill>
        </w:rPr>
        <w:t xml:space="preserve"> </w:t>
      </w:r>
      <w:r>
        <w:rPr>
          <w:rFonts w:hint="eastAsia"/>
          <w:color w:val="000000" w:themeColor="text1"/>
          <w:sz w:val="22"/>
          <w:szCs w:val="22"/>
          <w:u w:val="single" w:color="4068E0"/>
          <w:lang w:val="en-US"/>
          <w14:textFill>
            <w14:solidFill>
              <w14:schemeClr w14:val="tx1"/>
            </w14:solidFill>
          </w14:textFill>
        </w:rPr>
        <w:t>/</w:t>
      </w:r>
      <w:r>
        <w:rPr>
          <w:color w:val="000000" w:themeColor="text1"/>
          <w:sz w:val="22"/>
          <w:szCs w:val="22"/>
          <w14:textFill>
            <w14:solidFill>
              <w14:schemeClr w14:val="tx1"/>
            </w14:solidFill>
          </w14:textFill>
        </w:rPr>
        <w:t>个工作日内向乙方支付合同总价款的</w:t>
      </w:r>
      <w:r>
        <w:rPr>
          <w:color w:val="000000" w:themeColor="text1"/>
          <w:sz w:val="22"/>
          <w:szCs w:val="22"/>
          <w:u w:val="single" w:color="4068E0"/>
          <w14:textFill>
            <w14:solidFill>
              <w14:schemeClr w14:val="tx1"/>
            </w14:solidFill>
          </w14:textFill>
        </w:rPr>
        <w:t xml:space="preserve"> </w:t>
      </w:r>
      <w:r>
        <w:rPr>
          <w:rFonts w:hint="eastAsia"/>
          <w:color w:val="000000" w:themeColor="text1"/>
          <w:sz w:val="22"/>
          <w:szCs w:val="22"/>
          <w:u w:val="single" w:color="4068E0"/>
          <w:lang w:val="en-US"/>
          <w14:textFill>
            <w14:solidFill>
              <w14:schemeClr w14:val="tx1"/>
            </w14:solidFill>
          </w14:textFill>
        </w:rPr>
        <w:t>/</w:t>
      </w:r>
      <w:r>
        <w:rPr>
          <w:rFonts w:ascii="Verdana" w:hAnsi="Verdana" w:eastAsia="Verdana"/>
          <w:color w:val="000000" w:themeColor="text1"/>
          <w:sz w:val="22"/>
          <w:szCs w:val="22"/>
          <w14:textFill>
            <w14:solidFill>
              <w14:schemeClr w14:val="tx1"/>
            </w14:solidFill>
          </w14:textFill>
        </w:rPr>
        <w:t>%</w:t>
      </w:r>
      <w:r>
        <w:rPr>
          <w:color w:val="000000" w:themeColor="text1"/>
          <w:sz w:val="22"/>
          <w:szCs w:val="22"/>
          <w14:textFill>
            <w14:solidFill>
              <w14:schemeClr w14:val="tx1"/>
            </w14:solidFill>
          </w14:textFill>
        </w:rPr>
        <w:t>作为预付款，计</w:t>
      </w:r>
      <w:r>
        <w:rPr>
          <w:rFonts w:ascii="Verdana" w:hAnsi="Verdana" w:eastAsia="Verdana"/>
          <w:color w:val="000000" w:themeColor="text1"/>
          <w:sz w:val="22"/>
          <w:szCs w:val="22"/>
          <w14:textFill>
            <w14:solidFill>
              <w14:schemeClr w14:val="tx1"/>
            </w14:solidFill>
          </w14:textFill>
        </w:rPr>
        <w:t>¥</w:t>
      </w:r>
      <w:r>
        <w:rPr>
          <w:rFonts w:ascii="Verdana" w:hAnsi="Verdana" w:eastAsia="Verdana"/>
          <w:color w:val="000000" w:themeColor="text1"/>
          <w:sz w:val="22"/>
          <w:szCs w:val="22"/>
          <w:u w:val="single" w:color="4068E0"/>
          <w14:textFill>
            <w14:solidFill>
              <w14:schemeClr w14:val="tx1"/>
            </w14:solidFill>
          </w14:textFill>
        </w:rPr>
        <w:t xml:space="preserve"> </w:t>
      </w:r>
      <w:r>
        <w:rPr>
          <w:rFonts w:hint="eastAsia" w:ascii="Verdana" w:hAnsi="Verdana"/>
          <w:color w:val="000000" w:themeColor="text1"/>
          <w:sz w:val="22"/>
          <w:szCs w:val="22"/>
          <w:u w:val="single" w:color="4068E0"/>
          <w:lang w:val="en-US"/>
          <w14:textFill>
            <w14:solidFill>
              <w14:schemeClr w14:val="tx1"/>
            </w14:solidFill>
          </w14:textFill>
        </w:rPr>
        <w:t>/</w:t>
      </w:r>
      <w:r>
        <w:rPr>
          <w:color w:val="000000" w:themeColor="text1"/>
          <w:sz w:val="22"/>
          <w:szCs w:val="22"/>
          <w14:textFill>
            <w14:solidFill>
              <w14:schemeClr w14:val="tx1"/>
            </w14:solidFill>
          </w14:textFill>
        </w:rPr>
        <w:t>元（大写</w:t>
      </w:r>
      <w:r>
        <w:rPr>
          <w:color w:val="000000" w:themeColor="text1"/>
          <w:sz w:val="22"/>
          <w:szCs w:val="22"/>
          <w:u w:val="single" w:color="4068E0"/>
          <w14:textFill>
            <w14:solidFill>
              <w14:schemeClr w14:val="tx1"/>
            </w14:solidFill>
          </w14:textFill>
        </w:rPr>
        <w:t xml:space="preserve"> </w:t>
      </w:r>
      <w:r>
        <w:rPr>
          <w:rFonts w:hint="eastAsia"/>
          <w:color w:val="000000" w:themeColor="text1"/>
          <w:sz w:val="22"/>
          <w:szCs w:val="22"/>
          <w:u w:val="single" w:color="4068E0"/>
          <w:lang w:val="en-US"/>
          <w14:textFill>
            <w14:solidFill>
              <w14:schemeClr w14:val="tx1"/>
            </w14:solidFill>
          </w14:textFill>
        </w:rPr>
        <w:t>/</w:t>
      </w:r>
      <w:r>
        <w:rPr>
          <w:color w:val="000000" w:themeColor="text1"/>
          <w:sz w:val="22"/>
          <w:szCs w:val="22"/>
          <w14:textFill>
            <w14:solidFill>
              <w14:schemeClr w14:val="tx1"/>
            </w14:solidFill>
          </w14:textFill>
        </w:rPr>
        <w:t>元整）；</w:t>
      </w:r>
    </w:p>
    <w:p>
      <w:pPr>
        <w:pStyle w:val="18"/>
        <w:numPr>
          <w:ilvl w:val="0"/>
          <w:numId w:val="0"/>
        </w:numPr>
        <w:tabs>
          <w:tab w:val="left" w:pos="797"/>
          <w:tab w:val="left" w:pos="2632"/>
          <w:tab w:val="left" w:pos="6150"/>
          <w:tab w:val="left" w:pos="7098"/>
          <w:tab w:val="left" w:pos="8095"/>
        </w:tabs>
        <w:spacing w:before="118"/>
        <w:ind w:left="351"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w:t>
      </w:r>
      <w:r>
        <w:rPr>
          <w:rFonts w:hint="eastAsia"/>
          <w:color w:val="000000" w:themeColor="text1"/>
          <w:sz w:val="22"/>
          <w:szCs w:val="22"/>
          <w:lang w:val="en-US" w:eastAsia="zh-CN"/>
          <w14:textFill>
            <w14:solidFill>
              <w14:schemeClr w14:val="tx1"/>
            </w14:solidFill>
          </w14:textFill>
        </w:rPr>
        <w:t>2</w:t>
      </w:r>
      <w:r>
        <w:rPr>
          <w:rFonts w:hint="eastAsia"/>
          <w:color w:val="000000" w:themeColor="text1"/>
          <w:sz w:val="22"/>
          <w:szCs w:val="22"/>
          <w:lang w:eastAsia="zh-CN"/>
          <w14:textFill>
            <w14:solidFill>
              <w14:schemeClr w14:val="tx1"/>
            </w14:solidFill>
          </w14:textFill>
        </w:rPr>
        <w:t>）</w:t>
      </w:r>
      <w:r>
        <w:rPr>
          <w:color w:val="000000" w:themeColor="text1"/>
          <w:sz w:val="22"/>
          <w:szCs w:val="22"/>
          <w14:textFill>
            <w14:solidFill>
              <w14:schemeClr w14:val="tx1"/>
            </w14:solidFill>
          </w14:textFill>
        </w:rPr>
        <w:t>全部货物验收合格后</w:t>
      </w:r>
      <w:r>
        <w:rPr>
          <w:color w:val="000000" w:themeColor="text1"/>
          <w:sz w:val="22"/>
          <w:szCs w:val="22"/>
          <w:u w:val="single" w:color="4068E0"/>
          <w14:textFill>
            <w14:solidFill>
              <w14:schemeClr w14:val="tx1"/>
            </w14:solidFill>
          </w14:textFill>
        </w:rPr>
        <w:t xml:space="preserve"> </w:t>
      </w:r>
      <w:r>
        <w:rPr>
          <w:rFonts w:hint="eastAsia"/>
          <w:color w:val="000000" w:themeColor="text1"/>
          <w:sz w:val="22"/>
          <w:szCs w:val="22"/>
          <w:u w:val="single" w:color="4068E0"/>
          <w:lang w:val="en-US"/>
          <w14:textFill>
            <w14:solidFill>
              <w14:schemeClr w14:val="tx1"/>
            </w14:solidFill>
          </w14:textFill>
        </w:rPr>
        <w:t>/</w:t>
      </w:r>
      <w:r>
        <w:rPr>
          <w:color w:val="000000" w:themeColor="text1"/>
          <w:sz w:val="22"/>
          <w:szCs w:val="22"/>
          <w14:textFill>
            <w14:solidFill>
              <w14:schemeClr w14:val="tx1"/>
            </w14:solidFill>
          </w14:textFill>
        </w:rPr>
        <w:t>个工作日内，甲方向乙方支付合同总价款的</w:t>
      </w:r>
      <w:r>
        <w:rPr>
          <w:color w:val="000000" w:themeColor="text1"/>
          <w:sz w:val="22"/>
          <w:szCs w:val="22"/>
          <w:u w:val="single" w:color="4068E0"/>
          <w14:textFill>
            <w14:solidFill>
              <w14:schemeClr w14:val="tx1"/>
            </w14:solidFill>
          </w14:textFill>
        </w:rPr>
        <w:t xml:space="preserve"> </w:t>
      </w:r>
      <w:r>
        <w:rPr>
          <w:rFonts w:hint="eastAsia"/>
          <w:color w:val="000000" w:themeColor="text1"/>
          <w:sz w:val="22"/>
          <w:szCs w:val="22"/>
          <w:u w:val="single" w:color="4068E0"/>
          <w:lang w:val="en-US"/>
          <w14:textFill>
            <w14:solidFill>
              <w14:schemeClr w14:val="tx1"/>
            </w14:solidFill>
          </w14:textFill>
        </w:rPr>
        <w:t>/</w:t>
      </w:r>
      <w:r>
        <w:rPr>
          <w:rFonts w:ascii="Verdana" w:hAnsi="Verdana" w:eastAsia="Verdana"/>
          <w:color w:val="000000" w:themeColor="text1"/>
          <w:sz w:val="22"/>
          <w:szCs w:val="22"/>
          <w14:textFill>
            <w14:solidFill>
              <w14:schemeClr w14:val="tx1"/>
            </w14:solidFill>
          </w14:textFill>
        </w:rPr>
        <w:t>%</w:t>
      </w:r>
      <w:r>
        <w:rPr>
          <w:color w:val="000000" w:themeColor="text1"/>
          <w:sz w:val="22"/>
          <w:szCs w:val="22"/>
          <w14:textFill>
            <w14:solidFill>
              <w14:schemeClr w14:val="tx1"/>
            </w14:solidFill>
          </w14:textFill>
        </w:rPr>
        <w:t>，计</w:t>
      </w:r>
      <w:r>
        <w:rPr>
          <w:rFonts w:ascii="Verdana" w:hAnsi="Verdana" w:eastAsia="Verdana"/>
          <w:color w:val="000000" w:themeColor="text1"/>
          <w:sz w:val="22"/>
          <w:szCs w:val="22"/>
          <w14:textFill>
            <w14:solidFill>
              <w14:schemeClr w14:val="tx1"/>
            </w14:solidFill>
          </w14:textFill>
        </w:rPr>
        <w:t>¥</w:t>
      </w:r>
      <w:r>
        <w:rPr>
          <w:rFonts w:ascii="Verdana" w:hAnsi="Verdana" w:eastAsia="Verdana"/>
          <w:color w:val="000000" w:themeColor="text1"/>
          <w:sz w:val="22"/>
          <w:szCs w:val="22"/>
          <w:u w:val="single" w:color="4068E0"/>
          <w14:textFill>
            <w14:solidFill>
              <w14:schemeClr w14:val="tx1"/>
            </w14:solidFill>
          </w14:textFill>
        </w:rPr>
        <w:t xml:space="preserve"> </w:t>
      </w:r>
      <w:r>
        <w:rPr>
          <w:rFonts w:hint="eastAsia" w:ascii="Verdana" w:hAnsi="Verdana"/>
          <w:color w:val="000000" w:themeColor="text1"/>
          <w:sz w:val="22"/>
          <w:szCs w:val="22"/>
          <w:u w:val="single" w:color="4068E0"/>
          <w:lang w:val="en-US"/>
          <w14:textFill>
            <w14:solidFill>
              <w14:schemeClr w14:val="tx1"/>
            </w14:solidFill>
          </w14:textFill>
        </w:rPr>
        <w:t>/</w:t>
      </w:r>
      <w:r>
        <w:rPr>
          <w:color w:val="000000" w:themeColor="text1"/>
          <w:sz w:val="22"/>
          <w:szCs w:val="22"/>
          <w14:textFill>
            <w14:solidFill>
              <w14:schemeClr w14:val="tx1"/>
            </w14:solidFill>
          </w14:textFill>
        </w:rPr>
        <w:t>元（大写</w:t>
      </w:r>
      <w:r>
        <w:rPr>
          <w:color w:val="000000" w:themeColor="text1"/>
          <w:sz w:val="22"/>
          <w:szCs w:val="22"/>
          <w:u w:val="single" w:color="4068E0"/>
          <w14:textFill>
            <w14:solidFill>
              <w14:schemeClr w14:val="tx1"/>
            </w14:solidFill>
          </w14:textFill>
        </w:rPr>
        <w:t xml:space="preserve"> </w:t>
      </w:r>
      <w:r>
        <w:rPr>
          <w:rFonts w:hint="eastAsia"/>
          <w:color w:val="000000" w:themeColor="text1"/>
          <w:sz w:val="22"/>
          <w:szCs w:val="22"/>
          <w:u w:val="single" w:color="4068E0"/>
          <w:lang w:val="en-US"/>
          <w14:textFill>
            <w14:solidFill>
              <w14:schemeClr w14:val="tx1"/>
            </w14:solidFill>
          </w14:textFill>
        </w:rPr>
        <w:t>/</w:t>
      </w:r>
      <w:r>
        <w:rPr>
          <w:color w:val="000000" w:themeColor="text1"/>
          <w:sz w:val="22"/>
          <w:szCs w:val="22"/>
          <w14:textFill>
            <w14:solidFill>
              <w14:schemeClr w14:val="tx1"/>
            </w14:solidFill>
          </w14:textFill>
        </w:rPr>
        <w:t>元整）。</w:t>
      </w:r>
    </w:p>
    <w:p>
      <w:pPr>
        <w:pStyle w:val="18"/>
        <w:numPr>
          <w:ilvl w:val="0"/>
          <w:numId w:val="0"/>
        </w:numPr>
        <w:tabs>
          <w:tab w:val="left" w:pos="797"/>
          <w:tab w:val="left" w:pos="2632"/>
          <w:tab w:val="left" w:pos="6150"/>
          <w:tab w:val="left" w:pos="7098"/>
          <w:tab w:val="left" w:pos="8095"/>
        </w:tabs>
        <w:spacing w:before="118"/>
        <w:ind w:left="351" w:leftChars="0"/>
        <w:rPr>
          <w:rFonts w:hint="eastAsia" w:eastAsia="新宋体"/>
          <w:color w:val="000000" w:themeColor="text1"/>
          <w:sz w:val="22"/>
          <w:szCs w:val="22"/>
          <w:highlight w:val="none"/>
          <w:lang w:val="en-US" w:eastAsia="zh-CN"/>
          <w14:textFill>
            <w14:solidFill>
              <w14:schemeClr w14:val="tx1"/>
            </w14:solidFill>
          </w14:textFill>
        </w:rPr>
      </w:pPr>
      <w:r>
        <w:rPr>
          <w:rFonts w:hint="eastAsia" w:ascii="Verdana" w:hAnsi="宋体" w:eastAsia="Verdana" w:cs="宋体"/>
          <w:color w:val="000000" w:themeColor="text1"/>
          <w:kern w:val="0"/>
          <w:sz w:val="22"/>
          <w:szCs w:val="22"/>
          <w:highlight w:val="none"/>
          <w:lang w:val="en-US" w:eastAsia="zh-CN" w:bidi="zh-CN"/>
          <w14:textFill>
            <w14:solidFill>
              <w14:schemeClr w14:val="tx1"/>
            </w14:solidFill>
          </w14:textFill>
        </w:rPr>
        <w:t>3、</w:t>
      </w:r>
      <w:r>
        <w:rPr>
          <w:rFonts w:hint="eastAsia" w:ascii="Verdana" w:eastAsia="宋体" w:cs="宋体"/>
          <w:color w:val="000000" w:themeColor="text1"/>
          <w:kern w:val="0"/>
          <w:sz w:val="22"/>
          <w:szCs w:val="22"/>
          <w:highlight w:val="none"/>
          <w:lang w:val="en-US" w:eastAsia="zh-CN" w:bidi="zh-CN"/>
          <w14:textFill>
            <w14:solidFill>
              <w14:schemeClr w14:val="tx1"/>
            </w14:solidFill>
          </w14:textFill>
        </w:rPr>
        <w:t>若</w:t>
      </w:r>
      <w:r>
        <w:rPr>
          <w:rFonts w:hint="default" w:ascii="Times New Roman" w:hAnsi="Times New Roman" w:eastAsia="新宋体" w:cs="Times New Roman"/>
          <w:color w:val="auto"/>
          <w:sz w:val="22"/>
          <w:szCs w:val="22"/>
          <w:highlight w:val="none"/>
        </w:rPr>
        <w:t>乙方为中小企业：在合同签订生效以及具备实施条件后，乙方须向甲方提交与预付款等额的“预付款保函”</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合同预付款为合同金额的</w:t>
      </w:r>
      <w:r>
        <w:rPr>
          <w:rFonts w:hint="eastAsia" w:ascii="Times New Roman" w:hAnsi="Times New Roman" w:eastAsia="新宋体" w:cs="Times New Roman"/>
          <w:color w:val="auto"/>
          <w:sz w:val="22"/>
          <w:szCs w:val="22"/>
          <w:highlight w:val="none"/>
          <w:lang w:val="en-US" w:eastAsia="zh-CN"/>
        </w:rPr>
        <w:t>30</w:t>
      </w:r>
      <w:r>
        <w:rPr>
          <w:rFonts w:hint="default" w:ascii="Times New Roman" w:hAnsi="Times New Roman" w:eastAsia="新宋体" w:cs="Times New Roman"/>
          <w:color w:val="auto"/>
          <w:sz w:val="22"/>
          <w:szCs w:val="22"/>
          <w:highlight w:val="none"/>
        </w:rPr>
        <w:t>%</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。甲方收到“预付款保函”后7个工作日内支付预付款；</w:t>
      </w:r>
      <w:r>
        <w:rPr>
          <w:rFonts w:hint="eastAsia" w:ascii="Times New Roman" w:hAnsi="Times New Roman" w:eastAsia="新宋体" w:cs="Times New Roman"/>
          <w:color w:val="auto"/>
          <w:sz w:val="22"/>
          <w:szCs w:val="22"/>
          <w:highlight w:val="none"/>
          <w:lang w:eastAsia="zh-CN"/>
        </w:rPr>
        <w:t>待</w:t>
      </w:r>
      <w:r>
        <w:rPr>
          <w:rFonts w:hint="default" w:ascii="Times New Roman" w:hAnsi="Times New Roman" w:eastAsia="新宋体" w:cs="Times New Roman"/>
          <w:color w:val="auto"/>
          <w:sz w:val="22"/>
          <w:szCs w:val="22"/>
          <w:highlight w:val="none"/>
        </w:rPr>
        <w:t>（每批）货物验收合格后，乙方开具合同货物</w:t>
      </w:r>
      <w:r>
        <w:rPr>
          <w:rFonts w:hint="eastAsia" w:ascii="Times New Roman" w:hAnsi="Times New Roman" w:eastAsia="新宋体" w:cs="Times New Roman"/>
          <w:color w:val="auto"/>
          <w:sz w:val="22"/>
          <w:szCs w:val="22"/>
          <w:highlight w:val="none"/>
          <w:lang w:eastAsia="zh-CN"/>
        </w:rPr>
        <w:t>全额</w:t>
      </w:r>
      <w:r>
        <w:rPr>
          <w:rFonts w:hint="default" w:ascii="Times New Roman" w:hAnsi="Times New Roman" w:eastAsia="新宋体" w:cs="Times New Roman"/>
          <w:color w:val="auto"/>
          <w:sz w:val="22"/>
          <w:szCs w:val="22"/>
          <w:highlight w:val="none"/>
        </w:rPr>
        <w:t>发票，甲方在收到</w:t>
      </w:r>
      <w:r>
        <w:rPr>
          <w:rFonts w:hint="eastAsia" w:ascii="Times New Roman" w:hAnsi="Times New Roman" w:eastAsia="新宋体" w:cs="Times New Roman"/>
          <w:color w:val="auto"/>
          <w:sz w:val="22"/>
          <w:szCs w:val="22"/>
          <w:highlight w:val="none"/>
          <w:lang w:eastAsia="zh-CN"/>
        </w:rPr>
        <w:t>全额</w:t>
      </w:r>
      <w:r>
        <w:rPr>
          <w:rFonts w:hint="default" w:ascii="Times New Roman" w:hAnsi="Times New Roman" w:eastAsia="新宋体" w:cs="Times New Roman"/>
          <w:color w:val="auto"/>
          <w:sz w:val="22"/>
          <w:szCs w:val="22"/>
          <w:highlight w:val="none"/>
        </w:rPr>
        <w:t>发票后</w:t>
      </w:r>
      <w:r>
        <w:rPr>
          <w:rFonts w:hint="eastAsia" w:ascii="Times New Roman" w:hAnsi="Times New Roman" w:eastAsia="新宋体" w:cs="Times New Roman"/>
          <w:color w:val="auto"/>
          <w:sz w:val="22"/>
          <w:szCs w:val="22"/>
          <w:highlight w:val="none"/>
          <w:lang w:val="en-US" w:eastAsia="zh-CN"/>
        </w:rPr>
        <w:t>3个月内</w:t>
      </w:r>
      <w:r>
        <w:rPr>
          <w:rFonts w:hint="default" w:ascii="Times New Roman" w:hAnsi="Times New Roman" w:eastAsia="新宋体" w:cs="Times New Roman"/>
          <w:color w:val="auto"/>
          <w:sz w:val="22"/>
          <w:szCs w:val="22"/>
          <w:highlight w:val="none"/>
        </w:rPr>
        <w:t>支付至</w:t>
      </w:r>
      <w:r>
        <w:rPr>
          <w:rFonts w:hint="eastAsia" w:ascii="Times New Roman" w:hAnsi="Times New Roman" w:eastAsia="新宋体" w:cs="Times New Roman"/>
          <w:color w:val="auto"/>
          <w:sz w:val="22"/>
          <w:szCs w:val="22"/>
          <w:highlight w:val="none"/>
          <w:lang w:val="en-US" w:eastAsia="zh-CN"/>
        </w:rPr>
        <w:t>100</w:t>
      </w:r>
      <w:r>
        <w:rPr>
          <w:rFonts w:hint="default" w:ascii="Times New Roman" w:hAnsi="Times New Roman" w:eastAsia="新宋体" w:cs="Times New Roman"/>
          <w:color w:val="auto"/>
          <w:sz w:val="22"/>
          <w:szCs w:val="22"/>
          <w:highlight w:val="none"/>
        </w:rPr>
        <w:t>%合同货款</w:t>
      </w:r>
      <w:r>
        <w:rPr>
          <w:rFonts w:hint="eastAsia" w:ascii="Times New Roman" w:hAnsi="Times New Roman" w:eastAsia="新宋体" w:cs="Times New Roman"/>
          <w:color w:val="auto"/>
          <w:sz w:val="22"/>
          <w:szCs w:val="22"/>
          <w:highlight w:val="none"/>
          <w:lang w:eastAsia="zh-CN"/>
        </w:rPr>
        <w:t>。</w:t>
      </w:r>
    </w:p>
    <w:p>
      <w:pPr>
        <w:pStyle w:val="2"/>
        <w:spacing w:before="16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九、税费</w:t>
      </w:r>
    </w:p>
    <w:p>
      <w:pPr>
        <w:pStyle w:val="3"/>
        <w:spacing w:before="23"/>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本合同执行中相关的一切税费均由乙方负担。</w:t>
      </w:r>
    </w:p>
    <w:p>
      <w:pPr>
        <w:pStyle w:val="2"/>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十、质量保证及售后服务</w:t>
      </w:r>
    </w:p>
    <w:p>
      <w:pPr>
        <w:pStyle w:val="18"/>
        <w:numPr>
          <w:ilvl w:val="0"/>
          <w:numId w:val="0"/>
        </w:numPr>
        <w:tabs>
          <w:tab w:val="left" w:pos="522"/>
        </w:tabs>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乙方保证本合同中所供应的商品是最新生产的符合国家技术规格和质量标准的出厂原装</w:t>
      </w:r>
      <w:r>
        <w:rPr>
          <w:rFonts w:hint="eastAsia"/>
          <w:color w:val="000000" w:themeColor="text1"/>
          <w:sz w:val="22"/>
          <w:szCs w:val="22"/>
          <w14:textFill>
            <w14:solidFill>
              <w14:schemeClr w14:val="tx1"/>
            </w14:solidFill>
          </w14:textFill>
        </w:rPr>
        <w:t>的</w:t>
      </w:r>
      <w:r>
        <w:rPr>
          <w:color w:val="000000" w:themeColor="text1"/>
          <w:sz w:val="22"/>
          <w:szCs w:val="22"/>
          <w14:textFill>
            <w14:solidFill>
              <w14:schemeClr w14:val="tx1"/>
            </w14:solidFill>
          </w14:textFill>
        </w:rPr>
        <w:t>合格产品。如发生所供商品与合同不符，甲方</w:t>
      </w:r>
      <w:r>
        <w:rPr>
          <w:rFonts w:hint="eastAsia"/>
          <w:color w:val="000000" w:themeColor="text1"/>
          <w:sz w:val="22"/>
          <w:szCs w:val="22"/>
          <w14:textFill>
            <w14:solidFill>
              <w14:schemeClr w14:val="tx1"/>
            </w14:solidFill>
          </w14:textFill>
        </w:rPr>
        <w:t>（采购单位）有权拒收或退货，由此产生的一切责任和后果由乙方承担。</w:t>
      </w:r>
    </w:p>
    <w:p>
      <w:pPr>
        <w:pStyle w:val="18"/>
        <w:numPr>
          <w:ilvl w:val="0"/>
          <w:numId w:val="0"/>
        </w:numPr>
        <w:tabs>
          <w:tab w:val="left" w:pos="522"/>
        </w:tabs>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乙方提供的货物在质保期内因货物本身的质量问题发生故障，乙方应负责免费更换。对达不到技术要求者，根据实际情况，经双方协商，可按以下办法处理：</w:t>
      </w:r>
    </w:p>
    <w:p>
      <w:pPr>
        <w:pStyle w:val="18"/>
        <w:numPr>
          <w:ilvl w:val="0"/>
          <w:numId w:val="0"/>
        </w:numPr>
        <w:tabs>
          <w:tab w:val="left" w:pos="797"/>
        </w:tabs>
        <w:spacing w:before="0"/>
        <w:ind w:left="351"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w:t>
      </w:r>
      <w:r>
        <w:rPr>
          <w:rFonts w:hint="eastAsia"/>
          <w:color w:val="000000" w:themeColor="text1"/>
          <w:sz w:val="22"/>
          <w:szCs w:val="22"/>
          <w:lang w:val="en-US" w:eastAsia="zh-CN"/>
          <w14:textFill>
            <w14:solidFill>
              <w14:schemeClr w14:val="tx1"/>
            </w14:solidFill>
          </w14:textFill>
        </w:rPr>
        <w:t>1</w:t>
      </w:r>
      <w:r>
        <w:rPr>
          <w:rFonts w:hint="eastAsia"/>
          <w:color w:val="000000" w:themeColor="text1"/>
          <w:sz w:val="22"/>
          <w:szCs w:val="22"/>
          <w:lang w:eastAsia="zh-CN"/>
          <w14:textFill>
            <w14:solidFill>
              <w14:schemeClr w14:val="tx1"/>
            </w14:solidFill>
          </w14:textFill>
        </w:rPr>
        <w:t>）</w:t>
      </w:r>
      <w:r>
        <w:rPr>
          <w:color w:val="000000" w:themeColor="text1"/>
          <w:sz w:val="22"/>
          <w:szCs w:val="22"/>
          <w14:textFill>
            <w14:solidFill>
              <w14:schemeClr w14:val="tx1"/>
            </w14:solidFill>
          </w14:textFill>
        </w:rPr>
        <w:t>更换：由乙方承担所发生的全部费用。</w:t>
      </w:r>
    </w:p>
    <w:p>
      <w:pPr>
        <w:pStyle w:val="18"/>
        <w:numPr>
          <w:ilvl w:val="0"/>
          <w:numId w:val="0"/>
        </w:numPr>
        <w:tabs>
          <w:tab w:val="left" w:pos="797"/>
        </w:tabs>
        <w:spacing w:before="22"/>
        <w:ind w:left="351"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w:t>
      </w:r>
      <w:r>
        <w:rPr>
          <w:rFonts w:hint="eastAsia"/>
          <w:color w:val="000000" w:themeColor="text1"/>
          <w:sz w:val="22"/>
          <w:szCs w:val="22"/>
          <w:lang w:val="en-US" w:eastAsia="zh-CN"/>
          <w14:textFill>
            <w14:solidFill>
              <w14:schemeClr w14:val="tx1"/>
            </w14:solidFill>
          </w14:textFill>
        </w:rPr>
        <w:t>2</w:t>
      </w:r>
      <w:r>
        <w:rPr>
          <w:rFonts w:hint="eastAsia"/>
          <w:color w:val="000000" w:themeColor="text1"/>
          <w:sz w:val="22"/>
          <w:szCs w:val="22"/>
          <w:lang w:eastAsia="zh-CN"/>
          <w14:textFill>
            <w14:solidFill>
              <w14:schemeClr w14:val="tx1"/>
            </w14:solidFill>
          </w14:textFill>
        </w:rPr>
        <w:t>）</w:t>
      </w:r>
      <w:r>
        <w:rPr>
          <w:color w:val="000000" w:themeColor="text1"/>
          <w:sz w:val="22"/>
          <w:szCs w:val="22"/>
          <w14:textFill>
            <w14:solidFill>
              <w14:schemeClr w14:val="tx1"/>
            </w14:solidFill>
          </w14:textFill>
        </w:rPr>
        <w:t>贬值处理：由甲乙双方合议定价。</w:t>
      </w:r>
    </w:p>
    <w:p>
      <w:pPr>
        <w:pStyle w:val="18"/>
        <w:numPr>
          <w:ilvl w:val="0"/>
          <w:numId w:val="0"/>
        </w:numPr>
        <w:tabs>
          <w:tab w:val="left" w:pos="797"/>
        </w:tabs>
        <w:ind w:left="351"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w:t>
      </w:r>
      <w:r>
        <w:rPr>
          <w:rFonts w:hint="eastAsia"/>
          <w:color w:val="000000" w:themeColor="text1"/>
          <w:sz w:val="22"/>
          <w:szCs w:val="22"/>
          <w:lang w:val="en-US" w:eastAsia="zh-CN"/>
          <w14:textFill>
            <w14:solidFill>
              <w14:schemeClr w14:val="tx1"/>
            </w14:solidFill>
          </w14:textFill>
        </w:rPr>
        <w:t>3</w:t>
      </w:r>
      <w:r>
        <w:rPr>
          <w:rFonts w:hint="eastAsia"/>
          <w:color w:val="000000" w:themeColor="text1"/>
          <w:sz w:val="22"/>
          <w:szCs w:val="22"/>
          <w:lang w:eastAsia="zh-CN"/>
          <w14:textFill>
            <w14:solidFill>
              <w14:schemeClr w14:val="tx1"/>
            </w14:solidFill>
          </w14:textFill>
        </w:rPr>
        <w:t>）</w:t>
      </w:r>
      <w:r>
        <w:rPr>
          <w:color w:val="000000" w:themeColor="text1"/>
          <w:sz w:val="22"/>
          <w:szCs w:val="22"/>
          <w14:textFill>
            <w14:solidFill>
              <w14:schemeClr w14:val="tx1"/>
            </w14:solidFill>
          </w14:textFill>
        </w:rPr>
        <w:t>退货处理：乙方应退还甲方支付的合同款，同时应承担该货物的直接费用（运输、保险、检验、货款利息及银行手续费等）。</w:t>
      </w:r>
    </w:p>
    <w:p>
      <w:pPr>
        <w:pStyle w:val="18"/>
        <w:numPr>
          <w:ilvl w:val="0"/>
          <w:numId w:val="0"/>
        </w:numPr>
        <w:tabs>
          <w:tab w:val="left" w:pos="522"/>
        </w:tabs>
        <w:spacing w:before="22"/>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w:t>
      </w:r>
      <w:r>
        <w:rPr>
          <w:color w:val="000000" w:themeColor="text1"/>
          <w:sz w:val="22"/>
          <w:szCs w:val="22"/>
          <w14:textFill>
            <w14:solidFill>
              <w14:schemeClr w14:val="tx1"/>
            </w14:solidFill>
          </w14:textFill>
        </w:rPr>
        <w:t>在质保期内，乙方应对货物出现的质量及安全问题负责处理解决并承担一切费用。</w:t>
      </w:r>
    </w:p>
    <w:p>
      <w:pPr>
        <w:pStyle w:val="18"/>
        <w:numPr>
          <w:ilvl w:val="0"/>
          <w:numId w:val="0"/>
        </w:numPr>
        <w:tabs>
          <w:tab w:val="left" w:pos="522"/>
        </w:tabs>
        <w:spacing w:before="22"/>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4、</w:t>
      </w:r>
      <w:r>
        <w:rPr>
          <w:rFonts w:hint="eastAsia"/>
          <w:color w:val="000000" w:themeColor="text1"/>
          <w:sz w:val="22"/>
          <w:szCs w:val="22"/>
          <w14:textFill>
            <w14:solidFill>
              <w14:schemeClr w14:val="tx1"/>
            </w14:solidFill>
          </w14:textFill>
        </w:rPr>
        <w:t>上述的货物在质保期内免费保修，因人为因素出现的故障不在免费保修范围内。超过保修期的机器设备，终生维修，维修时只收部件成本费。乙方应当在甲方通知维修后2日内到达货物所在地进行维修。</w:t>
      </w:r>
    </w:p>
    <w:p>
      <w:pPr>
        <w:pStyle w:val="2"/>
        <w:spacing w:before="8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十一、调试和验收</w:t>
      </w:r>
    </w:p>
    <w:p>
      <w:pPr>
        <w:pStyle w:val="18"/>
        <w:numPr>
          <w:ilvl w:val="0"/>
          <w:numId w:val="0"/>
        </w:numPr>
        <w:tabs>
          <w:tab w:val="left" w:pos="522"/>
        </w:tabs>
        <w:spacing w:before="106"/>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甲方对乙方提交的货物依据招标文件上的技术规格要求和国家有关质量标准进行现场验收。货到后，甲方需在</w:t>
      </w:r>
      <w:r>
        <w:rPr>
          <w:rFonts w:hint="eastAsia"/>
          <w:color w:val="000000" w:themeColor="text1"/>
          <w:sz w:val="22"/>
          <w:szCs w:val="22"/>
          <w14:textFill>
            <w14:solidFill>
              <w14:schemeClr w14:val="tx1"/>
            </w14:solidFill>
          </w14:textFill>
        </w:rPr>
        <w:t>二十</w:t>
      </w:r>
      <w:r>
        <w:rPr>
          <w:color w:val="000000" w:themeColor="text1"/>
          <w:sz w:val="22"/>
          <w:szCs w:val="22"/>
          <w14:textFill>
            <w14:solidFill>
              <w14:schemeClr w14:val="tx1"/>
            </w14:solidFill>
          </w14:textFill>
        </w:rPr>
        <w:t>个工作日内验收</w:t>
      </w:r>
      <w:r>
        <w:rPr>
          <w:rFonts w:hint="eastAsia"/>
          <w:color w:val="000000" w:themeColor="text1"/>
          <w:sz w:val="22"/>
          <w:szCs w:val="22"/>
          <w14:textFill>
            <w14:solidFill>
              <w14:schemeClr w14:val="tx1"/>
            </w14:solidFill>
          </w14:textFill>
        </w:rPr>
        <w:t>（质量等隐蔽瑕疵除外）。</w:t>
      </w:r>
    </w:p>
    <w:p>
      <w:pPr>
        <w:pStyle w:val="18"/>
        <w:numPr>
          <w:ilvl w:val="0"/>
          <w:numId w:val="0"/>
        </w:numPr>
        <w:tabs>
          <w:tab w:val="left" w:pos="522"/>
        </w:tabs>
        <w:ind w:left="351" w:leftChars="0" w:right="101" w:righ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乙方交货前应对产品作出全面检查和对验收文件进行整理，并列出清单，作为甲方收货验收和使用的技术条件依据，检验的结果应随货物交甲方。</w:t>
      </w:r>
    </w:p>
    <w:p>
      <w:pPr>
        <w:pStyle w:val="18"/>
        <w:numPr>
          <w:ilvl w:val="0"/>
          <w:numId w:val="0"/>
        </w:numPr>
        <w:tabs>
          <w:tab w:val="left" w:pos="522"/>
        </w:tabs>
        <w:spacing w:before="0"/>
        <w:ind w:left="351" w:leftChars="0" w:right="101" w:righ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w:t>
      </w:r>
      <w:r>
        <w:rPr>
          <w:color w:val="000000" w:themeColor="text1"/>
          <w:sz w:val="22"/>
          <w:szCs w:val="22"/>
          <w14:textFill>
            <w14:solidFill>
              <w14:schemeClr w14:val="tx1"/>
            </w14:solidFill>
          </w14:textFill>
        </w:rPr>
        <w:t>甲方对乙方提供的货物在使用前进行调试时，乙方需负责安装并培训甲方的使用操作人员，并协助甲方一起调试，直到符合技术要求，甲方才做最终验收。</w:t>
      </w:r>
    </w:p>
    <w:p>
      <w:pPr>
        <w:pStyle w:val="18"/>
        <w:numPr>
          <w:ilvl w:val="0"/>
          <w:numId w:val="0"/>
        </w:numPr>
        <w:tabs>
          <w:tab w:val="left" w:pos="522"/>
        </w:tabs>
        <w:spacing w:before="0"/>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4、</w:t>
      </w:r>
      <w:r>
        <w:rPr>
          <w:color w:val="000000" w:themeColor="text1"/>
          <w:sz w:val="22"/>
          <w:szCs w:val="22"/>
          <w14:textFill>
            <w14:solidFill>
              <w14:schemeClr w14:val="tx1"/>
            </w14:solidFill>
          </w14:textFill>
        </w:rPr>
        <w:t>对技术复杂的货物，甲方应请国家认可的专业检测机构参与验收，并由其出具质量检测报告。</w:t>
      </w:r>
    </w:p>
    <w:p>
      <w:pPr>
        <w:pStyle w:val="18"/>
        <w:numPr>
          <w:ilvl w:val="0"/>
          <w:numId w:val="0"/>
        </w:numPr>
        <w:tabs>
          <w:tab w:val="left" w:pos="522"/>
        </w:tabs>
        <w:spacing w:before="22"/>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5、</w:t>
      </w:r>
      <w:r>
        <w:rPr>
          <w:color w:val="000000" w:themeColor="text1"/>
          <w:sz w:val="22"/>
          <w:szCs w:val="22"/>
          <w14:textFill>
            <w14:solidFill>
              <w14:schemeClr w14:val="tx1"/>
            </w14:solidFill>
          </w14:textFill>
        </w:rPr>
        <w:t>验收时乙方必须在现场，验收完毕后作出验收结果报告；验收费用由乙方负责。</w:t>
      </w:r>
    </w:p>
    <w:p>
      <w:pPr>
        <w:pStyle w:val="2"/>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十二、货物包装</w:t>
      </w:r>
    </w:p>
    <w:p>
      <w:pPr>
        <w:pStyle w:val="18"/>
        <w:numPr>
          <w:ilvl w:val="0"/>
          <w:numId w:val="0"/>
        </w:numPr>
        <w:tabs>
          <w:tab w:val="left" w:pos="522"/>
        </w:tabs>
        <w:spacing w:before="22"/>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乙方应在货物发运前对其进行满足运输距离、防潮、防震、防锈和防破损装卸等要求包装，以保证货物安全运达甲方指定地点。</w:t>
      </w:r>
    </w:p>
    <w:p>
      <w:pPr>
        <w:pStyle w:val="18"/>
        <w:numPr>
          <w:ilvl w:val="0"/>
          <w:numId w:val="0"/>
        </w:numPr>
        <w:tabs>
          <w:tab w:val="left" w:pos="522"/>
        </w:tabs>
        <w:spacing w:before="22"/>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rFonts w:hint="eastAsia"/>
          <w:color w:val="000000" w:themeColor="text1"/>
          <w:sz w:val="22"/>
          <w:szCs w:val="22"/>
          <w14:textFill>
            <w14:solidFill>
              <w14:schemeClr w14:val="tx1"/>
            </w14:solidFill>
          </w14:textFill>
        </w:rPr>
        <w:t>使用说明书、质量检验证明书、随配附件和工具以及清单一并附于货物内。</w:t>
      </w:r>
    </w:p>
    <w:p>
      <w:pPr>
        <w:pStyle w:val="18"/>
        <w:tabs>
          <w:tab w:val="left" w:pos="522"/>
        </w:tabs>
        <w:ind w:left="0" w:right="4471" w:firstLine="0"/>
        <w:rPr>
          <w:b/>
          <w:color w:val="000000" w:themeColor="text1"/>
          <w:sz w:val="22"/>
          <w:szCs w:val="22"/>
          <w14:textFill>
            <w14:solidFill>
              <w14:schemeClr w14:val="tx1"/>
            </w14:solidFill>
          </w14:textFill>
        </w:rPr>
      </w:pPr>
      <w:r>
        <w:rPr>
          <w:rFonts w:hint="eastAsia"/>
          <w:b/>
          <w:color w:val="000000" w:themeColor="text1"/>
          <w:spacing w:val="10"/>
          <w:sz w:val="22"/>
          <w:szCs w:val="22"/>
          <w14:textFill>
            <w14:solidFill>
              <w14:schemeClr w14:val="tx1"/>
            </w14:solidFill>
          </w14:textFill>
        </w:rPr>
        <w:t>十</w:t>
      </w:r>
      <w:r>
        <w:rPr>
          <w:b/>
          <w:color w:val="000000" w:themeColor="text1"/>
          <w:spacing w:val="10"/>
          <w:sz w:val="22"/>
          <w:szCs w:val="22"/>
          <w14:textFill>
            <w14:solidFill>
              <w14:schemeClr w14:val="tx1"/>
            </w14:solidFill>
          </w14:textFill>
        </w:rPr>
        <w:t>三、违约责任</w:t>
      </w:r>
    </w:p>
    <w:p>
      <w:pPr>
        <w:pStyle w:val="18"/>
        <w:numPr>
          <w:ilvl w:val="0"/>
          <w:numId w:val="0"/>
        </w:numPr>
        <w:tabs>
          <w:tab w:val="left" w:pos="522"/>
        </w:tabs>
        <w:spacing w:before="0"/>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甲方无正当理由拒收货物的，甲方向乙方偿付拒收货款总值的</w:t>
      </w:r>
      <w:r>
        <w:rPr>
          <w:color w:val="000000" w:themeColor="text1"/>
          <w:spacing w:val="3"/>
          <w:sz w:val="22"/>
          <w:szCs w:val="22"/>
          <w:u w:val="single" w:color="4068E0"/>
          <w14:textFill>
            <w14:solidFill>
              <w14:schemeClr w14:val="tx1"/>
            </w14:solidFill>
          </w14:textFill>
        </w:rPr>
        <w:t xml:space="preserve"> 百分之五</w:t>
      </w:r>
      <w:r>
        <w:rPr>
          <w:color w:val="000000" w:themeColor="text1"/>
          <w:spacing w:val="45"/>
          <w:sz w:val="22"/>
          <w:szCs w:val="22"/>
          <w14:textFill>
            <w14:solidFill>
              <w14:schemeClr w14:val="tx1"/>
            </w14:solidFill>
          </w14:textFill>
        </w:rPr>
        <w:t xml:space="preserve"> </w:t>
      </w:r>
      <w:r>
        <w:rPr>
          <w:color w:val="000000" w:themeColor="text1"/>
          <w:sz w:val="22"/>
          <w:szCs w:val="22"/>
          <w14:textFill>
            <w14:solidFill>
              <w14:schemeClr w14:val="tx1"/>
            </w14:solidFill>
          </w14:textFill>
        </w:rPr>
        <w:t>违约金。</w:t>
      </w:r>
    </w:p>
    <w:p>
      <w:pPr>
        <w:pStyle w:val="18"/>
        <w:numPr>
          <w:ilvl w:val="0"/>
          <w:numId w:val="0"/>
        </w:numPr>
        <w:tabs>
          <w:tab w:val="left" w:pos="522"/>
        </w:tabs>
        <w:spacing w:before="117"/>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甲方无故逾期验收和办理货款支付手续的</w:t>
      </w:r>
      <w:r>
        <w:rPr>
          <w:rFonts w:ascii="Verdana" w:eastAsia="Verdana"/>
          <w:color w:val="000000" w:themeColor="text1"/>
          <w:sz w:val="22"/>
          <w:szCs w:val="22"/>
          <w14:textFill>
            <w14:solidFill>
              <w14:schemeClr w14:val="tx1"/>
            </w14:solidFill>
          </w14:textFill>
        </w:rPr>
        <w:t>,</w:t>
      </w:r>
      <w:r>
        <w:rPr>
          <w:color w:val="000000" w:themeColor="text1"/>
          <w:sz w:val="22"/>
          <w:szCs w:val="22"/>
          <w14:textFill>
            <w14:solidFill>
              <w14:schemeClr w14:val="tx1"/>
            </w14:solidFill>
          </w14:textFill>
        </w:rPr>
        <w:t>甲方应按逾期付款总额每日</w:t>
      </w:r>
      <w:r>
        <w:rPr>
          <w:color w:val="000000" w:themeColor="text1"/>
          <w:spacing w:val="2"/>
          <w:sz w:val="22"/>
          <w:szCs w:val="22"/>
          <w:u w:val="single" w:color="4068E0"/>
          <w14:textFill>
            <w14:solidFill>
              <w14:schemeClr w14:val="tx1"/>
            </w14:solidFill>
          </w14:textFill>
        </w:rPr>
        <w:t xml:space="preserve"> 万分之五</w:t>
      </w:r>
      <w:r>
        <w:rPr>
          <w:color w:val="000000" w:themeColor="text1"/>
          <w:spacing w:val="43"/>
          <w:sz w:val="22"/>
          <w:szCs w:val="22"/>
          <w14:textFill>
            <w14:solidFill>
              <w14:schemeClr w14:val="tx1"/>
            </w14:solidFill>
          </w14:textFill>
        </w:rPr>
        <w:t xml:space="preserve"> </w:t>
      </w:r>
      <w:r>
        <w:rPr>
          <w:color w:val="000000" w:themeColor="text1"/>
          <w:sz w:val="22"/>
          <w:szCs w:val="22"/>
          <w14:textFill>
            <w14:solidFill>
              <w14:schemeClr w14:val="tx1"/>
            </w14:solidFill>
          </w14:textFill>
        </w:rPr>
        <w:t>向乙方支付违约金。</w:t>
      </w:r>
    </w:p>
    <w:p>
      <w:pPr>
        <w:pStyle w:val="18"/>
        <w:numPr>
          <w:ilvl w:val="0"/>
          <w:numId w:val="0"/>
        </w:numPr>
        <w:tabs>
          <w:tab w:val="left" w:pos="522"/>
        </w:tabs>
        <w:spacing w:before="118"/>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w:t>
      </w:r>
      <w:r>
        <w:rPr>
          <w:color w:val="000000" w:themeColor="text1"/>
          <w:sz w:val="22"/>
          <w:szCs w:val="22"/>
          <w14:textFill>
            <w14:solidFill>
              <w14:schemeClr w14:val="tx1"/>
            </w14:solidFill>
          </w14:textFill>
        </w:rPr>
        <w:t>乙方逾期交付货物的，乙方应按逾期交货总额每日</w:t>
      </w:r>
      <w:r>
        <w:rPr>
          <w:color w:val="000000" w:themeColor="text1"/>
          <w:spacing w:val="15"/>
          <w:sz w:val="22"/>
          <w:szCs w:val="22"/>
          <w:u w:val="single" w:color="4068E0"/>
          <w14:textFill>
            <w14:solidFill>
              <w14:schemeClr w14:val="tx1"/>
            </w14:solidFill>
          </w14:textFill>
        </w:rPr>
        <w:t xml:space="preserve"> 千分之六</w:t>
      </w:r>
      <w:r>
        <w:rPr>
          <w:color w:val="000000" w:themeColor="text1"/>
          <w:spacing w:val="29"/>
          <w:sz w:val="22"/>
          <w:szCs w:val="22"/>
          <w14:textFill>
            <w14:solidFill>
              <w14:schemeClr w14:val="tx1"/>
            </w14:solidFill>
          </w14:textFill>
        </w:rPr>
        <w:t xml:space="preserve"> </w:t>
      </w:r>
      <w:r>
        <w:rPr>
          <w:color w:val="000000" w:themeColor="text1"/>
          <w:sz w:val="22"/>
          <w:szCs w:val="22"/>
          <w14:textFill>
            <w14:solidFill>
              <w14:schemeClr w14:val="tx1"/>
            </w14:solidFill>
          </w14:textFill>
        </w:rPr>
        <w:t>向甲方支付违约金，由甲方从待付货款中扣除。逾期超过约定日期</w:t>
      </w:r>
      <w:r>
        <w:rPr>
          <w:rFonts w:hint="eastAsia"/>
          <w:color w:val="000000" w:themeColor="text1"/>
          <w:sz w:val="22"/>
          <w:szCs w:val="22"/>
          <w14:textFill>
            <w14:solidFill>
              <w14:schemeClr w14:val="tx1"/>
            </w14:solidFill>
          </w14:textFill>
        </w:rPr>
        <w:t xml:space="preserve">   10 个工作日不能交货的，甲方可解除本合同。乙方因逾期交货或因其他违约行为导致甲方解除合同的，乙方应向甲方支付合同总值</w:t>
      </w:r>
      <w:r>
        <w:rPr>
          <w:rFonts w:hint="eastAsia"/>
          <w:color w:val="000000" w:themeColor="text1"/>
          <w:sz w:val="22"/>
          <w:szCs w:val="22"/>
          <w:u w:val="single"/>
          <w14:textFill>
            <w14:solidFill>
              <w14:schemeClr w14:val="tx1"/>
            </w14:solidFill>
          </w14:textFill>
        </w:rPr>
        <w:t xml:space="preserve"> 5</w:t>
      </w:r>
      <w:r>
        <w:rPr>
          <w:rFonts w:hint="eastAsia"/>
          <w:color w:val="000000" w:themeColor="text1"/>
          <w:sz w:val="22"/>
          <w:szCs w:val="22"/>
          <w14:textFill>
            <w14:solidFill>
              <w14:schemeClr w14:val="tx1"/>
            </w14:solidFill>
          </w14:textFill>
        </w:rPr>
        <w:t>%的违约金，如造成甲方损失超过违约金的，超出部分由乙方继续承担赔偿责任。</w:t>
      </w:r>
    </w:p>
    <w:p>
      <w:pPr>
        <w:pStyle w:val="18"/>
        <w:numPr>
          <w:ilvl w:val="0"/>
          <w:numId w:val="0"/>
        </w:numPr>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4、</w:t>
      </w:r>
      <w:r>
        <w:rPr>
          <w:rFonts w:hint="eastAsia"/>
          <w:color w:val="000000" w:themeColor="text1"/>
          <w:sz w:val="22"/>
          <w:szCs w:val="22"/>
          <w14:textFill>
            <w14:solidFill>
              <w14:schemeClr w14:val="tx1"/>
            </w14:solidFill>
          </w14:textFill>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
        <w:spacing w:before="8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十四、不可抗力事件处理</w:t>
      </w:r>
    </w:p>
    <w:p>
      <w:pPr>
        <w:pStyle w:val="18"/>
        <w:numPr>
          <w:ilvl w:val="0"/>
          <w:numId w:val="0"/>
        </w:numPr>
        <w:tabs>
          <w:tab w:val="left" w:pos="522"/>
        </w:tabs>
        <w:spacing w:before="106"/>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在合同有效期内，任何一方因不可抗力事件导致不能履行合同，</w:t>
      </w:r>
      <w:r>
        <w:rPr>
          <w:rFonts w:hint="eastAsia"/>
          <w:color w:val="000000" w:themeColor="text1"/>
          <w:sz w:val="22"/>
          <w:szCs w:val="22"/>
          <w14:textFill>
            <w14:solidFill>
              <w14:schemeClr w14:val="tx1"/>
            </w14:solidFill>
          </w14:textFill>
        </w:rPr>
        <w:t>双方协商后，</w:t>
      </w:r>
      <w:r>
        <w:rPr>
          <w:color w:val="000000" w:themeColor="text1"/>
          <w:sz w:val="22"/>
          <w:szCs w:val="22"/>
          <w14:textFill>
            <w14:solidFill>
              <w14:schemeClr w14:val="tx1"/>
            </w14:solidFill>
          </w14:textFill>
        </w:rPr>
        <w:t>则合同履行期可延长，其延长期与不可抗力影响期相同。</w:t>
      </w:r>
    </w:p>
    <w:p>
      <w:pPr>
        <w:pStyle w:val="18"/>
        <w:numPr>
          <w:ilvl w:val="0"/>
          <w:numId w:val="0"/>
        </w:numPr>
        <w:tabs>
          <w:tab w:val="left" w:pos="522"/>
        </w:tabs>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不可抗力事件发生后，应立即通知对方，并寄送有关权威机构出具的证明。</w:t>
      </w:r>
    </w:p>
    <w:p>
      <w:pPr>
        <w:pStyle w:val="18"/>
        <w:numPr>
          <w:ilvl w:val="0"/>
          <w:numId w:val="0"/>
        </w:numPr>
        <w:tabs>
          <w:tab w:val="left" w:pos="522"/>
        </w:tabs>
        <w:spacing w:before="22"/>
        <w:ind w:left="351" w:leftChars="0"/>
        <w:rPr>
          <w:color w:val="000000" w:themeColor="text1"/>
          <w:sz w:val="22"/>
          <w:szCs w:val="22"/>
          <w14:textFill>
            <w14:solidFill>
              <w14:schemeClr w14:val="tx1"/>
            </w14:solidFill>
          </w14:textFill>
        </w:rPr>
      </w:pPr>
      <w:r>
        <w:rPr>
          <w:rFonts w:hint="eastAsia"/>
          <w:color w:val="000000" w:themeColor="text1"/>
          <w:spacing w:val="-3"/>
          <w:sz w:val="22"/>
          <w:szCs w:val="22"/>
          <w:lang w:val="en-US" w:eastAsia="zh-CN"/>
          <w14:textFill>
            <w14:solidFill>
              <w14:schemeClr w14:val="tx1"/>
            </w14:solidFill>
          </w14:textFill>
        </w:rPr>
        <w:t>3、</w:t>
      </w:r>
      <w:r>
        <w:rPr>
          <w:color w:val="000000" w:themeColor="text1"/>
          <w:spacing w:val="-3"/>
          <w:sz w:val="22"/>
          <w:szCs w:val="22"/>
          <w14:textFill>
            <w14:solidFill>
              <w14:schemeClr w14:val="tx1"/>
            </w14:solidFill>
          </w14:textFill>
        </w:rPr>
        <w:t xml:space="preserve">不可抗力事件延续 </w:t>
      </w:r>
      <w:r>
        <w:rPr>
          <w:color w:val="000000" w:themeColor="text1"/>
          <w:sz w:val="22"/>
          <w:szCs w:val="22"/>
          <w14:textFill>
            <w14:solidFill>
              <w14:schemeClr w14:val="tx1"/>
            </w14:solidFill>
          </w14:textFill>
        </w:rPr>
        <w:t>120天以上，双方</w:t>
      </w:r>
      <w:r>
        <w:rPr>
          <w:rFonts w:hint="eastAsia"/>
          <w:color w:val="000000" w:themeColor="text1"/>
          <w:sz w:val="22"/>
          <w:szCs w:val="22"/>
          <w14:textFill>
            <w14:solidFill>
              <w14:schemeClr w14:val="tx1"/>
            </w14:solidFill>
          </w14:textFill>
        </w:rPr>
        <w:t>可以</w:t>
      </w:r>
      <w:r>
        <w:rPr>
          <w:color w:val="000000" w:themeColor="text1"/>
          <w:sz w:val="22"/>
          <w:szCs w:val="22"/>
          <w14:textFill>
            <w14:solidFill>
              <w14:schemeClr w14:val="tx1"/>
            </w14:solidFill>
          </w14:textFill>
        </w:rPr>
        <w:t>通过友好协商，确定是否继续履行合同。</w:t>
      </w:r>
    </w:p>
    <w:p>
      <w:pPr>
        <w:pStyle w:val="2"/>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十五、诉讼</w:t>
      </w:r>
    </w:p>
    <w:p>
      <w:pPr>
        <w:pStyle w:val="3"/>
        <w:spacing w:before="22"/>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双方在执行合同中所发生的一切争议，应通过协商解决。如协商不成，可向甲方所在地法院起诉。</w:t>
      </w:r>
    </w:p>
    <w:p>
      <w:pPr>
        <w:pStyle w:val="2"/>
        <w:spacing w:before="107"/>
        <w:rPr>
          <w:sz w:val="22"/>
          <w:szCs w:val="22"/>
        </w:rPr>
      </w:pPr>
      <w:r>
        <w:rPr>
          <w:sz w:val="22"/>
          <w:szCs w:val="22"/>
        </w:rPr>
        <w:t>十六、合同生效及其它</w:t>
      </w:r>
    </w:p>
    <w:p>
      <w:pPr>
        <w:pStyle w:val="18"/>
        <w:numPr>
          <w:ilvl w:val="0"/>
          <w:numId w:val="0"/>
        </w:numPr>
        <w:tabs>
          <w:tab w:val="left" w:pos="522"/>
        </w:tabs>
        <w:ind w:left="351" w:leftChars="0"/>
        <w:rPr>
          <w:sz w:val="22"/>
          <w:szCs w:val="22"/>
        </w:rPr>
      </w:pPr>
      <w:r>
        <w:rPr>
          <w:rFonts w:hint="eastAsia"/>
          <w:sz w:val="22"/>
          <w:szCs w:val="22"/>
          <w:lang w:val="en-US" w:eastAsia="zh-CN"/>
        </w:rPr>
        <w:t>1、</w:t>
      </w:r>
      <w:r>
        <w:rPr>
          <w:sz w:val="22"/>
          <w:szCs w:val="22"/>
        </w:rPr>
        <w:t>本合同经甲、乙双方签字并加盖单位公章后生效。</w:t>
      </w:r>
    </w:p>
    <w:p>
      <w:pPr>
        <w:pStyle w:val="18"/>
        <w:numPr>
          <w:ilvl w:val="0"/>
          <w:numId w:val="0"/>
        </w:numPr>
        <w:tabs>
          <w:tab w:val="left" w:pos="522"/>
        </w:tabs>
        <w:ind w:left="351" w:leftChars="0" w:right="101" w:rightChars="0"/>
        <w:rPr>
          <w:sz w:val="22"/>
          <w:szCs w:val="22"/>
        </w:rPr>
      </w:pPr>
      <w:r>
        <w:rPr>
          <w:rFonts w:hint="eastAsia"/>
          <w:sz w:val="22"/>
          <w:szCs w:val="22"/>
          <w:lang w:val="en-US" w:eastAsia="zh-CN"/>
        </w:rPr>
        <w:t>2、</w:t>
      </w:r>
      <w:r>
        <w:rPr>
          <w:sz w:val="22"/>
          <w:szCs w:val="22"/>
        </w:rPr>
        <w:t>招标文件、投标文件、项目采购协议或入围承诺书与本合同具有同等法律效力。如前述各项文件之间约定不一致的，应以最新签署的文件内容为准。</w:t>
      </w:r>
    </w:p>
    <w:p>
      <w:pPr>
        <w:pStyle w:val="18"/>
        <w:numPr>
          <w:ilvl w:val="0"/>
          <w:numId w:val="0"/>
        </w:numPr>
        <w:tabs>
          <w:tab w:val="left" w:pos="522"/>
        </w:tabs>
        <w:spacing w:before="1"/>
        <w:ind w:left="350" w:leftChars="0"/>
        <w:rPr>
          <w:sz w:val="22"/>
          <w:szCs w:val="22"/>
        </w:rPr>
      </w:pPr>
      <w:r>
        <w:rPr>
          <w:rFonts w:hint="eastAsia"/>
          <w:sz w:val="22"/>
          <w:szCs w:val="22"/>
          <w:lang w:val="en-US" w:eastAsia="zh-CN"/>
        </w:rPr>
        <w:t>3、</w:t>
      </w:r>
      <w:r>
        <w:rPr>
          <w:sz w:val="22"/>
          <w:szCs w:val="22"/>
        </w:rPr>
        <w:t>本合同未尽事宜，</w:t>
      </w:r>
      <w:r>
        <w:rPr>
          <w:rFonts w:hint="eastAsia"/>
          <w:sz w:val="22"/>
          <w:szCs w:val="22"/>
        </w:rPr>
        <w:t>以招投标文件为准</w:t>
      </w:r>
      <w:r>
        <w:rPr>
          <w:sz w:val="22"/>
          <w:szCs w:val="22"/>
        </w:rPr>
        <w:t>。</w:t>
      </w:r>
    </w:p>
    <w:p>
      <w:pPr>
        <w:pStyle w:val="18"/>
        <w:numPr>
          <w:ilvl w:val="0"/>
          <w:numId w:val="0"/>
        </w:numPr>
        <w:ind w:left="350" w:leftChars="0"/>
        <w:rPr>
          <w:sz w:val="22"/>
          <w:szCs w:val="22"/>
        </w:rPr>
      </w:pPr>
      <w:r>
        <w:rPr>
          <w:rFonts w:hint="eastAsia"/>
          <w:sz w:val="22"/>
          <w:szCs w:val="22"/>
          <w:lang w:val="en-US" w:eastAsia="zh-CN"/>
        </w:rPr>
        <w:t>4、</w:t>
      </w:r>
      <w:r>
        <w:rPr>
          <w:rFonts w:hint="eastAsia"/>
          <w:sz w:val="22"/>
          <w:szCs w:val="22"/>
        </w:rPr>
        <w:t>本合同一式三份，甲方执二份，乙方执一份，具有同等法律效力。</w:t>
      </w:r>
    </w:p>
    <w:p>
      <w:pPr>
        <w:pStyle w:val="18"/>
        <w:numPr>
          <w:ilvl w:val="0"/>
          <w:numId w:val="0"/>
        </w:numPr>
        <w:ind w:left="350" w:leftChars="0"/>
        <w:rPr>
          <w:sz w:val="22"/>
          <w:szCs w:val="22"/>
        </w:rPr>
      </w:pPr>
      <w:r>
        <w:rPr>
          <w:rFonts w:hint="eastAsia"/>
          <w:sz w:val="22"/>
          <w:szCs w:val="22"/>
          <w:lang w:val="en-US" w:eastAsia="zh-CN"/>
        </w:rPr>
        <w:t>5、</w:t>
      </w:r>
      <w:r>
        <w:rPr>
          <w:rFonts w:hint="eastAsia"/>
          <w:sz w:val="22"/>
          <w:szCs w:val="22"/>
        </w:rPr>
        <w:t>附件设备配置清单系本合同不可分割的组成部分，与本合同具有同等法律效力。</w:t>
      </w:r>
    </w:p>
    <w:p>
      <w:pPr>
        <w:pStyle w:val="3"/>
        <w:spacing w:before="106" w:line="264" w:lineRule="auto"/>
        <w:ind w:left="105" w:right="209"/>
        <w:rPr>
          <w:sz w:val="22"/>
          <w:szCs w:val="22"/>
        </w:rPr>
      </w:pPr>
    </w:p>
    <w:p>
      <w:pPr>
        <w:pStyle w:val="3"/>
        <w:spacing w:before="106" w:line="264" w:lineRule="auto"/>
        <w:ind w:left="105" w:right="209"/>
        <w:rPr>
          <w:sz w:val="22"/>
          <w:szCs w:val="22"/>
        </w:rPr>
      </w:pPr>
    </w:p>
    <w:p>
      <w:pPr>
        <w:pStyle w:val="3"/>
        <w:spacing w:before="106" w:line="264" w:lineRule="auto"/>
        <w:ind w:left="105" w:right="209"/>
        <w:rPr>
          <w:sz w:val="22"/>
          <w:szCs w:val="22"/>
        </w:rPr>
      </w:pPr>
    </w:p>
    <w:p>
      <w:pPr>
        <w:pStyle w:val="3"/>
        <w:spacing w:before="106" w:line="264" w:lineRule="auto"/>
        <w:ind w:left="105" w:right="209"/>
        <w:rPr>
          <w:sz w:val="22"/>
          <w:szCs w:val="22"/>
        </w:rPr>
      </w:pPr>
    </w:p>
    <w:p>
      <w:pPr>
        <w:pStyle w:val="3"/>
        <w:spacing w:before="106" w:line="264" w:lineRule="auto"/>
        <w:ind w:left="105" w:right="209"/>
        <w:rPr>
          <w:sz w:val="22"/>
          <w:szCs w:val="22"/>
        </w:rPr>
      </w:pPr>
    </w:p>
    <w:p>
      <w:pPr>
        <w:pStyle w:val="3"/>
        <w:spacing w:before="106" w:line="264" w:lineRule="auto"/>
        <w:ind w:left="105" w:right="209"/>
        <w:rPr>
          <w:sz w:val="22"/>
          <w:szCs w:val="22"/>
        </w:rPr>
      </w:pPr>
    </w:p>
    <w:p>
      <w:pPr>
        <w:pStyle w:val="3"/>
        <w:spacing w:before="106" w:line="264" w:lineRule="auto"/>
        <w:ind w:left="105" w:right="209"/>
        <w:rPr>
          <w:sz w:val="22"/>
          <w:szCs w:val="22"/>
        </w:rPr>
      </w:pPr>
      <w:r>
        <w:rPr>
          <w:rFonts w:hint="eastAsia"/>
          <w:sz w:val="22"/>
          <w:szCs w:val="22"/>
        </w:rPr>
        <w:t>甲方（盖章）： 温州市中医院</w:t>
      </w:r>
      <w:r>
        <w:rPr>
          <w:rFonts w:hint="eastAsia"/>
          <w:sz w:val="22"/>
          <w:szCs w:val="22"/>
        </w:rPr>
        <w:tab/>
      </w:r>
      <w:r>
        <w:rPr>
          <w:rFonts w:hint="eastAsia"/>
          <w:sz w:val="22"/>
          <w:szCs w:val="22"/>
        </w:rPr>
        <w:tab/>
      </w:r>
      <w:r>
        <w:rPr>
          <w:rFonts w:hint="eastAsia"/>
          <w:sz w:val="22"/>
          <w:szCs w:val="22"/>
        </w:rPr>
        <w:t xml:space="preserve">              </w:t>
      </w:r>
      <w:r>
        <w:rPr>
          <w:rFonts w:hint="eastAsia"/>
          <w:sz w:val="22"/>
          <w:szCs w:val="22"/>
          <w:lang w:val="en-US" w:eastAsia="zh-CN"/>
        </w:rPr>
        <w:t xml:space="preserve"> </w:t>
      </w:r>
      <w:r>
        <w:rPr>
          <w:rFonts w:hint="eastAsia"/>
          <w:sz w:val="22"/>
          <w:szCs w:val="22"/>
        </w:rPr>
        <w:t xml:space="preserve">乙方（盖章）：  </w:t>
      </w:r>
    </w:p>
    <w:p>
      <w:pPr>
        <w:pStyle w:val="3"/>
        <w:spacing w:before="106" w:line="264" w:lineRule="auto"/>
        <w:ind w:left="105" w:right="209"/>
        <w:rPr>
          <w:sz w:val="22"/>
          <w:szCs w:val="22"/>
        </w:rPr>
      </w:pPr>
      <w:r>
        <w:rPr>
          <w:rFonts w:hint="eastAsia"/>
          <w:sz w:val="22"/>
          <w:szCs w:val="22"/>
        </w:rPr>
        <w:t>地址：温州市六虹桥路蛟尾路9号                   地址：</w:t>
      </w:r>
    </w:p>
    <w:p>
      <w:pPr>
        <w:pStyle w:val="3"/>
        <w:spacing w:before="106" w:line="264" w:lineRule="auto"/>
        <w:ind w:left="105" w:right="209"/>
        <w:rPr>
          <w:sz w:val="22"/>
          <w:szCs w:val="22"/>
        </w:rPr>
      </w:pPr>
      <w:r>
        <w:rPr>
          <w:rFonts w:hint="eastAsia"/>
          <w:sz w:val="22"/>
          <w:szCs w:val="22"/>
        </w:rPr>
        <w:t xml:space="preserve">法定（授权）代表人：                            法定（授权）代表人： </w:t>
      </w:r>
    </w:p>
    <w:p>
      <w:pPr>
        <w:pStyle w:val="3"/>
        <w:spacing w:before="106" w:line="264" w:lineRule="auto"/>
        <w:ind w:left="105" w:right="209"/>
        <w:rPr>
          <w:sz w:val="18"/>
        </w:rPr>
      </w:pPr>
      <w:r>
        <w:rPr>
          <w:rFonts w:hint="eastAsia"/>
          <w:sz w:val="22"/>
          <w:szCs w:val="22"/>
        </w:rPr>
        <w:t>签字日期：    年    月    日                    签字日期：    年   月   日</w:t>
      </w:r>
    </w:p>
    <w:p>
      <w:pPr>
        <w:widowControl/>
        <w:jc w:val="left"/>
        <w:rPr>
          <w:rFonts w:ascii="宋体" w:hAnsi="宋体" w:eastAsia="宋体" w:cs="宋体"/>
          <w:kern w:val="0"/>
          <w:szCs w:val="17"/>
          <w:lang w:val="zh-CN" w:bidi="zh-CN"/>
        </w:rPr>
      </w:pPr>
      <w:r>
        <w:br w:type="page"/>
      </w:r>
    </w:p>
    <w:p>
      <w:pPr>
        <w:jc w:val="center"/>
        <w:rPr>
          <w:b/>
          <w:sz w:val="36"/>
          <w:szCs w:val="36"/>
        </w:rPr>
      </w:pPr>
      <w:r>
        <w:rPr>
          <w:rFonts w:hint="eastAsia"/>
          <w:b/>
          <w:sz w:val="36"/>
          <w:szCs w:val="36"/>
        </w:rPr>
        <w:t>设备配置清单</w:t>
      </w:r>
    </w:p>
    <w:p>
      <w:pPr>
        <w:pStyle w:val="3"/>
        <w:rPr>
          <w:sz w:val="20"/>
        </w:rPr>
      </w:pPr>
    </w:p>
    <w:tbl>
      <w:tblPr>
        <w:tblStyle w:val="10"/>
        <w:tblpPr w:leftFromText="180" w:rightFromText="180" w:vertAnchor="text" w:horzAnchor="margin" w:tblpXSpec="center" w:tblpY="357"/>
        <w:tblOverlap w:val="never"/>
        <w:tblW w:w="9500" w:type="dxa"/>
        <w:tblInd w:w="-3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231"/>
        <w:gridCol w:w="2934"/>
        <w:gridCol w:w="1815"/>
        <w:gridCol w:w="705"/>
        <w:gridCol w:w="111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5" w:type="dxa"/>
          </w:tcPr>
          <w:p>
            <w:pPr>
              <w:jc w:val="center"/>
              <w:rPr>
                <w:b/>
                <w:sz w:val="22"/>
                <w:szCs w:val="22"/>
              </w:rPr>
            </w:pPr>
            <w:r>
              <w:rPr>
                <w:rFonts w:hint="eastAsia"/>
                <w:b/>
                <w:sz w:val="22"/>
                <w:szCs w:val="22"/>
              </w:rPr>
              <w:t>序号</w:t>
            </w:r>
          </w:p>
        </w:tc>
        <w:tc>
          <w:tcPr>
            <w:tcW w:w="1231" w:type="dxa"/>
            <w:vAlign w:val="center"/>
          </w:tcPr>
          <w:p>
            <w:pPr>
              <w:jc w:val="center"/>
              <w:rPr>
                <w:b/>
                <w:sz w:val="22"/>
                <w:szCs w:val="22"/>
              </w:rPr>
            </w:pPr>
            <w:r>
              <w:rPr>
                <w:rFonts w:hint="eastAsia"/>
                <w:b/>
                <w:sz w:val="22"/>
                <w:szCs w:val="22"/>
              </w:rPr>
              <w:t>品牌</w:t>
            </w:r>
          </w:p>
        </w:tc>
        <w:tc>
          <w:tcPr>
            <w:tcW w:w="2934" w:type="dxa"/>
            <w:vAlign w:val="center"/>
          </w:tcPr>
          <w:p>
            <w:pPr>
              <w:jc w:val="center"/>
              <w:rPr>
                <w:b/>
                <w:sz w:val="22"/>
                <w:szCs w:val="22"/>
              </w:rPr>
            </w:pPr>
            <w:r>
              <w:rPr>
                <w:rFonts w:hint="eastAsia"/>
                <w:b/>
                <w:sz w:val="22"/>
                <w:szCs w:val="22"/>
              </w:rPr>
              <w:t>产品名称</w:t>
            </w:r>
          </w:p>
        </w:tc>
        <w:tc>
          <w:tcPr>
            <w:tcW w:w="1815" w:type="dxa"/>
            <w:vAlign w:val="center"/>
          </w:tcPr>
          <w:p>
            <w:pPr>
              <w:jc w:val="center"/>
              <w:rPr>
                <w:b/>
                <w:sz w:val="22"/>
                <w:szCs w:val="22"/>
              </w:rPr>
            </w:pPr>
            <w:r>
              <w:rPr>
                <w:rFonts w:hint="eastAsia"/>
                <w:b/>
                <w:sz w:val="22"/>
                <w:szCs w:val="22"/>
              </w:rPr>
              <w:t>规格型号</w:t>
            </w:r>
          </w:p>
        </w:tc>
        <w:tc>
          <w:tcPr>
            <w:tcW w:w="705" w:type="dxa"/>
            <w:vAlign w:val="center"/>
          </w:tcPr>
          <w:p>
            <w:pPr>
              <w:jc w:val="center"/>
              <w:rPr>
                <w:b/>
                <w:sz w:val="22"/>
                <w:szCs w:val="22"/>
              </w:rPr>
            </w:pPr>
            <w:r>
              <w:rPr>
                <w:rFonts w:hint="eastAsia"/>
                <w:b/>
                <w:sz w:val="22"/>
                <w:szCs w:val="22"/>
              </w:rPr>
              <w:t>数量</w:t>
            </w:r>
          </w:p>
        </w:tc>
        <w:tc>
          <w:tcPr>
            <w:tcW w:w="1110" w:type="dxa"/>
            <w:vAlign w:val="center"/>
          </w:tcPr>
          <w:p>
            <w:pPr>
              <w:jc w:val="center"/>
              <w:rPr>
                <w:b/>
                <w:sz w:val="22"/>
                <w:szCs w:val="22"/>
              </w:rPr>
            </w:pPr>
            <w:r>
              <w:rPr>
                <w:rFonts w:hint="eastAsia"/>
                <w:b/>
                <w:sz w:val="22"/>
                <w:szCs w:val="22"/>
              </w:rPr>
              <w:t>金额（元）</w:t>
            </w:r>
          </w:p>
        </w:tc>
        <w:tc>
          <w:tcPr>
            <w:tcW w:w="930" w:type="dxa"/>
            <w:vAlign w:val="center"/>
          </w:tcPr>
          <w:p>
            <w:pPr>
              <w:jc w:val="center"/>
              <w:rPr>
                <w:b/>
                <w:sz w:val="22"/>
                <w:szCs w:val="22"/>
              </w:rPr>
            </w:pPr>
            <w:r>
              <w:rPr>
                <w:rFonts w:hint="eastAsia"/>
                <w:b/>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2</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3</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4</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5</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6</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7</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8</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9</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10</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11</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12</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13</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14</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bl>
    <w:p>
      <w:pPr>
        <w:pStyle w:val="3"/>
        <w:rPr>
          <w:sz w:val="20"/>
        </w:rPr>
      </w:pPr>
    </w:p>
    <w:p>
      <w:pPr>
        <w:widowControl/>
        <w:jc w:val="left"/>
        <w:rPr>
          <w:rFonts w:ascii="宋体" w:hAnsi="宋体" w:eastAsia="宋体" w:cs="宋体"/>
          <w:kern w:val="0"/>
          <w:sz w:val="20"/>
          <w:szCs w:val="17"/>
          <w:lang w:val="zh-CN" w:bidi="zh-CN"/>
        </w:rPr>
      </w:pPr>
      <w:r>
        <w:rPr>
          <w:sz w:val="20"/>
        </w:rPr>
        <w:br w:type="page"/>
      </w:r>
    </w:p>
    <w:p>
      <w:pPr>
        <w:spacing w:line="440" w:lineRule="exact"/>
        <w:jc w:val="center"/>
        <w:rPr>
          <w:rFonts w:ascii="Calibri" w:hAnsi="Calibri" w:eastAsia="宋体" w:cs="Times New Roman"/>
          <w:b/>
          <w:sz w:val="28"/>
          <w:szCs w:val="28"/>
        </w:rPr>
      </w:pPr>
      <w:r>
        <w:rPr>
          <w:rFonts w:ascii="Calibri" w:hAnsi="Calibri" w:eastAsia="宋体" w:cs="Times New Roman"/>
          <w:b/>
          <w:sz w:val="28"/>
          <w:szCs w:val="28"/>
        </w:rPr>
        <w:t>廉洁购销合同</w:t>
      </w:r>
    </w:p>
    <w:p>
      <w:pPr>
        <w:spacing w:line="440" w:lineRule="exact"/>
        <w:rPr>
          <w:rFonts w:ascii="Calibri" w:hAnsi="Calibri" w:eastAsia="宋体" w:cs="Times New Roman"/>
          <w:bCs/>
          <w:sz w:val="22"/>
          <w:szCs w:val="22"/>
        </w:rPr>
      </w:pPr>
      <w:r>
        <w:rPr>
          <w:rFonts w:ascii="Calibri" w:hAnsi="Calibri" w:eastAsia="宋体" w:cs="Times New Roman"/>
          <w:sz w:val="22"/>
          <w:szCs w:val="22"/>
        </w:rPr>
        <w:t>甲方</w:t>
      </w:r>
      <w:r>
        <w:rPr>
          <w:rFonts w:ascii="Calibri" w:hAnsi="Calibri" w:eastAsia="宋体" w:cs="Times New Roman"/>
          <w:bCs/>
          <w:sz w:val="22"/>
          <w:szCs w:val="22"/>
        </w:rPr>
        <w:t>：</w:t>
      </w:r>
      <w:r>
        <w:rPr>
          <w:rFonts w:hint="eastAsia" w:ascii="Calibri" w:hAnsi="Calibri" w:eastAsia="宋体" w:cs="Times New Roman"/>
          <w:bCs/>
          <w:sz w:val="22"/>
          <w:szCs w:val="22"/>
        </w:rPr>
        <w:t>温州市中医院</w:t>
      </w:r>
    </w:p>
    <w:p>
      <w:pPr>
        <w:spacing w:line="440" w:lineRule="exact"/>
        <w:rPr>
          <w:rFonts w:hint="eastAsia" w:ascii="Calibri" w:hAnsi="Calibri" w:eastAsia="宋体" w:cs="Times New Roman"/>
          <w:bCs/>
          <w:sz w:val="22"/>
          <w:szCs w:val="22"/>
        </w:rPr>
      </w:pPr>
      <w:r>
        <w:rPr>
          <w:rFonts w:ascii="Calibri" w:hAnsi="Calibri" w:eastAsia="宋体" w:cs="Times New Roman"/>
          <w:sz w:val="22"/>
          <w:szCs w:val="22"/>
        </w:rPr>
        <w:t>乙方</w:t>
      </w:r>
      <w:r>
        <w:rPr>
          <w:rFonts w:ascii="Calibri" w:hAnsi="Calibri" w:eastAsia="宋体" w:cs="Times New Roman"/>
          <w:bCs/>
          <w:sz w:val="22"/>
          <w:szCs w:val="22"/>
        </w:rPr>
        <w:t>：</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为进一步加强医疗卫生行风建设，规范医疗卫生机构</w:t>
      </w:r>
      <w:r>
        <w:rPr>
          <w:rFonts w:hint="eastAsia" w:ascii="Calibri" w:hAnsi="Calibri" w:eastAsia="宋体" w:cs="Times New Roman"/>
          <w:bCs/>
          <w:sz w:val="22"/>
          <w:szCs w:val="22"/>
        </w:rPr>
        <w:t>各类</w:t>
      </w:r>
      <w:r>
        <w:rPr>
          <w:rFonts w:ascii="Calibri" w:hAnsi="Calibri" w:eastAsia="宋体" w:cs="Times New Roman"/>
          <w:bCs/>
          <w:sz w:val="22"/>
          <w:szCs w:val="22"/>
        </w:rPr>
        <w:t>购销行为，有效防范商业贿赂行为，营造公平交易、诚实守信的</w:t>
      </w:r>
      <w:r>
        <w:rPr>
          <w:rFonts w:hint="eastAsia" w:ascii="Calibri" w:hAnsi="Calibri" w:eastAsia="宋体" w:cs="Times New Roman"/>
          <w:bCs/>
          <w:sz w:val="22"/>
          <w:szCs w:val="22"/>
        </w:rPr>
        <w:t>“清廉医院”</w:t>
      </w:r>
      <w:r>
        <w:rPr>
          <w:rFonts w:ascii="Calibri" w:hAnsi="Calibri" w:eastAsia="宋体" w:cs="Times New Roman"/>
          <w:bCs/>
          <w:sz w:val="22"/>
          <w:szCs w:val="22"/>
        </w:rPr>
        <w:t>购销环境，经甲、乙双方协商，同意签订本合同，并共同遵守：</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一、甲乙双方按照《</w:t>
      </w:r>
      <w:r>
        <w:rPr>
          <w:rFonts w:hint="eastAsia" w:ascii="Calibri" w:hAnsi="Calibri" w:eastAsia="宋体" w:cs="Times New Roman"/>
          <w:bCs/>
          <w:sz w:val="22"/>
          <w:szCs w:val="22"/>
        </w:rPr>
        <w:t>民法典</w:t>
      </w:r>
      <w:r>
        <w:rPr>
          <w:rFonts w:ascii="Calibri" w:hAnsi="Calibri" w:eastAsia="宋体" w:cs="Times New Roman"/>
          <w:bCs/>
          <w:sz w:val="22"/>
          <w:szCs w:val="22"/>
        </w:rPr>
        <w:t>》</w:t>
      </w:r>
      <w:r>
        <w:rPr>
          <w:rFonts w:hint="eastAsia" w:ascii="Calibri" w:hAnsi="Calibri" w:eastAsia="宋体" w:cs="Times New Roman"/>
          <w:bCs/>
          <w:sz w:val="22"/>
          <w:szCs w:val="22"/>
        </w:rPr>
        <w:t>等相关法规要求，约定</w:t>
      </w:r>
      <w:r>
        <w:rPr>
          <w:rFonts w:ascii="Calibri" w:hAnsi="Calibri" w:eastAsia="宋体" w:cs="Times New Roman"/>
          <w:bCs/>
          <w:sz w:val="22"/>
          <w:szCs w:val="22"/>
        </w:rPr>
        <w:t>购销</w:t>
      </w:r>
      <w:r>
        <w:rPr>
          <w:rFonts w:hint="eastAsia" w:ascii="Calibri" w:hAnsi="Calibri" w:eastAsia="宋体" w:cs="Times New Roman"/>
          <w:bCs/>
          <w:sz w:val="22"/>
          <w:szCs w:val="22"/>
        </w:rPr>
        <w:t>包括但不限于</w:t>
      </w:r>
      <w:r>
        <w:rPr>
          <w:rFonts w:ascii="Calibri" w:hAnsi="Calibri" w:eastAsia="宋体" w:cs="Times New Roman"/>
          <w:bCs/>
          <w:sz w:val="22"/>
          <w:szCs w:val="22"/>
        </w:rPr>
        <w:t>药品、设备、耗材</w:t>
      </w:r>
      <w:r>
        <w:rPr>
          <w:rFonts w:hint="eastAsia" w:ascii="Calibri" w:hAnsi="Calibri" w:eastAsia="宋体" w:cs="Times New Roman"/>
          <w:bCs/>
          <w:sz w:val="22"/>
          <w:szCs w:val="22"/>
        </w:rPr>
        <w:t>、维保</w:t>
      </w:r>
      <w:r>
        <w:rPr>
          <w:rFonts w:ascii="Calibri" w:hAnsi="Calibri" w:eastAsia="宋体" w:cs="Times New Roman"/>
          <w:bCs/>
          <w:sz w:val="22"/>
          <w:szCs w:val="22"/>
        </w:rPr>
        <w:t>等</w:t>
      </w:r>
      <w:r>
        <w:rPr>
          <w:rFonts w:hint="eastAsia" w:ascii="Calibri" w:hAnsi="Calibri" w:eastAsia="宋体" w:cs="Times New Roman"/>
          <w:bCs/>
          <w:sz w:val="22"/>
          <w:szCs w:val="22"/>
        </w:rPr>
        <w:t>货物或服务</w:t>
      </w:r>
      <w:r>
        <w:rPr>
          <w:rFonts w:ascii="Calibri" w:hAnsi="Calibri" w:eastAsia="宋体" w:cs="Times New Roman"/>
          <w:bCs/>
          <w:sz w:val="22"/>
          <w:szCs w:val="22"/>
        </w:rPr>
        <w:t>。</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二、甲方应当严格执行合同验收、入库制度，对采购产品及发票进行查验，不得违反有关规定合同外采购、违价采购或从非规定渠道采购。</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四、严禁甲方工作人员利用任何途径和方式，为乙方统计医师个人及临床科室有关医药产品用量信息，或为乙方统计提供便利。</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五、乙方不得以回扣、宴请等方式影响甲方工作人员采购</w:t>
      </w:r>
      <w:r>
        <w:rPr>
          <w:rFonts w:hint="eastAsia" w:ascii="Calibri" w:hAnsi="Calibri" w:eastAsia="宋体" w:cs="Times New Roman"/>
          <w:bCs/>
          <w:sz w:val="22"/>
          <w:szCs w:val="22"/>
        </w:rPr>
        <w:t>或使用</w:t>
      </w:r>
      <w:r>
        <w:rPr>
          <w:rFonts w:ascii="Calibri" w:hAnsi="Calibri" w:eastAsia="宋体" w:cs="Times New Roman"/>
          <w:bCs/>
          <w:sz w:val="22"/>
          <w:szCs w:val="22"/>
        </w:rPr>
        <w:t>产品的选择权，不得在学术活动中提供旅游、超标准支付食宿费用。</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六、乙方指定</w:t>
      </w:r>
      <w:r>
        <w:rPr>
          <w:rFonts w:ascii="Calibri" w:hAnsi="Calibri" w:eastAsia="宋体" w:cs="Times New Roman"/>
          <w:bCs/>
          <w:sz w:val="22"/>
          <w:szCs w:val="22"/>
          <w:u w:val="single"/>
        </w:rPr>
        <w:t xml:space="preserve">                        </w:t>
      </w:r>
      <w:r>
        <w:rPr>
          <w:rFonts w:ascii="Calibri" w:hAnsi="Calibri" w:eastAsia="宋体" w:cs="Times New Roman"/>
          <w:bCs/>
          <w:sz w:val="22"/>
          <w:szCs w:val="22"/>
        </w:rPr>
        <w:t>作为销售代表洽谈业务。销售代表必须在工作时间到甲方指定地点联系商谈，不得到住院部、门诊部、医技科室等推销产品，不得借故到甲方相关领导、部门负责人及相关工作人员家中访谈并提供任何好处费。</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ascii="Calibri" w:hAnsi="Calibri" w:eastAsia="宋体" w:cs="Times New Roman"/>
          <w:bCs/>
          <w:sz w:val="22"/>
          <w:szCs w:val="22"/>
          <w:shd w:val="clear" w:color="auto" w:fill="FFFFFF"/>
        </w:rPr>
        <w:t>（国卫法制发〔2013〕50号）</w:t>
      </w:r>
      <w:r>
        <w:rPr>
          <w:rFonts w:hint="eastAsia" w:ascii="Calibri" w:hAnsi="Calibri" w:eastAsia="宋体" w:cs="Times New Roman"/>
          <w:bCs/>
          <w:sz w:val="22"/>
          <w:szCs w:val="22"/>
          <w:shd w:val="clear" w:color="auto" w:fill="FFFFFF"/>
        </w:rPr>
        <w:t>及《关于印发医疗机构工作人员廉洁从业九项准则的通知》（国卫医发〔2021〕37号）</w:t>
      </w:r>
      <w:r>
        <w:rPr>
          <w:rFonts w:ascii="Calibri" w:hAnsi="Calibri" w:eastAsia="宋体" w:cs="Times New Roman"/>
          <w:bCs/>
          <w:sz w:val="22"/>
          <w:szCs w:val="22"/>
        </w:rPr>
        <w:t>相关规定处理。</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八、本合同作为购销合同的重要组成部分，与购销合同一并执行，具有同等的法律效力。</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九、本合同一式三份，甲、乙双方各执一份，甲方纪检监察部门执一份，并从签订之日起生效。</w:t>
      </w:r>
    </w:p>
    <w:p>
      <w:pPr>
        <w:spacing w:line="440" w:lineRule="exact"/>
        <w:rPr>
          <w:rFonts w:ascii="Calibri" w:hAnsi="Calibri" w:eastAsia="宋体" w:cs="Times New Roman"/>
          <w:bCs/>
          <w:sz w:val="22"/>
          <w:szCs w:val="22"/>
        </w:rPr>
      </w:pPr>
    </w:p>
    <w:p>
      <w:pPr>
        <w:spacing w:line="440" w:lineRule="exact"/>
        <w:rPr>
          <w:rFonts w:ascii="Calibri" w:hAnsi="Calibri" w:eastAsia="宋体" w:cs="Times New Roman"/>
          <w:bCs/>
          <w:sz w:val="22"/>
          <w:szCs w:val="22"/>
        </w:rPr>
      </w:pPr>
      <w:r>
        <w:rPr>
          <w:rFonts w:ascii="Calibri" w:hAnsi="Calibri" w:eastAsia="宋体" w:cs="Times New Roman"/>
          <w:bCs/>
          <w:sz w:val="22"/>
          <w:szCs w:val="22"/>
        </w:rPr>
        <w:t xml:space="preserve">甲方（盖章）：                     </w:t>
      </w:r>
      <w:r>
        <w:rPr>
          <w:rFonts w:hint="eastAsia" w:ascii="Calibri" w:hAnsi="Calibri" w:eastAsia="宋体" w:cs="Times New Roman"/>
          <w:bCs/>
          <w:sz w:val="22"/>
          <w:szCs w:val="22"/>
        </w:rPr>
        <w:t xml:space="preserve">       </w:t>
      </w:r>
      <w:r>
        <w:rPr>
          <w:rFonts w:ascii="Calibri" w:hAnsi="Calibri" w:eastAsia="宋体" w:cs="Times New Roman"/>
          <w:bCs/>
          <w:sz w:val="22"/>
          <w:szCs w:val="22"/>
        </w:rPr>
        <w:t>乙方（盖章）：</w:t>
      </w:r>
    </w:p>
    <w:p>
      <w:pPr>
        <w:spacing w:line="440" w:lineRule="exact"/>
        <w:rPr>
          <w:rFonts w:ascii="Calibri" w:hAnsi="Calibri" w:eastAsia="宋体" w:cs="Times New Roman"/>
          <w:bCs/>
          <w:sz w:val="22"/>
          <w:szCs w:val="22"/>
        </w:rPr>
      </w:pPr>
      <w:r>
        <w:rPr>
          <w:rFonts w:ascii="Calibri" w:hAnsi="Calibri" w:eastAsia="宋体" w:cs="Times New Roman"/>
          <w:bCs/>
          <w:sz w:val="22"/>
          <w:szCs w:val="22"/>
        </w:rPr>
        <w:t xml:space="preserve">法定代表人（负责人）：             </w:t>
      </w:r>
      <w:r>
        <w:rPr>
          <w:rFonts w:hint="eastAsia" w:ascii="Calibri" w:hAnsi="Calibri" w:eastAsia="宋体" w:cs="Times New Roman"/>
          <w:bCs/>
          <w:sz w:val="22"/>
          <w:szCs w:val="22"/>
        </w:rPr>
        <w:t xml:space="preserve">       </w:t>
      </w:r>
      <w:r>
        <w:rPr>
          <w:rFonts w:ascii="Calibri" w:hAnsi="Calibri" w:eastAsia="宋体" w:cs="Times New Roman"/>
          <w:bCs/>
          <w:sz w:val="22"/>
          <w:szCs w:val="22"/>
        </w:rPr>
        <w:t>法定代表人（负责人）：</w:t>
      </w:r>
    </w:p>
    <w:p>
      <w:pPr>
        <w:spacing w:line="440" w:lineRule="exact"/>
        <w:rPr>
          <w:rFonts w:ascii="Calibri" w:hAnsi="Calibri" w:eastAsia="宋体" w:cs="Times New Roman"/>
          <w:bCs/>
          <w:sz w:val="22"/>
          <w:szCs w:val="22"/>
        </w:rPr>
      </w:pPr>
      <w:r>
        <w:rPr>
          <w:rFonts w:ascii="Calibri" w:hAnsi="Calibri" w:eastAsia="宋体" w:cs="Times New Roman"/>
          <w:bCs/>
          <w:sz w:val="22"/>
          <w:szCs w:val="22"/>
        </w:rPr>
        <w:t xml:space="preserve">经办人签名：                     </w:t>
      </w:r>
      <w:r>
        <w:rPr>
          <w:rFonts w:hint="eastAsia" w:ascii="Calibri" w:hAnsi="Calibri" w:eastAsia="宋体" w:cs="Times New Roman"/>
          <w:bCs/>
          <w:sz w:val="22"/>
          <w:szCs w:val="22"/>
        </w:rPr>
        <w:t xml:space="preserve">       </w:t>
      </w:r>
      <w:r>
        <w:rPr>
          <w:rFonts w:ascii="Calibri" w:hAnsi="Calibri" w:eastAsia="宋体" w:cs="Times New Roman"/>
          <w:bCs/>
          <w:sz w:val="22"/>
          <w:szCs w:val="22"/>
        </w:rPr>
        <w:t xml:space="preserve"> 经办人签名：</w:t>
      </w:r>
    </w:p>
    <w:p>
      <w:pPr>
        <w:spacing w:line="440" w:lineRule="exact"/>
        <w:ind w:firstLine="550" w:firstLineChars="250"/>
        <w:rPr>
          <w:rFonts w:ascii="Calibri" w:hAnsi="Calibri" w:eastAsia="宋体" w:cs="Times New Roman"/>
          <w:sz w:val="18"/>
          <w:szCs w:val="24"/>
        </w:rPr>
      </w:pPr>
      <w:r>
        <w:rPr>
          <w:rFonts w:ascii="Calibri" w:hAnsi="Calibri" w:eastAsia="宋体" w:cs="Times New Roman"/>
          <w:bCs/>
          <w:sz w:val="22"/>
          <w:szCs w:val="22"/>
        </w:rPr>
        <w:t xml:space="preserve">年   月   日                      </w:t>
      </w:r>
      <w:r>
        <w:rPr>
          <w:rFonts w:hint="eastAsia" w:ascii="Calibri" w:hAnsi="Calibri" w:eastAsia="宋体" w:cs="Times New Roman"/>
          <w:bCs/>
          <w:sz w:val="22"/>
          <w:szCs w:val="22"/>
        </w:rPr>
        <w:t xml:space="preserve">       </w:t>
      </w:r>
      <w:r>
        <w:rPr>
          <w:rFonts w:ascii="Calibri" w:hAnsi="Calibri" w:eastAsia="宋体" w:cs="Times New Roman"/>
          <w:bCs/>
          <w:sz w:val="22"/>
          <w:szCs w:val="22"/>
        </w:rPr>
        <w:t xml:space="preserve"> 年   月  日</w:t>
      </w:r>
    </w:p>
    <w:p>
      <w:pPr>
        <w:jc w:val="center"/>
        <w:rPr>
          <w:rFonts w:asciiTheme="minorEastAsia" w:hAnsiTheme="minorEastAsia"/>
          <w:sz w:val="20"/>
          <w:szCs w:val="17"/>
        </w:rPr>
      </w:pPr>
    </w:p>
    <w:p>
      <w:pPr>
        <w:numPr>
          <w:ilvl w:val="0"/>
          <w:numId w:val="0"/>
        </w:numPr>
        <w:jc w:val="left"/>
        <w:rPr>
          <w:rFonts w:hint="default"/>
          <w:b/>
          <w:bCs/>
          <w:sz w:val="24"/>
          <w:lang w:val="en-US" w:eastAsia="zh-CN"/>
        </w:rPr>
      </w:pPr>
    </w:p>
    <w:sectPr>
      <w:pgSz w:w="11906" w:h="16838"/>
      <w:pgMar w:top="850" w:right="1417" w:bottom="85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BAE1D"/>
    <w:multiLevelType w:val="singleLevel"/>
    <w:tmpl w:val="11BBAE1D"/>
    <w:lvl w:ilvl="0" w:tentative="0">
      <w:start w:val="1"/>
      <w:numFmt w:val="chineseCounting"/>
      <w:suff w:val="nothing"/>
      <w:lvlText w:val="%1、"/>
      <w:lvlJc w:val="left"/>
      <w:rPr>
        <w:rFonts w:hint="eastAsia"/>
      </w:rPr>
    </w:lvl>
  </w:abstractNum>
  <w:abstractNum w:abstractNumId="1">
    <w:nsid w:val="1CFCF95C"/>
    <w:multiLevelType w:val="singleLevel"/>
    <w:tmpl w:val="1CFCF95C"/>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YmEzZGY3MGIwZjJlYjU1NGZmNjkzOGZlODM4ZDkifQ=="/>
  </w:docVars>
  <w:rsids>
    <w:rsidRoot w:val="00733DD2"/>
    <w:rsid w:val="00026A1F"/>
    <w:rsid w:val="00061188"/>
    <w:rsid w:val="000A2FEB"/>
    <w:rsid w:val="000A5F9B"/>
    <w:rsid w:val="000B2223"/>
    <w:rsid w:val="00154B8C"/>
    <w:rsid w:val="001E31F7"/>
    <w:rsid w:val="0025720F"/>
    <w:rsid w:val="0027418F"/>
    <w:rsid w:val="002902FC"/>
    <w:rsid w:val="002F0826"/>
    <w:rsid w:val="00326C0F"/>
    <w:rsid w:val="003F3199"/>
    <w:rsid w:val="004131B4"/>
    <w:rsid w:val="00420CA3"/>
    <w:rsid w:val="00497393"/>
    <w:rsid w:val="004C713C"/>
    <w:rsid w:val="004E5E1A"/>
    <w:rsid w:val="004E7AFD"/>
    <w:rsid w:val="005147EF"/>
    <w:rsid w:val="005D37B9"/>
    <w:rsid w:val="005E2841"/>
    <w:rsid w:val="00602621"/>
    <w:rsid w:val="00612734"/>
    <w:rsid w:val="00671D4A"/>
    <w:rsid w:val="006A088D"/>
    <w:rsid w:val="00733DD2"/>
    <w:rsid w:val="007F05EF"/>
    <w:rsid w:val="0082310E"/>
    <w:rsid w:val="00855630"/>
    <w:rsid w:val="00863B91"/>
    <w:rsid w:val="008C37D0"/>
    <w:rsid w:val="008E4249"/>
    <w:rsid w:val="0093051F"/>
    <w:rsid w:val="00952609"/>
    <w:rsid w:val="009C1FBF"/>
    <w:rsid w:val="009E136B"/>
    <w:rsid w:val="009E4BCC"/>
    <w:rsid w:val="00A76C33"/>
    <w:rsid w:val="00A808E4"/>
    <w:rsid w:val="00A80B4E"/>
    <w:rsid w:val="00A93480"/>
    <w:rsid w:val="00B4172A"/>
    <w:rsid w:val="00BC00EB"/>
    <w:rsid w:val="00BF3469"/>
    <w:rsid w:val="00C969CF"/>
    <w:rsid w:val="00D06A7D"/>
    <w:rsid w:val="00D4297B"/>
    <w:rsid w:val="00D873FD"/>
    <w:rsid w:val="00D9066A"/>
    <w:rsid w:val="00DD12A9"/>
    <w:rsid w:val="00DE7ADB"/>
    <w:rsid w:val="00E51899"/>
    <w:rsid w:val="00EF7182"/>
    <w:rsid w:val="00F01072"/>
    <w:rsid w:val="00F26748"/>
    <w:rsid w:val="01E94947"/>
    <w:rsid w:val="02B15ED7"/>
    <w:rsid w:val="032B7EBE"/>
    <w:rsid w:val="037819C8"/>
    <w:rsid w:val="04165086"/>
    <w:rsid w:val="079468F0"/>
    <w:rsid w:val="088815A9"/>
    <w:rsid w:val="0A277157"/>
    <w:rsid w:val="0A323667"/>
    <w:rsid w:val="0B691EBF"/>
    <w:rsid w:val="0BDB7828"/>
    <w:rsid w:val="0CA14C9A"/>
    <w:rsid w:val="0D3C3F90"/>
    <w:rsid w:val="0D6B27A0"/>
    <w:rsid w:val="0D737863"/>
    <w:rsid w:val="10827943"/>
    <w:rsid w:val="11D15B1C"/>
    <w:rsid w:val="11D56F8A"/>
    <w:rsid w:val="12531874"/>
    <w:rsid w:val="129A029D"/>
    <w:rsid w:val="12C9410A"/>
    <w:rsid w:val="14C02644"/>
    <w:rsid w:val="157B401A"/>
    <w:rsid w:val="165B3C1A"/>
    <w:rsid w:val="17453125"/>
    <w:rsid w:val="184F31D7"/>
    <w:rsid w:val="1A2E6DE6"/>
    <w:rsid w:val="1D4821A9"/>
    <w:rsid w:val="202B56B1"/>
    <w:rsid w:val="22723315"/>
    <w:rsid w:val="22CF7097"/>
    <w:rsid w:val="232E51F6"/>
    <w:rsid w:val="23884864"/>
    <w:rsid w:val="24C52651"/>
    <w:rsid w:val="27E45486"/>
    <w:rsid w:val="2B057E38"/>
    <w:rsid w:val="2BA52826"/>
    <w:rsid w:val="2D7F5632"/>
    <w:rsid w:val="2E46068D"/>
    <w:rsid w:val="2EB05F76"/>
    <w:rsid w:val="2F3C6CF1"/>
    <w:rsid w:val="2FBD42B3"/>
    <w:rsid w:val="30D412A1"/>
    <w:rsid w:val="30E84F1F"/>
    <w:rsid w:val="316641F0"/>
    <w:rsid w:val="31BF6098"/>
    <w:rsid w:val="31F8416E"/>
    <w:rsid w:val="32CE7A3F"/>
    <w:rsid w:val="33951D5C"/>
    <w:rsid w:val="34117E05"/>
    <w:rsid w:val="351B0D6F"/>
    <w:rsid w:val="35633FD8"/>
    <w:rsid w:val="37C66C9B"/>
    <w:rsid w:val="39BD6D12"/>
    <w:rsid w:val="3BB420F5"/>
    <w:rsid w:val="3D080F7A"/>
    <w:rsid w:val="3DB75172"/>
    <w:rsid w:val="3F1B3C4A"/>
    <w:rsid w:val="402E62DF"/>
    <w:rsid w:val="402F4957"/>
    <w:rsid w:val="405108FA"/>
    <w:rsid w:val="4136403A"/>
    <w:rsid w:val="41EF774F"/>
    <w:rsid w:val="42660058"/>
    <w:rsid w:val="43824C1A"/>
    <w:rsid w:val="449C5243"/>
    <w:rsid w:val="449E2D2B"/>
    <w:rsid w:val="46094A05"/>
    <w:rsid w:val="460A3EB2"/>
    <w:rsid w:val="477517FF"/>
    <w:rsid w:val="479F5F87"/>
    <w:rsid w:val="497E50E4"/>
    <w:rsid w:val="49CC2349"/>
    <w:rsid w:val="4A254910"/>
    <w:rsid w:val="4AA864D5"/>
    <w:rsid w:val="4B956476"/>
    <w:rsid w:val="4D3D3121"/>
    <w:rsid w:val="4DCB17F7"/>
    <w:rsid w:val="4F1E3831"/>
    <w:rsid w:val="529E0326"/>
    <w:rsid w:val="53423D16"/>
    <w:rsid w:val="534B0A6F"/>
    <w:rsid w:val="539D45B7"/>
    <w:rsid w:val="53CA557A"/>
    <w:rsid w:val="545A32FC"/>
    <w:rsid w:val="547D6E0D"/>
    <w:rsid w:val="549D4FC6"/>
    <w:rsid w:val="55382DBA"/>
    <w:rsid w:val="55596194"/>
    <w:rsid w:val="584110E8"/>
    <w:rsid w:val="587C329C"/>
    <w:rsid w:val="595B205E"/>
    <w:rsid w:val="5A4777C5"/>
    <w:rsid w:val="5A6E001E"/>
    <w:rsid w:val="5CD36D91"/>
    <w:rsid w:val="5DEC7787"/>
    <w:rsid w:val="5DFE7766"/>
    <w:rsid w:val="60F93F09"/>
    <w:rsid w:val="669F4579"/>
    <w:rsid w:val="683E0693"/>
    <w:rsid w:val="685E7C65"/>
    <w:rsid w:val="68AB5C34"/>
    <w:rsid w:val="698F00A6"/>
    <w:rsid w:val="6A800692"/>
    <w:rsid w:val="6BF3478F"/>
    <w:rsid w:val="6DE10695"/>
    <w:rsid w:val="6E0B49D4"/>
    <w:rsid w:val="6E6658CD"/>
    <w:rsid w:val="6E7E61B3"/>
    <w:rsid w:val="6F1A55B9"/>
    <w:rsid w:val="711B411C"/>
    <w:rsid w:val="7392213F"/>
    <w:rsid w:val="739F5CC0"/>
    <w:rsid w:val="73F75A9D"/>
    <w:rsid w:val="748F3673"/>
    <w:rsid w:val="755C54CB"/>
    <w:rsid w:val="772F4719"/>
    <w:rsid w:val="773504DF"/>
    <w:rsid w:val="78667688"/>
    <w:rsid w:val="7A192AA7"/>
    <w:rsid w:val="7B395E66"/>
    <w:rsid w:val="7C0B3B0A"/>
    <w:rsid w:val="7C4831AB"/>
    <w:rsid w:val="7E4702F4"/>
    <w:rsid w:val="7E677C6B"/>
    <w:rsid w:val="7FD75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1"/>
    <w:pPr>
      <w:autoSpaceDE w:val="0"/>
      <w:autoSpaceDN w:val="0"/>
      <w:spacing w:before="106"/>
      <w:ind w:left="105"/>
      <w:jc w:val="left"/>
      <w:outlineLvl w:val="1"/>
    </w:pPr>
    <w:rPr>
      <w:rFonts w:ascii="宋体" w:hAnsi="宋体" w:eastAsia="宋体" w:cs="宋体"/>
      <w:b/>
      <w:bCs/>
      <w:kern w:val="0"/>
      <w:sz w:val="17"/>
      <w:szCs w:val="17"/>
      <w:lang w:val="zh-CN" w:bidi="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autoSpaceDE w:val="0"/>
      <w:autoSpaceDN w:val="0"/>
      <w:jc w:val="left"/>
    </w:pPr>
    <w:rPr>
      <w:rFonts w:ascii="宋体" w:hAnsi="宋体" w:eastAsia="宋体" w:cs="宋体"/>
      <w:kern w:val="0"/>
      <w:sz w:val="17"/>
      <w:szCs w:val="17"/>
      <w:lang w:val="zh-CN" w:bidi="zh-CN"/>
    </w:rPr>
  </w:style>
  <w:style w:type="paragraph" w:styleId="4">
    <w:name w:val="Plain Text"/>
    <w:basedOn w:val="1"/>
    <w:qFormat/>
    <w:uiPriority w:val="0"/>
    <w:rPr>
      <w:rFonts w:ascii="宋体" w:hAnsi="Courier New" w:cs="Courier New"/>
      <w:szCs w:val="21"/>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paragraph" w:styleId="9">
    <w:name w:val="Body Text First Indent"/>
    <w:basedOn w:val="3"/>
    <w:qFormat/>
    <w:uiPriority w:val="0"/>
    <w:pPr>
      <w:ind w:firstLine="420"/>
    </w:pPr>
    <w:rPr>
      <w:rFonts w:ascii="Calibri" w:hAnsi="Calibri" w:eastAsia="宋体" w:cs="Times New Roman"/>
    </w:rPr>
  </w:style>
  <w:style w:type="table" w:styleId="11">
    <w:name w:val="Table Grid"/>
    <w:basedOn w:val="10"/>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rPr>
  </w:style>
  <w:style w:type="character" w:styleId="14">
    <w:name w:val="Emphasis"/>
    <w:qFormat/>
    <w:uiPriority w:val="20"/>
    <w:rPr>
      <w:i/>
      <w:iCs/>
    </w:rPr>
  </w:style>
  <w:style w:type="character" w:customStyle="1" w:styleId="15">
    <w:name w:val="页眉 Char"/>
    <w:basedOn w:val="12"/>
    <w:link w:val="6"/>
    <w:qFormat/>
    <w:uiPriority w:val="99"/>
    <w:rPr>
      <w:sz w:val="18"/>
      <w:szCs w:val="18"/>
    </w:rPr>
  </w:style>
  <w:style w:type="character" w:customStyle="1" w:styleId="16">
    <w:name w:val="页脚 Char"/>
    <w:basedOn w:val="12"/>
    <w:link w:val="5"/>
    <w:qFormat/>
    <w:uiPriority w:val="99"/>
    <w:rPr>
      <w:sz w:val="18"/>
      <w:szCs w:val="18"/>
    </w:rPr>
  </w:style>
  <w:style w:type="paragraph" w:customStyle="1" w:styleId="17">
    <w:name w:val="Table Paragraph"/>
    <w:basedOn w:val="1"/>
    <w:qFormat/>
    <w:uiPriority w:val="1"/>
    <w:pPr>
      <w:autoSpaceDE w:val="0"/>
      <w:autoSpaceDN w:val="0"/>
      <w:jc w:val="left"/>
    </w:pPr>
    <w:rPr>
      <w:rFonts w:ascii="宋体" w:hAnsi="宋体" w:eastAsia="宋体" w:cs="宋体"/>
      <w:kern w:val="0"/>
      <w:sz w:val="22"/>
      <w:lang w:val="zh-CN" w:bidi="zh-CN"/>
    </w:rPr>
  </w:style>
  <w:style w:type="paragraph" w:styleId="18">
    <w:name w:val="List Paragraph"/>
    <w:basedOn w:val="1"/>
    <w:qFormat/>
    <w:uiPriority w:val="1"/>
    <w:pPr>
      <w:autoSpaceDE w:val="0"/>
      <w:autoSpaceDN w:val="0"/>
      <w:spacing w:before="21"/>
      <w:ind w:left="521" w:hanging="170"/>
      <w:jc w:val="left"/>
    </w:pPr>
    <w:rPr>
      <w:rFonts w:ascii="宋体" w:hAnsi="宋体" w:eastAsia="宋体" w:cs="宋体"/>
      <w:kern w:val="0"/>
      <w:sz w:val="22"/>
      <w:lang w:val="zh-CN" w:bidi="zh-CN"/>
    </w:rPr>
  </w:style>
  <w:style w:type="character" w:customStyle="1" w:styleId="19">
    <w:name w:val="NormalCharacter"/>
    <w:semiHidden/>
    <w:qFormat/>
    <w:uiPriority w:val="0"/>
  </w:style>
  <w:style w:type="character" w:customStyle="1" w:styleId="20">
    <w:name w:val="font31"/>
    <w:basedOn w:val="12"/>
    <w:qFormat/>
    <w:uiPriority w:val="0"/>
    <w:rPr>
      <w:rFonts w:hint="eastAsia" w:ascii="宋体" w:hAnsi="宋体" w:eastAsia="宋体" w:cs="宋体"/>
      <w:color w:val="000000"/>
      <w:sz w:val="24"/>
      <w:szCs w:val="24"/>
      <w:u w:val="none"/>
    </w:rPr>
  </w:style>
  <w:style w:type="character" w:customStyle="1" w:styleId="21">
    <w:name w:val="font11"/>
    <w:basedOn w:val="12"/>
    <w:qFormat/>
    <w:uiPriority w:val="0"/>
    <w:rPr>
      <w:rFonts w:hint="eastAsia" w:ascii="宋体" w:hAnsi="宋体" w:eastAsia="宋体" w:cs="宋体"/>
      <w:color w:val="000000"/>
      <w:sz w:val="24"/>
      <w:szCs w:val="24"/>
      <w:u w:val="none"/>
    </w:rPr>
  </w:style>
  <w:style w:type="character" w:customStyle="1" w:styleId="22">
    <w:name w:val="font41"/>
    <w:basedOn w:val="12"/>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WZSZYY.CN</Company>
  <Pages>10</Pages>
  <Words>6092</Words>
  <Characters>6308</Characters>
  <Lines>6</Lines>
  <Paragraphs>1</Paragraphs>
  <TotalTime>0</TotalTime>
  <ScaleCrop>false</ScaleCrop>
  <LinksUpToDate>false</LinksUpToDate>
  <CharactersWithSpaces>6695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2020-04-25T02:43:00Z</dcterms:created>
  <dc:creator>test</dc:creator>
  <cp:lastModifiedBy>咔咔</cp:lastModifiedBy>
  <dcterms:modified xsi:type="dcterms:W3CDTF">2023-04-21T05:58:43Z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eyJoZGlkIjoiMjRiMzIwNTY3MTczYzNiN2UxOGJmYzAxNjg5MjZiNzQifQ==</vt:lpwstr>
  </property>
  <property fmtid="{D5CDD505-2E9C-101B-9397-08002B2CF9AE}" pid="3" name="KSOProductBuildVer">
    <vt:lpwstr>2052-11.1.0.14036</vt:lpwstr>
  </property>
  <property fmtid="{D5CDD505-2E9C-101B-9397-08002B2CF9AE}" pid="4" name="ICV">
    <vt:lpwstr>99012001CC8449E1B44B4987A03F7E88</vt:lpwstr>
  </property>
</Properties>
</file>