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6"/>
          <w:szCs w:val="56"/>
          <w:highlight w:val="none"/>
          <w:lang w:val="en-US" w:eastAsia="zh-CN"/>
        </w:rPr>
      </w:pPr>
      <w:r>
        <w:rPr>
          <w:rFonts w:hint="eastAsia" w:ascii="宋体" w:hAnsi="宋体" w:eastAsia="宋体" w:cs="宋体"/>
          <w:color w:val="auto"/>
          <w:spacing w:val="20"/>
          <w:sz w:val="96"/>
          <w:szCs w:val="28"/>
          <w:highlight w:val="none"/>
        </w:rPr>
        <w:t>温州市</w:t>
      </w:r>
      <w:r>
        <w:rPr>
          <w:rFonts w:hint="eastAsia" w:ascii="宋体" w:hAnsi="宋体" w:cs="宋体"/>
          <w:color w:val="auto"/>
          <w:spacing w:val="20"/>
          <w:sz w:val="96"/>
          <w:szCs w:val="28"/>
          <w:highlight w:val="none"/>
          <w:lang w:val="en-US" w:eastAsia="zh-CN"/>
        </w:rPr>
        <w:t>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4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4885"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z w:val="30"/>
                <w:szCs w:val="30"/>
                <w:highlight w:val="none"/>
                <w:lang w:eastAsia="zh-CN"/>
              </w:rPr>
              <w:t>WZLCZB（W）-2023-04176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488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医疗设备精细化管理系统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488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488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2"/>
        <w:rPr>
          <w:rFonts w:hint="eastAsia"/>
        </w:rPr>
      </w:pPr>
    </w:p>
    <w:p>
      <w:pPr>
        <w:pStyle w:val="2"/>
        <w:rPr>
          <w:rFonts w:hint="eastAsia" w:ascii="宋体" w:hAnsi="宋体" w:eastAsia="宋体" w:cs="宋体"/>
          <w:b/>
          <w:color w:val="auto"/>
          <w:spacing w:val="40"/>
          <w:sz w:val="30"/>
          <w:szCs w:val="30"/>
          <w:highlight w:val="none"/>
        </w:rPr>
      </w:pPr>
    </w:p>
    <w:p>
      <w:pPr>
        <w:rPr>
          <w:rFonts w:hint="eastAsia"/>
        </w:rPr>
      </w:pPr>
    </w:p>
    <w:p>
      <w:pPr>
        <w:spacing w:line="600" w:lineRule="exact"/>
        <w:jc w:val="center"/>
        <w:rPr>
          <w:rFonts w:hint="eastAsia" w:ascii="宋体" w:hAnsi="宋体" w:eastAsia="宋体" w:cs="宋体"/>
          <w:color w:val="000000" w:themeColor="text1"/>
          <w:spacing w:val="30"/>
          <w:sz w:val="30"/>
          <w:highlight w:val="none"/>
          <w:lang w:eastAsia="zh-CN"/>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 标 人:</w:t>
      </w:r>
      <w:r>
        <w:rPr>
          <w:rFonts w:hint="eastAsia" w:ascii="宋体" w:hAnsi="宋体" w:cs="宋体"/>
          <w:color w:val="000000" w:themeColor="text1"/>
          <w:spacing w:val="30"/>
          <w:sz w:val="30"/>
          <w:highlight w:val="none"/>
          <w:lang w:eastAsia="zh-CN"/>
          <w14:textFill>
            <w14:solidFill>
              <w14:schemeClr w14:val="tx1"/>
            </w14:solidFill>
          </w14:textFill>
        </w:rPr>
        <w:t>温州市中医院</w:t>
      </w:r>
    </w:p>
    <w:p>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招标代理机构：温州历程招标有限公司</w:t>
      </w:r>
    </w:p>
    <w:p>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二0二</w:t>
      </w:r>
      <w:r>
        <w:rPr>
          <w:rFonts w:hint="eastAsia" w:ascii="宋体" w:hAnsi="宋体" w:cs="宋体"/>
          <w:color w:val="000000" w:themeColor="text1"/>
          <w:spacing w:val="30"/>
          <w:sz w:val="30"/>
          <w:highlight w:val="none"/>
          <w:lang w:val="en-US" w:eastAsia="zh-CN"/>
          <w14:textFill>
            <w14:solidFill>
              <w14:schemeClr w14:val="tx1"/>
            </w14:solidFill>
          </w14:textFill>
        </w:rPr>
        <w:t>三</w:t>
      </w:r>
      <w:r>
        <w:rPr>
          <w:rFonts w:hint="eastAsia" w:ascii="宋体" w:hAnsi="宋体" w:eastAsia="宋体" w:cs="宋体"/>
          <w:color w:val="000000" w:themeColor="text1"/>
          <w:spacing w:val="30"/>
          <w:sz w:val="30"/>
          <w:highlight w:val="none"/>
          <w14:textFill>
            <w14:solidFill>
              <w14:schemeClr w14:val="tx1"/>
            </w14:solidFill>
          </w14:textFill>
        </w:rPr>
        <w:t>年</w:t>
      </w:r>
    </w:p>
    <w:p>
      <w:pPr>
        <w:rPr>
          <w:rFonts w:hint="eastAsia"/>
        </w:rPr>
      </w:pPr>
      <w:r>
        <w:rPr>
          <w:rFonts w:hint="eastAsia" w:ascii="宋体" w:hAnsi="宋体" w:eastAsia="宋体" w:cs="宋体"/>
          <w:b/>
          <w:color w:val="auto"/>
          <w:sz w:val="36"/>
          <w:szCs w:val="36"/>
          <w:highlight w:val="none"/>
        </w:rPr>
        <w:br w:type="page"/>
      </w:r>
    </w:p>
    <w:sdt>
      <w:sdtPr>
        <w:rPr>
          <w:rFonts w:hint="eastAsia" w:ascii="宋体" w:hAnsi="宋体" w:eastAsia="宋体" w:cs="宋体"/>
          <w:kern w:val="2"/>
          <w:sz w:val="21"/>
          <w:szCs w:val="24"/>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40"/>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40"/>
            <w:tabs>
              <w:tab w:val="right" w:leader="dot" w:pos="9638"/>
            </w:tabs>
            <w:spacing w:line="360" w:lineRule="auto"/>
            <w:rPr>
              <w:sz w:val="22"/>
              <w:szCs w:val="28"/>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_Toc6599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招</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标</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公</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_Toc10401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_Toc6224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_Toc19070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_Toc28278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_Toc22646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11</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_Toc18542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_Toc8079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_Toc21056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18</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_Toc19043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20</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_Toc18439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_Toc6368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highlight w:val="none"/>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_Toc5430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_Toc12035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34</w:t>
          </w:r>
          <w:r>
            <w:rPr>
              <w:sz w:val="22"/>
              <w:szCs w:val="28"/>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_Toc25309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34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_Toc31356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34</w:t>
          </w:r>
          <w:r>
            <w:rPr>
              <w:sz w:val="22"/>
              <w:szCs w:val="28"/>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_Toc13639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38</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_Toc3381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 xml:space="preserve">第四部分 </w:t>
          </w:r>
          <w:r>
            <w:rPr>
              <w:rFonts w:hint="eastAsia" w:ascii="宋体" w:hAnsi="宋体" w:cs="宋体"/>
              <w:sz w:val="22"/>
              <w:szCs w:val="28"/>
              <w:lang w:val="en-US" w:eastAsia="zh-CN"/>
            </w:rPr>
            <w:t xml:space="preserve">  </w:t>
          </w:r>
          <w:r>
            <w:rPr>
              <w:rFonts w:hint="eastAsia" w:ascii="宋体" w:hAnsi="宋体" w:eastAsia="宋体" w:cs="宋体"/>
              <w:sz w:val="22"/>
              <w:szCs w:val="28"/>
            </w:rPr>
            <w:t>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50</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_Toc18194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_Toc15713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_Toc23152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_Toc67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_Toc24825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_Toc11450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rPr>
            <w:t xml:space="preserve">五、 </w:t>
          </w:r>
          <w:r>
            <w:rPr>
              <w:rFonts w:hint="eastAsia" w:ascii="宋体" w:hAnsi="宋体" w:eastAsia="宋体" w:cs="宋体"/>
              <w:sz w:val="22"/>
              <w:szCs w:val="24"/>
              <w:highlight w:val="none"/>
            </w:rPr>
            <w:t>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_Toc4727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57</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_Toc3629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58</w:t>
          </w:r>
          <w:r>
            <w:rPr>
              <w:sz w:val="22"/>
              <w:szCs w:val="28"/>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bookmarkStart w:id="86" w:name="_GoBack"/>
          <w:bookmarkEnd w:id="86"/>
        </w:p>
      </w:sdtContent>
    </w:sdt>
    <w:p>
      <w:pPr>
        <w:pStyle w:val="2"/>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rPr>
        <w:t>招</w:t>
      </w:r>
      <w:r>
        <w:rPr>
          <w:rFonts w:hint="eastAsia" w:ascii="宋体" w:hAnsi="宋体" w:eastAsia="宋体" w:cs="宋体"/>
          <w:lang w:val="en-US" w:eastAsia="zh-CN"/>
        </w:rPr>
        <w:t xml:space="preserve"> </w:t>
      </w:r>
      <w:r>
        <w:rPr>
          <w:rFonts w:hint="eastAsia" w:ascii="宋体" w:hAnsi="宋体" w:eastAsia="宋体" w:cs="宋体"/>
        </w:rPr>
        <w:t>标</w:t>
      </w:r>
      <w:r>
        <w:rPr>
          <w:rFonts w:hint="eastAsia" w:ascii="宋体" w:hAnsi="宋体" w:eastAsia="宋体" w:cs="宋体"/>
          <w:lang w:val="en-US" w:eastAsia="zh-CN"/>
        </w:rPr>
        <w:t xml:space="preserve"> </w:t>
      </w:r>
      <w:r>
        <w:rPr>
          <w:rFonts w:hint="eastAsia" w:ascii="宋体" w:hAnsi="宋体" w:eastAsia="宋体" w:cs="宋体"/>
        </w:rPr>
        <w:t>公</w:t>
      </w:r>
      <w:r>
        <w:rPr>
          <w:rFonts w:hint="eastAsia" w:ascii="宋体" w:hAnsi="宋体" w:eastAsia="宋体" w:cs="宋体"/>
          <w:lang w:val="en-US" w:eastAsia="zh-CN"/>
        </w:rPr>
        <w:t xml:space="preserve"> </w:t>
      </w:r>
      <w:r>
        <w:rPr>
          <w:rFonts w:hint="eastAsia" w:ascii="宋体" w:hAnsi="宋体" w:eastAsia="宋体" w:cs="宋体"/>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sz w:val="22"/>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61312;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医疗设备精细化管理系统</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05</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11</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ascii="宋体" w:hAnsi="宋体" w:eastAsia="宋体" w:cs="宋体"/>
          <w:color w:val="auto"/>
          <w:sz w:val="22"/>
          <w:highlight w:val="none"/>
        </w:rPr>
        <w:t>（北京时间）前递交（上传）投标文件。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rPr>
        <w:t>一、项目基本情况</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项目编号：</w:t>
      </w:r>
      <w:r>
        <w:rPr>
          <w:rFonts w:hint="eastAsia"/>
          <w:sz w:val="22"/>
          <w:szCs w:val="22"/>
          <w:u w:val="none"/>
          <w:lang w:eastAsia="zh-CN"/>
        </w:rPr>
        <w:t>WZLCZB（W）-2023-04176</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eastAsia="zh-CN"/>
        </w:rPr>
      </w:pPr>
      <w:r>
        <w:rPr>
          <w:rFonts w:hint="eastAsia"/>
          <w:sz w:val="22"/>
          <w:szCs w:val="22"/>
          <w:u w:val="none"/>
          <w:lang w:val="en-US" w:eastAsia="zh-CN"/>
        </w:rPr>
        <w:t>项目名称：</w:t>
      </w:r>
      <w:r>
        <w:rPr>
          <w:rFonts w:hint="eastAsia"/>
          <w:sz w:val="22"/>
          <w:szCs w:val="22"/>
          <w:u w:val="none"/>
          <w:lang w:eastAsia="zh-CN"/>
        </w:rPr>
        <w:t>医疗设备精细化管理系统</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预算金额（元）：290000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最高限价（元）：290000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采购需求：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标项名称:</w:t>
      </w:r>
      <w:r>
        <w:rPr>
          <w:rFonts w:hint="eastAsia"/>
          <w:sz w:val="22"/>
          <w:szCs w:val="22"/>
          <w:u w:val="none"/>
          <w:lang w:eastAsia="zh-CN"/>
        </w:rPr>
        <w:t>医疗设备精细化管理系统</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数量:1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预算金额（元）：290000</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简要规格描述或项目基本概况介绍、用途：具体详见招标文件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备注：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合同履约期限：标项 1，具体详见招标文件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lang w:val="en-US" w:eastAsia="zh-CN"/>
        </w:rPr>
        <w:t>本项目（否）接受联合体投标。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lang w:val="en-US" w:eastAsia="zh-CN"/>
        </w:rPr>
        <w:t>二、申请人的资格要求：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sz w:val="22"/>
          <w:szCs w:val="22"/>
          <w:u w:val="none"/>
          <w:lang w:val="en-US" w:eastAsia="zh-CN"/>
        </w:rPr>
        <w:t>1.满足《中华人民共和国政府采购法》第二十二条规定；未被“信用中国”（www.creditchina.gov.cn)、中国政府采购网（www.ccgp.gov.cn）</w:t>
      </w:r>
      <w:r>
        <w:rPr>
          <w:rFonts w:hint="eastAsia"/>
          <w:color w:val="auto"/>
          <w:sz w:val="22"/>
          <w:szCs w:val="22"/>
          <w:highlight w:val="none"/>
          <w:u w:val="none"/>
          <w:lang w:val="en-US" w:eastAsia="zh-CN"/>
        </w:rPr>
        <w:t>等有关政府曝光台列入失信被执行人、重大税收违法案件当事人名单、政府采购严重违法失信行为记录名单。</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2.落实政府采购政策需满足的资格要求：无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3.本项目的特定资格要求：无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三、获取招标文件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时间：</w:t>
      </w:r>
      <w:r>
        <w:rPr>
          <w:rFonts w:hint="eastAsia"/>
          <w:sz w:val="22"/>
          <w:szCs w:val="22"/>
          <w:u w:val="none"/>
          <w:lang w:eastAsia="zh-CN"/>
        </w:rPr>
        <w:t>202</w:t>
      </w:r>
      <w:r>
        <w:rPr>
          <w:rFonts w:hint="eastAsia"/>
          <w:sz w:val="22"/>
          <w:szCs w:val="22"/>
          <w:u w:val="none"/>
          <w:lang w:val="en-US" w:eastAsia="zh-CN"/>
        </w:rPr>
        <w:t>3</w:t>
      </w:r>
      <w:r>
        <w:rPr>
          <w:rFonts w:hint="eastAsia"/>
          <w:sz w:val="22"/>
          <w:szCs w:val="22"/>
          <w:u w:val="none"/>
          <w:lang w:eastAsia="zh-CN"/>
        </w:rPr>
        <w:t>年</w:t>
      </w:r>
      <w:r>
        <w:rPr>
          <w:rFonts w:hint="eastAsia"/>
          <w:sz w:val="22"/>
          <w:szCs w:val="22"/>
          <w:u w:val="none"/>
          <w:lang w:val="en-US" w:eastAsia="zh-CN"/>
        </w:rPr>
        <w:t>04</w:t>
      </w:r>
      <w:r>
        <w:rPr>
          <w:rFonts w:hint="eastAsia"/>
          <w:sz w:val="22"/>
          <w:szCs w:val="22"/>
          <w:u w:val="none"/>
        </w:rPr>
        <w:t>月</w:t>
      </w:r>
      <w:r>
        <w:rPr>
          <w:rFonts w:hint="eastAsia"/>
          <w:sz w:val="22"/>
          <w:szCs w:val="22"/>
          <w:u w:val="none"/>
          <w:lang w:val="en-US" w:eastAsia="zh-CN"/>
        </w:rPr>
        <w:t>20</w:t>
      </w:r>
      <w:r>
        <w:rPr>
          <w:rFonts w:hint="eastAsia"/>
          <w:sz w:val="22"/>
          <w:szCs w:val="22"/>
          <w:u w:val="none"/>
        </w:rPr>
        <w:t>日至</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05</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11</w:t>
      </w:r>
      <w:r>
        <w:rPr>
          <w:rFonts w:hint="eastAsia" w:ascii="宋体" w:hAnsi="宋体" w:eastAsia="宋体" w:cs="宋体"/>
          <w:color w:val="auto"/>
          <w:sz w:val="22"/>
          <w:highlight w:val="none"/>
        </w:rPr>
        <w:t>日</w:t>
      </w:r>
      <w:r>
        <w:rPr>
          <w:rFonts w:hint="eastAsia"/>
          <w:sz w:val="22"/>
          <w:szCs w:val="22"/>
          <w:u w:val="none"/>
        </w:rPr>
        <w:t>，每天上午00:00至12:00，下午12:00至23:59（北京时间，线上获取法定节假日均可，线下获取文件法定节假日除外）</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地点（网址）：浙江政府采购网（https://zfcg.czt.zj.gov.cn/）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方式：供应商登录政采云平台https://www.zcygov.cn/在线申请获取采购文件（进入“项目采购”应用，在获取采购文件菜单中选择项目，申请获取采购文件）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售价（元）：0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四、提交投标文件截止时间、开标时间和地点</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提交投标文件截止时间：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05</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11</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sz w:val="22"/>
          <w:szCs w:val="22"/>
          <w:u w:val="none"/>
        </w:rPr>
        <w:t>（北京时间）</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05</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11</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b/>
          <w:bCs/>
          <w:sz w:val="22"/>
          <w:szCs w:val="22"/>
          <w:u w:val="none"/>
        </w:rPr>
        <w:t>五、公告期限</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自本公告发布之日起5个工作日。</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六、其他补充事宜</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温州市中医院</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ascii="宋体" w:hAnsi="宋体" w:eastAsia="宋体" w:cs="宋体"/>
          <w:i w:val="0"/>
          <w:iCs w:val="0"/>
          <w:caps w:val="0"/>
          <w:color w:val="auto"/>
          <w:spacing w:val="0"/>
          <w:sz w:val="22"/>
          <w:szCs w:val="22"/>
          <w:highlight w:val="none"/>
          <w:shd w:val="clear" w:fill="FFFFFF"/>
        </w:rPr>
        <w:t>温州市六虹桥蛟尾路9号</w:t>
      </w:r>
      <w:r>
        <w:rPr>
          <w:rFonts w:hint="eastAsia"/>
          <w:color w:val="auto"/>
          <w:sz w:val="22"/>
          <w:szCs w:val="22"/>
          <w:highlight w:val="none"/>
          <w:u w:val="none"/>
        </w:rPr>
        <w:t xml:space="preserve">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color w:val="auto"/>
          <w:sz w:val="22"/>
          <w:szCs w:val="22"/>
          <w:highlight w:val="none"/>
          <w:u w:val="none"/>
          <w:lang w:val="en-US" w:eastAsia="zh-CN"/>
        </w:rPr>
        <w:t>/</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ascii="宋体" w:hAnsi="宋体" w:eastAsia="宋体" w:cs="宋体"/>
          <w:i w:val="0"/>
          <w:iCs w:val="0"/>
          <w:caps w:val="0"/>
          <w:color w:val="auto"/>
          <w:spacing w:val="0"/>
          <w:sz w:val="22"/>
          <w:szCs w:val="22"/>
          <w:highlight w:val="none"/>
          <w:shd w:val="clear" w:fill="FFFFFF"/>
        </w:rPr>
        <w:t>李先生</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w:t>
      </w:r>
      <w:r>
        <w:rPr>
          <w:rFonts w:hint="eastAsia" w:ascii="宋体" w:hAnsi="宋体" w:eastAsia="宋体" w:cs="宋体"/>
          <w:i w:val="0"/>
          <w:iCs w:val="0"/>
          <w:caps w:val="0"/>
          <w:color w:val="auto"/>
          <w:spacing w:val="0"/>
          <w:sz w:val="22"/>
          <w:szCs w:val="22"/>
          <w:highlight w:val="none"/>
          <w:shd w:val="clear" w:fill="FFFFFF"/>
        </w:rPr>
        <w:t>0577-56671516</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温州市鹿城区学院中路229号三想集团5楼</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项目联系人（询问）：温碧霞</w:t>
      </w:r>
      <w:r>
        <w:rPr>
          <w:rFonts w:hint="eastAsia"/>
          <w:color w:val="auto"/>
          <w:sz w:val="22"/>
          <w:szCs w:val="22"/>
          <w:highlight w:val="none"/>
          <w:u w:val="none"/>
          <w:lang w:eastAsia="zh-CN"/>
        </w:rPr>
        <w:t>、</w:t>
      </w:r>
      <w:r>
        <w:rPr>
          <w:rFonts w:hint="eastAsia"/>
          <w:color w:val="auto"/>
          <w:sz w:val="22"/>
          <w:szCs w:val="22"/>
          <w:highlight w:val="none"/>
          <w:u w:val="none"/>
          <w:lang w:val="en-US" w:eastAsia="zh-CN"/>
        </w:rPr>
        <w:t>郑永强</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pPr>
        <w:pStyle w:val="49"/>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采购监督管理部门</w:t>
      </w:r>
    </w:p>
    <w:p>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w:t>
      </w:r>
      <w:r>
        <w:rPr>
          <w:rFonts w:hint="eastAsia"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称：</w:t>
      </w:r>
      <w:r>
        <w:rPr>
          <w:rFonts w:hint="eastAsia" w:cs="宋体"/>
          <w:color w:val="auto"/>
          <w:sz w:val="22"/>
          <w:szCs w:val="22"/>
          <w:highlight w:val="none"/>
          <w:u w:val="none"/>
          <w:lang w:eastAsia="zh-CN"/>
        </w:rPr>
        <w:t>温州市中医院</w:t>
      </w:r>
      <w:r>
        <w:rPr>
          <w:rFonts w:hint="eastAsia" w:ascii="宋体" w:hAnsi="宋体" w:eastAsia="宋体" w:cs="宋体"/>
          <w:color w:val="auto"/>
          <w:sz w:val="22"/>
          <w:szCs w:val="22"/>
          <w:highlight w:val="none"/>
          <w:u w:val="none"/>
          <w:lang w:eastAsia="zh-CN"/>
        </w:rPr>
        <w:t>监察室</w:t>
      </w:r>
      <w:r>
        <w:rPr>
          <w:rFonts w:hint="eastAsia" w:ascii="宋体" w:hAnsi="宋体" w:eastAsia="宋体" w:cs="宋体"/>
          <w:color w:val="auto"/>
          <w:sz w:val="22"/>
          <w:highlight w:val="none"/>
          <w:lang w:val="en-US" w:eastAsia="zh-CN"/>
        </w:rPr>
        <w:t> </w:t>
      </w:r>
    </w:p>
    <w:p>
      <w:pPr>
        <w:tabs>
          <w:tab w:val="left" w:pos="360"/>
        </w:tabs>
        <w:spacing w:line="46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电</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话：0577-56671511</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sz w:val="22"/>
          <w:szCs w:val="22"/>
          <w:u w:val="none"/>
        </w:rPr>
        <w:t>　</w:t>
      </w:r>
    </w:p>
    <w:p>
      <w:pPr>
        <w:rPr>
          <w:rFonts w:hint="eastAsia" w:ascii="宋体" w:hAnsi="宋体" w:eastAsia="宋体" w:cs="宋体"/>
        </w:rPr>
      </w:pPr>
      <w:bookmarkStart w:id="2" w:name="_Toc5772"/>
      <w:bookmarkStart w:id="3" w:name="_Toc10401"/>
      <w:r>
        <w:rPr>
          <w:rFonts w:hint="eastAsia" w:ascii="宋体" w:hAnsi="宋体" w:eastAsia="宋体" w:cs="宋体"/>
        </w:rPr>
        <w:br w:type="page"/>
      </w:r>
    </w:p>
    <w:p>
      <w:pPr>
        <w:pStyle w:val="2"/>
        <w:bidi w:val="0"/>
        <w:rPr>
          <w:rFonts w:hint="eastAsia" w:ascii="宋体" w:hAnsi="宋体" w:eastAsia="宋体" w:cs="宋体"/>
        </w:rPr>
      </w:pPr>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233618971"/>
      <w:bookmarkStart w:id="5" w:name="_Toc33194387"/>
      <w:bookmarkStart w:id="6" w:name="_Toc354996695"/>
      <w:bookmarkStart w:id="7" w:name="_Toc1839"/>
      <w:bookmarkStart w:id="8" w:name="_Toc6224"/>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医疗设备精细化管理系统</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1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2877"/>
              <w:gridCol w:w="775"/>
              <w:gridCol w:w="1788"/>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877"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7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825"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877"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医疗设备精细化管理系统</w:t>
                  </w:r>
                </w:p>
              </w:tc>
              <w:tc>
                <w:tcPr>
                  <w:tcW w:w="77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1项</w:t>
                  </w:r>
                </w:p>
              </w:tc>
              <w:tc>
                <w:tcPr>
                  <w:tcW w:w="1788"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290000</w:t>
                  </w:r>
                </w:p>
              </w:tc>
              <w:tc>
                <w:tcPr>
                  <w:tcW w:w="287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eastAsia="宋体" w:cs="宋体"/>
                <w:color w:val="auto"/>
                <w:sz w:val="22"/>
                <w:szCs w:val="22"/>
                <w:highlight w:val="none"/>
              </w:rPr>
              <w:t>根据国家计委计价格【2002】1980号《招标代理服务收费管理暂行办法》规定</w:t>
            </w:r>
            <w:r>
              <w:rPr>
                <w:rFonts w:hint="eastAsia" w:ascii="宋体" w:hAnsi="宋体" w:eastAsia="宋体" w:cs="宋体"/>
                <w:color w:val="auto"/>
                <w:sz w:val="22"/>
                <w:szCs w:val="22"/>
                <w:highlight w:val="none"/>
                <w:lang w:val="en-US" w:eastAsia="zh-CN"/>
              </w:rPr>
              <w:t>标准的75%</w:t>
            </w:r>
            <w:r>
              <w:rPr>
                <w:rFonts w:hint="eastAsia" w:ascii="宋体" w:hAnsi="宋体" w:eastAsia="宋体" w:cs="宋体"/>
                <w:color w:val="auto"/>
                <w:sz w:val="22"/>
                <w:szCs w:val="22"/>
                <w:highlight w:val="none"/>
              </w:rPr>
              <w:t>收取,由中标人在领取中标通知书时支付。</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开户行：中国建设银行温州黎明支行</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政采云平台技术服务费：</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由政采云公司向中标供应商收取，该费用由采购代理公司在发布中标公告前先行代为缴纳，中标供应商在领取中标通知书时将该费用按实际缴纳金额（含税费）支付给代理机构。</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（一）不涉及合同金额的采购项目，技术服务费500元/件；</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（二）涉及合同金额的采购项目，根据合同标的额，按照下列比例收费：</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中标价50万元以下(含50万元)：按500元收取；50万元以上：千分之一（1‰）。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sz w:val="22"/>
                <w:szCs w:val="28"/>
              </w:rPr>
            </w:pPr>
            <w:r>
              <w:rPr>
                <w:rFonts w:hint="eastAsia"/>
                <w:sz w:val="22"/>
                <w:szCs w:val="28"/>
              </w:rPr>
              <w:t>投标文件份数：</w:t>
            </w:r>
          </w:p>
          <w:p>
            <w:pPr>
              <w:numPr>
                <w:ilvl w:val="0"/>
                <w:numId w:val="2"/>
              </w:numPr>
              <w:spacing w:line="460" w:lineRule="exact"/>
              <w:rPr>
                <w:rFonts w:hint="eastAsia"/>
                <w:sz w:val="22"/>
                <w:szCs w:val="28"/>
              </w:rPr>
            </w:pPr>
            <w:r>
              <w:rPr>
                <w:rFonts w:hint="eastAsia"/>
                <w:sz w:val="22"/>
                <w:szCs w:val="28"/>
              </w:rPr>
              <w:t>“电子加密投标文件”：在线上传递交、一份。</w:t>
            </w:r>
          </w:p>
          <w:p>
            <w:pPr>
              <w:numPr>
                <w:ilvl w:val="0"/>
                <w:numId w:val="2"/>
              </w:numPr>
              <w:spacing w:line="460" w:lineRule="exact"/>
              <w:rPr>
                <w:rFonts w:hint="eastAsia"/>
                <w:sz w:val="22"/>
                <w:szCs w:val="28"/>
              </w:rPr>
            </w:pPr>
            <w:r>
              <w:rPr>
                <w:rFonts w:hint="eastAsia"/>
                <w:sz w:val="22"/>
                <w:szCs w:val="28"/>
              </w:rPr>
              <w:t>“备份投标文件”：密封包装后投标截止时间前递交、一份</w:t>
            </w:r>
          </w:p>
          <w:p>
            <w:pPr>
              <w:spacing w:line="460" w:lineRule="exact"/>
              <w:rPr>
                <w:rFonts w:hint="eastAsia"/>
                <w:sz w:val="22"/>
                <w:szCs w:val="28"/>
              </w:rPr>
            </w:pPr>
            <w:r>
              <w:rPr>
                <w:rFonts w:hint="eastAsia"/>
                <w:sz w:val="22"/>
                <w:szCs w:val="28"/>
              </w:rPr>
              <w:t>（若不提供备份投标文件，开标当天电子加密投标文件解密失败，投标人自行负责。）</w:t>
            </w:r>
          </w:p>
          <w:p>
            <w:pPr>
              <w:tabs>
                <w:tab w:val="left" w:pos="360"/>
              </w:tabs>
              <w:spacing w:line="460" w:lineRule="exact"/>
              <w:rPr>
                <w:rFonts w:hint="eastAsia"/>
                <w:sz w:val="22"/>
                <w:szCs w:val="28"/>
              </w:rPr>
            </w:pPr>
            <w:r>
              <w:rPr>
                <w:rFonts w:hint="eastAsia"/>
                <w:sz w:val="22"/>
                <w:szCs w:val="28"/>
              </w:rPr>
              <w:t>可以（邮寄形式，建议顺丰）在投标截止时间前递交，并需采购代理机构确认是否收到，</w:t>
            </w:r>
          </w:p>
          <w:p>
            <w:pPr>
              <w:spacing w:line="460" w:lineRule="exact"/>
              <w:rPr>
                <w:rFonts w:hint="eastAsia"/>
                <w:sz w:val="22"/>
                <w:szCs w:val="28"/>
                <w:lang w:eastAsia="zh-CN"/>
              </w:rPr>
            </w:pPr>
            <w:r>
              <w:rPr>
                <w:rFonts w:hint="eastAsia"/>
                <w:sz w:val="22"/>
                <w:szCs w:val="28"/>
              </w:rPr>
              <w:t>邮寄地址：</w:t>
            </w:r>
            <w:r>
              <w:rPr>
                <w:rFonts w:hint="eastAsia"/>
                <w:sz w:val="22"/>
                <w:szCs w:val="28"/>
                <w:lang w:eastAsia="zh-CN"/>
              </w:rPr>
              <w:t>温州市鹿城区学院中路229号三想集团5楼</w:t>
            </w:r>
          </w:p>
          <w:p>
            <w:pPr>
              <w:spacing w:line="460" w:lineRule="exact"/>
              <w:rPr>
                <w:rFonts w:hint="default" w:eastAsia="宋体"/>
                <w:lang w:val="en-US" w:eastAsia="zh-CN"/>
              </w:rPr>
            </w:pPr>
            <w:r>
              <w:rPr>
                <w:rFonts w:hint="eastAsia"/>
                <w:sz w:val="22"/>
                <w:szCs w:val="28"/>
                <w:lang w:val="en-US" w:eastAsia="zh-CN"/>
              </w:rPr>
              <w:t>联系人：温先生    联系电话</w:t>
            </w:r>
            <w:r>
              <w:rPr>
                <w:rFonts w:hint="eastAsia"/>
                <w:b w:val="0"/>
                <w:bCs w:val="0"/>
                <w:sz w:val="22"/>
                <w:szCs w:val="28"/>
                <w:lang w:val="en-US" w:eastAsia="zh-CN"/>
              </w:rPr>
              <w:t>：</w:t>
            </w:r>
            <w:r>
              <w:rPr>
                <w:rFonts w:hint="eastAsia"/>
                <w:sz w:val="22"/>
                <w:szCs w:val="28"/>
                <w:lang w:val="en-US" w:eastAsia="zh-CN"/>
              </w:rPr>
              <w:t>13757727199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05</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11</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05</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11</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1、本项目对符合财政扶持政策的中小企业（小型、微型）、监狱企业、残疾人福利性单位给予价格优惠扶持，价格优惠扶持见：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满足转发财政部 工业和信息化部关于印发《政府采购促进中小企业发展管理办法》的通知（财库﹝2020﹞46号）的规定的中小企业可享受优惠扶持。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2、节能产品、环境标志产品的强制采购政策</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）投标人信用查询</w:t>
      </w:r>
      <w:r>
        <w:rPr>
          <w:rFonts w:hint="eastAsia" w:ascii="宋体" w:hAnsi="宋体" w:cs="宋体"/>
          <w:color w:val="auto"/>
          <w:sz w:val="22"/>
          <w:szCs w:val="22"/>
          <w:highlight w:val="none"/>
          <w:u w:val="none"/>
          <w:lang w:val="en-US" w:eastAsia="zh-CN"/>
        </w:rPr>
        <w:t>；</w:t>
      </w:r>
    </w:p>
    <w:p>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采购活动现场确认声明书</w:t>
      </w:r>
      <w:r>
        <w:rPr>
          <w:rFonts w:hint="eastAsia" w:ascii="宋体" w:hAnsi="宋体" w:cs="宋体"/>
          <w:color w:val="auto"/>
          <w:sz w:val="22"/>
          <w:szCs w:val="22"/>
          <w:highlight w:val="none"/>
          <w:u w:val="none"/>
          <w:lang w:eastAsia="zh-CN"/>
        </w:rPr>
        <w:t>；</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投标人情况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培训服务</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总体投标方案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实施方案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售后服务</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本地化服务</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同类项目业绩</w:t>
      </w:r>
    </w:p>
    <w:p>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）其他必要提供的资料。</w:t>
      </w:r>
    </w:p>
    <w:p>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pPr>
        <w:pStyle w:val="31"/>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pPr>
        <w:pStyle w:val="31"/>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投标报价以人民币为结算货币，承包报价必须包括完成本项目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5.1自开标之日起 120 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8.2《投标文件》应由投标人法定代表人或其授权代表签字（或盖章），并时加盖投标人公章。</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8542"/>
      <w:bookmarkStart w:id="17" w:name="_Toc1542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 xml:space="preserve"> 采购组织机构将按照招标文件规定的时间通过“政府采购云平台”组织开标、开启投标文件，所有供应商均应当准时(在线)参加。</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rPr>
      </w:pPr>
      <w:bookmarkStart w:id="24" w:name="_Toc28194"/>
      <w:bookmarkStart w:id="25" w:name="_Toc19043"/>
    </w:p>
    <w:p>
      <w:pPr>
        <w:rPr>
          <w:rFonts w:hint="eastAsia" w:ascii="宋体" w:hAnsi="宋体" w:eastAsia="宋体" w:cs="宋体"/>
        </w:rPr>
      </w:pPr>
      <w:r>
        <w:rPr>
          <w:rFonts w:hint="eastAsia" w:ascii="宋体" w:hAnsi="宋体" w:eastAsia="宋体" w:cs="宋体"/>
        </w:rPr>
        <w:br w:type="page"/>
      </w:r>
    </w:p>
    <w:p>
      <w:pPr>
        <w:pStyle w:val="2"/>
        <w:bidi w:val="0"/>
        <w:rPr>
          <w:rFonts w:hint="eastAsia" w:ascii="宋体" w:hAnsi="宋体" w:eastAsia="宋体" w:cs="宋体"/>
        </w:rPr>
      </w:pPr>
      <w:r>
        <w:rPr>
          <w:rFonts w:hint="eastAsia" w:ascii="宋体" w:hAnsi="宋体" w:eastAsia="宋体" w:cs="宋体"/>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widowControl/>
        <w:tabs>
          <w:tab w:val="left" w:pos="495"/>
        </w:tabs>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黑体"/>
          <w:b/>
          <w:bCs/>
          <w:color w:val="auto"/>
          <w:kern w:val="0"/>
          <w:sz w:val="22"/>
          <w:szCs w:val="22"/>
          <w:highlight w:val="none"/>
        </w:rPr>
        <w:t>一、</w:t>
      </w:r>
      <w:r>
        <w:rPr>
          <w:rFonts w:hint="eastAsia" w:ascii="新宋体" w:hAnsi="新宋体" w:eastAsia="新宋体" w:cs="宋体"/>
          <w:b/>
          <w:bCs/>
          <w:color w:val="auto"/>
          <w:kern w:val="0"/>
          <w:sz w:val="22"/>
          <w:szCs w:val="22"/>
          <w:highlight w:val="none"/>
        </w:rPr>
        <w:t>总则</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 xml:space="preserve">（一） </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年</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月</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日在</w:t>
      </w:r>
      <w:r>
        <w:rPr>
          <w:rFonts w:hint="eastAsia" w:ascii="新宋体" w:hAnsi="新宋体" w:eastAsia="新宋体" w:cs="仿宋_GB2312"/>
          <w:color w:val="auto"/>
          <w:kern w:val="0"/>
          <w:sz w:val="22"/>
          <w:szCs w:val="22"/>
          <w:highlight w:val="none"/>
          <w:lang w:eastAsia="zh-CN"/>
        </w:rPr>
        <w:t>温州市中医院</w:t>
      </w:r>
      <w:r>
        <w:rPr>
          <w:rFonts w:hint="eastAsia" w:ascii="新宋体" w:hAnsi="新宋体" w:eastAsia="新宋体" w:cs="仿宋_GB2312"/>
          <w:color w:val="auto"/>
          <w:kern w:val="0"/>
          <w:sz w:val="22"/>
          <w:szCs w:val="22"/>
          <w:highlight w:val="none"/>
        </w:rPr>
        <w:t>的招标采购中，甲方接受乙方对本次</w:t>
      </w:r>
      <w:r>
        <w:rPr>
          <w:rFonts w:hint="eastAsia" w:ascii="新宋体" w:hAnsi="新宋体" w:eastAsia="新宋体" w:cs="仿宋_GB2312"/>
          <w:color w:val="auto"/>
          <w:kern w:val="0"/>
          <w:sz w:val="22"/>
          <w:szCs w:val="22"/>
          <w:highlight w:val="none"/>
          <w:u w:val="single"/>
          <w:lang w:val="en-US" w:eastAsia="zh-CN"/>
        </w:rPr>
        <w:t xml:space="preserve">   </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项目的投标，甲、乙双方根据《中华人民共和国民法典》、《中华人民共和国政府采购法》等法律法规和本合同的招标文件、投标文件及其投标中的承诺，经双方协商，同意按下述条款和条件签订本合同，共同遵守。</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（二）项目建设目标：（根据招标文件、投标文件内容填写）</w:t>
      </w:r>
    </w:p>
    <w:p>
      <w:pPr>
        <w:widowControl/>
        <w:numPr>
          <w:ilvl w:val="0"/>
          <w:numId w:val="3"/>
        </w:numPr>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项目建设内容：（根据招标文件、投标文件内容填写）</w:t>
      </w:r>
    </w:p>
    <w:p>
      <w:pPr>
        <w:widowControl/>
        <w:tabs>
          <w:tab w:val="left" w:pos="495"/>
        </w:tabs>
        <w:snapToGrid w:val="0"/>
        <w:spacing w:line="460" w:lineRule="exact"/>
        <w:jc w:val="lef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二、甲方责任</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 xml:space="preserve">（一）甲方提出项目建设任务和需求，负责项目的总体组织工作，并保留根据实际工作需求，提出对项目建设方案进行适当修改的权利。 </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（二）甲方应为乙方的调研、安装、测试、调试等工作提供必要的工作环境及协助人员。</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（三）甲方负责组织由乙方提供的技术培训工作。</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（四）甲方负责协调最终甲方和乙方的关系，并提供最终甲方的联系方式。</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（五）甲方对乙方向甲方提供的内部资料予以保密，且不向任何第三方泄露乙方的商业机密和技术机密。</w:t>
      </w:r>
    </w:p>
    <w:p>
      <w:pPr>
        <w:widowControl/>
        <w:tabs>
          <w:tab w:val="left" w:pos="495"/>
        </w:tabs>
        <w:snapToGrid w:val="0"/>
        <w:spacing w:line="460" w:lineRule="exact"/>
        <w:jc w:val="lef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三、乙方责任</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（一）乙方应根据项目招标文件的要求细化项目建设需求，并根据投标文件进行项目建设，负责项目的具体实施工作。</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（二）乙方根据招标文件的基本技术要求与甲方共同确定项目所需的系统软件、硬件的数量及规格要求。</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（三）乙方保证按合同规定时间完工，并在工程结束时提交完整的相应技术文档及用户手册，并积极配合甲方对工程项目进行验收。</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（四）乙方向甲方提供</w:t>
      </w:r>
      <w:r>
        <w:rPr>
          <w:rFonts w:hint="eastAsia" w:ascii="新宋体" w:hAnsi="新宋体" w:eastAsia="新宋体" w:cs="仿宋_GB2312"/>
          <w:color w:val="auto"/>
          <w:kern w:val="0"/>
          <w:sz w:val="22"/>
          <w:szCs w:val="22"/>
          <w:highlight w:val="none"/>
          <w:u w:val="single"/>
        </w:rPr>
        <w:t xml:space="preserve"> ≥1</w:t>
      </w:r>
      <w:r>
        <w:rPr>
          <w:rFonts w:hint="default" w:ascii="新宋体" w:hAnsi="新宋体" w:eastAsia="新宋体" w:cs="仿宋_GB2312"/>
          <w:color w:val="auto"/>
          <w:kern w:val="0"/>
          <w:sz w:val="22"/>
          <w:szCs w:val="22"/>
          <w:highlight w:val="none"/>
          <w:u w:val="single"/>
          <w:lang w:eastAsia="zh-CN"/>
        </w:rPr>
        <w:t xml:space="preserve"> </w:t>
      </w:r>
      <w:r>
        <w:rPr>
          <w:rFonts w:hint="eastAsia" w:ascii="新宋体" w:hAnsi="新宋体" w:eastAsia="新宋体" w:cs="仿宋_GB2312"/>
          <w:color w:val="auto"/>
          <w:kern w:val="0"/>
          <w:sz w:val="22"/>
          <w:szCs w:val="22"/>
          <w:highlight w:val="none"/>
        </w:rPr>
        <w:t>年的</w:t>
      </w:r>
      <w:r>
        <w:rPr>
          <w:rFonts w:hint="eastAsia" w:ascii="新宋体" w:hAnsi="新宋体" w:eastAsia="新宋体" w:cs="仿宋_GB2312"/>
          <w:color w:val="auto"/>
          <w:kern w:val="0"/>
          <w:sz w:val="22"/>
          <w:szCs w:val="22"/>
          <w:highlight w:val="none"/>
          <w:u w:val="none"/>
        </w:rPr>
        <w:t>原厂商</w:t>
      </w:r>
      <w:r>
        <w:rPr>
          <w:rFonts w:hint="eastAsia" w:ascii="新宋体" w:hAnsi="新宋体" w:eastAsia="新宋体" w:cs="仿宋_GB2312"/>
          <w:color w:val="auto"/>
          <w:kern w:val="0"/>
          <w:sz w:val="22"/>
          <w:szCs w:val="22"/>
          <w:highlight w:val="none"/>
        </w:rPr>
        <w:t>免费维护和保修服务（详见附件《技术支持和售后服务方案》）(包括软件、硬件及系统)，免费维护和保修服务从验收合格之日起计算。</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（五）乙方为甲方提供项目的所有软件使用、管理及维护等方面的</w:t>
      </w:r>
      <w:r>
        <w:rPr>
          <w:rFonts w:hint="eastAsia" w:ascii="新宋体" w:hAnsi="新宋体" w:eastAsia="新宋体" w:cs="仿宋_GB2312"/>
          <w:color w:val="auto"/>
          <w:kern w:val="0"/>
          <w:sz w:val="22"/>
          <w:szCs w:val="22"/>
          <w:highlight w:val="none"/>
          <w:u w:val="single"/>
        </w:rPr>
        <w:t xml:space="preserve"> 免费</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培训（详见附件《技术支持和售后服务方案》）。</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六）未经甲方书面授权或同意，乙方不得以任何方式将项目部分或全部转交第三方或由第三方提供相关服务。否则一经发现，甲方有权立即单方解除合同，乙方应立即返还甲方已经支付的全部项目款，并赔偿甲方合同总价</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%的违约金。</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（七）乙方应对甲方提供的系统运行中获取的包括但不限于甲方联系方式等内部资料采取必要的保密技术手段，不得运用于乙方任何研发、销售、技术分析等用途，且不得向任何第三方泄露甲方的任何内部资料。</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八）乙方自行负责为其工作人员配备符合工作、劳动条件的设备、装置、器具、保障其饮食起居等问题，在任何情况下乙方对其工作人员的人身安全、施工安全等负全部责任，甲方对此概不负责。如因情况紧急等原因甲方先行承担的，有权向乙方追偿。</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九）乙方应满足上述产品质量标准，并保证该软件硬件的运行不影响甲方内部网络信息安全性和保密性，因乙方没有履行上述义务造成甲方被第三方追责或损失的，乙方应承担全部责任，甲方先行赔偿的，有权按赔偿金额及损失向乙方追偿。</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（十）本项目中定制开发的软件知识产权及使用权归甲方所有，乙方应在项目验收时将该项目定制开发系统的全部源代码无偿交付甲方。</w:t>
      </w:r>
    </w:p>
    <w:p>
      <w:pPr>
        <w:widowControl/>
        <w:tabs>
          <w:tab w:val="left" w:pos="495"/>
        </w:tabs>
        <w:snapToGrid w:val="0"/>
        <w:spacing w:line="460" w:lineRule="exact"/>
        <w:jc w:val="lef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四、项目工期与进度表（请填写招标文件要求的合同工期与进度计划）</w:t>
      </w:r>
    </w:p>
    <w:p>
      <w:pPr>
        <w:widowControl/>
        <w:tabs>
          <w:tab w:val="left" w:pos="495"/>
        </w:tabs>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宋体" w:hAnsi="宋体" w:eastAsia="宋体" w:cs="宋体"/>
          <w:color w:val="auto"/>
          <w:sz w:val="22"/>
          <w:szCs w:val="22"/>
          <w:highlight w:val="none"/>
        </w:rPr>
        <w:t>本次项目建设周期为</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个月</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本建设项目实施阶段工期要求在</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月底之前项目整体交付</w:t>
      </w:r>
      <w:r>
        <w:rPr>
          <w:rFonts w:hint="eastAsia" w:ascii="新宋体" w:hAnsi="新宋体" w:eastAsia="新宋体" w:cs="仿宋_GB2312"/>
          <w:color w:val="auto"/>
          <w:kern w:val="0"/>
          <w:sz w:val="22"/>
          <w:szCs w:val="22"/>
          <w:highlight w:val="none"/>
        </w:rPr>
        <w:t>，工期以合同签订日起计算，项目验收合格日截止。参考项目进度表如下：</w:t>
      </w:r>
    </w:p>
    <w:p>
      <w:pPr>
        <w:pStyle w:val="340"/>
        <w:rPr>
          <w:rFonts w:hint="eastAsia"/>
        </w:rPr>
      </w:pPr>
    </w:p>
    <w:p>
      <w:pPr>
        <w:widowControl/>
        <w:tabs>
          <w:tab w:val="left" w:pos="495"/>
        </w:tabs>
        <w:snapToGrid w:val="0"/>
        <w:spacing w:line="460" w:lineRule="exact"/>
        <w:jc w:val="lef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五、项目上线、试运行和验收</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乙方应在系统上线前，进行完整系统测试后，向甲方提供详细的系统上线方案，由甲方确认。在甲方确认无误后，乙方应负责按系统上线方案进行系统的安装调试工作。在安装、调试过程中，乙方应对甲方技术人员所提出的问题给予满意的答复，并提供安装调试过程中的各种文档资料，以便于甲方能掌握操作方法和维修方法。项目上线后，乙方应向甲方提供安装、调试报告，报告中应包括安装调试结果和安装调试过程中出现的问题及解决办法等内容。</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（二）项目上线、软件及系统的安装调试工作完成后，应进行至少为期</w:t>
      </w:r>
      <w:r>
        <w:rPr>
          <w:rFonts w:hint="eastAsia" w:ascii="新宋体" w:hAnsi="新宋体" w:eastAsia="新宋体" w:cs="仿宋_GB2312"/>
          <w:i/>
          <w:iCs/>
          <w:color w:val="auto"/>
          <w:kern w:val="0"/>
          <w:sz w:val="22"/>
          <w:szCs w:val="22"/>
          <w:highlight w:val="none"/>
          <w:u w:val="single"/>
          <w:lang w:val="en-US" w:eastAsia="zh-CN"/>
        </w:rPr>
        <w:t xml:space="preserve">   </w:t>
      </w:r>
      <w:r>
        <w:rPr>
          <w:rFonts w:hint="eastAsia" w:ascii="新宋体" w:hAnsi="新宋体" w:eastAsia="新宋体" w:cs="仿宋_GB2312"/>
          <w:color w:val="auto"/>
          <w:kern w:val="0"/>
          <w:sz w:val="22"/>
          <w:szCs w:val="22"/>
          <w:highlight w:val="none"/>
        </w:rPr>
        <w:t>个月的试运行，乙方应派遣技术人员（应明确人数及资质要求）免费在现场进行技术服务，负责软件及系统试运行阶段的服务工作。</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（三）在试运行期间，由于各种原因造成某些技术指标达不到要求，乙方应负责解决，且试运行期相应顺延。</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（四）软件及系统试运行结束后，进行验收。</w:t>
      </w:r>
    </w:p>
    <w:p>
      <w:pPr>
        <w:widowControl/>
        <w:tabs>
          <w:tab w:val="left" w:pos="495"/>
        </w:tabs>
        <w:snapToGrid w:val="0"/>
        <w:spacing w:line="460" w:lineRule="exact"/>
        <w:jc w:val="lef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六、售后服务和技术培训</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乙方应按附件《技术支持和售后服务方案》的内容为甲方提供免费技术培训和售后服务。</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七、项目合同金额</w:t>
      </w:r>
    </w:p>
    <w:p>
      <w:pPr>
        <w:keepNext w:val="0"/>
        <w:keepLines w:val="0"/>
        <w:pageBreakBefore w:val="0"/>
        <w:widowControl/>
        <w:kinsoku/>
        <w:wordWrap/>
        <w:overflowPunct/>
        <w:topLinePunct w:val="0"/>
        <w:autoSpaceDE/>
        <w:autoSpaceDN/>
        <w:bidi w:val="0"/>
        <w:adjustRightInd/>
        <w:snapToGrid w:val="0"/>
        <w:spacing w:line="460" w:lineRule="exact"/>
        <w:jc w:val="left"/>
        <w:textAlignment w:val="auto"/>
        <w:outlineLvl w:val="9"/>
        <w:rPr>
          <w:rFonts w:ascii="新宋体" w:hAnsi="新宋体" w:eastAsia="新宋体" w:cs="仿宋_GB2312"/>
          <w:color w:val="auto"/>
          <w:kern w:val="0"/>
          <w:sz w:val="22"/>
          <w:szCs w:val="22"/>
          <w:highlight w:val="none"/>
        </w:rPr>
      </w:pPr>
      <w:bookmarkStart w:id="26" w:name="_Hlk75268894"/>
      <w:r>
        <w:rPr>
          <w:rFonts w:hint="eastAsia" w:ascii="新宋体" w:hAnsi="新宋体" w:eastAsia="新宋体" w:cs="仿宋_GB2312"/>
          <w:color w:val="auto"/>
          <w:kern w:val="0"/>
          <w:sz w:val="22"/>
          <w:szCs w:val="22"/>
          <w:highlight w:val="none"/>
        </w:rPr>
        <w:t>（一）本合同中提及金额均为含税价。</w:t>
      </w:r>
    </w:p>
    <w:p>
      <w:pPr>
        <w:keepNext w:val="0"/>
        <w:keepLines w:val="0"/>
        <w:pageBreakBefore w:val="0"/>
        <w:widowControl/>
        <w:kinsoku/>
        <w:wordWrap/>
        <w:overflowPunct/>
        <w:topLinePunct w:val="0"/>
        <w:autoSpaceDE/>
        <w:autoSpaceDN/>
        <w:bidi w:val="0"/>
        <w:adjustRightInd/>
        <w:snapToGrid w:val="0"/>
        <w:spacing w:line="460" w:lineRule="exact"/>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（二）合同总金额为：人民币：</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元（大写：</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元整）</w:t>
      </w:r>
    </w:p>
    <w:bookmarkEnd w:id="26"/>
    <w:p>
      <w:pPr>
        <w:keepNext w:val="0"/>
        <w:keepLines w:val="0"/>
        <w:pageBreakBefore w:val="0"/>
        <w:widowControl/>
        <w:kinsoku/>
        <w:wordWrap/>
        <w:overflowPunct/>
        <w:topLinePunct w:val="0"/>
        <w:autoSpaceDE/>
        <w:autoSpaceDN/>
        <w:bidi w:val="0"/>
        <w:adjustRightInd/>
        <w:snapToGrid w:val="0"/>
        <w:spacing w:line="460" w:lineRule="exact"/>
        <w:jc w:val="left"/>
        <w:textAlignment w:val="auto"/>
        <w:outlineLvl w:val="9"/>
        <w:rPr>
          <w:rFonts w:hint="eastAsia" w:ascii="新宋体" w:hAnsi="新宋体" w:eastAsia="新宋体" w:cs="仿宋_GB2312"/>
          <w:color w:val="auto"/>
          <w:kern w:val="0"/>
          <w:sz w:val="22"/>
          <w:szCs w:val="22"/>
          <w:highlight w:val="none"/>
        </w:rPr>
      </w:pPr>
      <w:bookmarkStart w:id="27" w:name="_Hlk75268919"/>
      <w:r>
        <w:rPr>
          <w:rFonts w:hint="eastAsia" w:ascii="新宋体" w:hAnsi="新宋体" w:eastAsia="新宋体" w:cs="仿宋_GB2312"/>
          <w:color w:val="auto"/>
          <w:kern w:val="0"/>
          <w:sz w:val="22"/>
          <w:szCs w:val="22"/>
          <w:highlight w:val="none"/>
        </w:rPr>
        <w:t>（三）合同详细价格清单</w:t>
      </w:r>
    </w:p>
    <w:bookmarkEnd w:id="27"/>
    <w:tbl>
      <w:tblPr>
        <w:tblStyle w:val="52"/>
        <w:tblW w:w="994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3550"/>
        <w:gridCol w:w="590"/>
        <w:gridCol w:w="1080"/>
        <w:gridCol w:w="1251"/>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top w:val="double" w:color="auto" w:sz="4" w:space="0"/>
              <w:left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软件模块名称</w:t>
            </w:r>
          </w:p>
        </w:tc>
        <w:tc>
          <w:tcPr>
            <w:tcW w:w="3550" w:type="dxa"/>
            <w:tcBorders>
              <w:top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说明</w:t>
            </w:r>
          </w:p>
        </w:tc>
        <w:tc>
          <w:tcPr>
            <w:tcW w:w="590" w:type="dxa"/>
            <w:tcBorders>
              <w:top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数量</w:t>
            </w:r>
          </w:p>
        </w:tc>
        <w:tc>
          <w:tcPr>
            <w:tcW w:w="1080" w:type="dxa"/>
            <w:tcBorders>
              <w:top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单价</w:t>
            </w:r>
          </w:p>
        </w:tc>
        <w:tc>
          <w:tcPr>
            <w:tcW w:w="1251" w:type="dxa"/>
            <w:tcBorders>
              <w:top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总价</w:t>
            </w:r>
          </w:p>
        </w:tc>
        <w:tc>
          <w:tcPr>
            <w:tcW w:w="1386" w:type="dxa"/>
            <w:tcBorders>
              <w:top w:val="double" w:color="auto" w:sz="4" w:space="0"/>
              <w:right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保修期限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60" w:lineRule="exact"/>
              <w:rPr>
                <w:rFonts w:hint="eastAsia" w:ascii="新宋体" w:hAnsi="新宋体" w:eastAsia="新宋体" w:cs="仿宋_GB2312"/>
                <w:color w:val="auto"/>
                <w:sz w:val="22"/>
                <w:szCs w:val="22"/>
                <w:highlight w:val="none"/>
              </w:rPr>
            </w:pPr>
          </w:p>
        </w:tc>
        <w:tc>
          <w:tcPr>
            <w:tcW w:w="3550" w:type="dxa"/>
            <w:noWrap w:val="0"/>
            <w:vAlign w:val="center"/>
          </w:tcPr>
          <w:p>
            <w:pPr>
              <w:spacing w:line="460" w:lineRule="exact"/>
              <w:rPr>
                <w:rFonts w:hint="eastAsia" w:ascii="新宋体" w:hAnsi="新宋体" w:eastAsia="新宋体" w:cs="仿宋_GB2312"/>
                <w:color w:val="auto"/>
                <w:sz w:val="22"/>
                <w:szCs w:val="22"/>
                <w:highlight w:val="none"/>
              </w:rPr>
            </w:pPr>
          </w:p>
        </w:tc>
        <w:tc>
          <w:tcPr>
            <w:tcW w:w="590" w:type="dxa"/>
            <w:noWrap w:val="0"/>
            <w:vAlign w:val="center"/>
          </w:tcPr>
          <w:p>
            <w:pPr>
              <w:spacing w:line="460" w:lineRule="exact"/>
              <w:jc w:val="center"/>
              <w:rPr>
                <w:rFonts w:hint="eastAsia" w:ascii="新宋体" w:hAnsi="新宋体" w:eastAsia="新宋体" w:cs="仿宋_GB2312"/>
                <w:color w:val="auto"/>
                <w:sz w:val="22"/>
                <w:szCs w:val="22"/>
                <w:highlight w:val="none"/>
              </w:rPr>
            </w:pPr>
          </w:p>
        </w:tc>
        <w:tc>
          <w:tcPr>
            <w:tcW w:w="108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251"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386" w:type="dxa"/>
            <w:tcBorders>
              <w:right w:val="double" w:color="auto" w:sz="4" w:space="0"/>
            </w:tcBorders>
            <w:noWrap w:val="0"/>
            <w:vAlign w:val="center"/>
          </w:tcPr>
          <w:p>
            <w:pPr>
              <w:pStyle w:val="31"/>
              <w:tabs>
                <w:tab w:val="left" w:pos="8540"/>
              </w:tabs>
              <w:spacing w:line="460" w:lineRule="exact"/>
              <w:jc w:val="center"/>
              <w:rPr>
                <w:rFonts w:hint="eastAsia" w:ascii="新宋体" w:hAnsi="新宋体" w:eastAsia="新宋体"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60" w:lineRule="exact"/>
              <w:rPr>
                <w:rFonts w:hint="eastAsia" w:ascii="新宋体" w:hAnsi="新宋体" w:eastAsia="新宋体" w:cs="仿宋_GB2312"/>
                <w:color w:val="auto"/>
                <w:sz w:val="22"/>
                <w:szCs w:val="22"/>
                <w:highlight w:val="none"/>
              </w:rPr>
            </w:pPr>
          </w:p>
        </w:tc>
        <w:tc>
          <w:tcPr>
            <w:tcW w:w="3550" w:type="dxa"/>
            <w:noWrap w:val="0"/>
            <w:vAlign w:val="center"/>
          </w:tcPr>
          <w:p>
            <w:pPr>
              <w:spacing w:line="460" w:lineRule="exact"/>
              <w:rPr>
                <w:rFonts w:hint="eastAsia" w:ascii="新宋体" w:hAnsi="新宋体" w:eastAsia="新宋体" w:cs="仿宋_GB2312"/>
                <w:color w:val="auto"/>
                <w:sz w:val="22"/>
                <w:szCs w:val="22"/>
                <w:highlight w:val="none"/>
              </w:rPr>
            </w:pPr>
          </w:p>
        </w:tc>
        <w:tc>
          <w:tcPr>
            <w:tcW w:w="590" w:type="dxa"/>
            <w:noWrap w:val="0"/>
            <w:vAlign w:val="center"/>
          </w:tcPr>
          <w:p>
            <w:pPr>
              <w:spacing w:line="460" w:lineRule="exact"/>
              <w:jc w:val="center"/>
              <w:rPr>
                <w:rFonts w:hint="eastAsia" w:ascii="新宋体" w:hAnsi="新宋体" w:eastAsia="新宋体" w:cs="仿宋_GB2312"/>
                <w:color w:val="auto"/>
                <w:sz w:val="22"/>
                <w:szCs w:val="22"/>
                <w:highlight w:val="none"/>
              </w:rPr>
            </w:pPr>
          </w:p>
        </w:tc>
        <w:tc>
          <w:tcPr>
            <w:tcW w:w="108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251"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386" w:type="dxa"/>
            <w:tcBorders>
              <w:right w:val="double" w:color="auto" w:sz="4" w:space="0"/>
            </w:tcBorders>
            <w:noWrap w:val="0"/>
            <w:vAlign w:val="center"/>
          </w:tcPr>
          <w:p>
            <w:pPr>
              <w:pStyle w:val="31"/>
              <w:tabs>
                <w:tab w:val="left" w:pos="8540"/>
              </w:tabs>
              <w:spacing w:line="460" w:lineRule="exact"/>
              <w:jc w:val="center"/>
              <w:rPr>
                <w:rFonts w:hint="eastAsia" w:ascii="新宋体" w:hAnsi="新宋体" w:eastAsia="新宋体"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60" w:lineRule="exact"/>
              <w:rPr>
                <w:rFonts w:hint="eastAsia" w:ascii="新宋体" w:hAnsi="新宋体" w:eastAsia="新宋体" w:cs="仿宋_GB2312"/>
                <w:color w:val="auto"/>
                <w:sz w:val="22"/>
                <w:szCs w:val="22"/>
                <w:highlight w:val="none"/>
              </w:rPr>
            </w:pPr>
          </w:p>
        </w:tc>
        <w:tc>
          <w:tcPr>
            <w:tcW w:w="3550" w:type="dxa"/>
            <w:noWrap w:val="0"/>
            <w:vAlign w:val="center"/>
          </w:tcPr>
          <w:p>
            <w:pPr>
              <w:spacing w:line="460" w:lineRule="exact"/>
              <w:rPr>
                <w:rFonts w:hint="eastAsia" w:ascii="新宋体" w:hAnsi="新宋体" w:eastAsia="新宋体" w:cs="仿宋_GB2312"/>
                <w:color w:val="auto"/>
                <w:sz w:val="22"/>
                <w:szCs w:val="22"/>
                <w:highlight w:val="none"/>
              </w:rPr>
            </w:pPr>
          </w:p>
        </w:tc>
        <w:tc>
          <w:tcPr>
            <w:tcW w:w="590" w:type="dxa"/>
            <w:noWrap w:val="0"/>
            <w:vAlign w:val="center"/>
          </w:tcPr>
          <w:p>
            <w:pPr>
              <w:spacing w:line="460" w:lineRule="exact"/>
              <w:jc w:val="center"/>
              <w:rPr>
                <w:rFonts w:hint="eastAsia" w:ascii="新宋体" w:hAnsi="新宋体" w:eastAsia="新宋体" w:cs="仿宋_GB2312"/>
                <w:color w:val="auto"/>
                <w:sz w:val="22"/>
                <w:szCs w:val="22"/>
                <w:highlight w:val="none"/>
              </w:rPr>
            </w:pPr>
          </w:p>
        </w:tc>
        <w:tc>
          <w:tcPr>
            <w:tcW w:w="108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251"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386" w:type="dxa"/>
            <w:tcBorders>
              <w:right w:val="double" w:color="auto" w:sz="4" w:space="0"/>
            </w:tcBorders>
            <w:noWrap w:val="0"/>
            <w:vAlign w:val="center"/>
          </w:tcPr>
          <w:p>
            <w:pPr>
              <w:pStyle w:val="31"/>
              <w:tabs>
                <w:tab w:val="left" w:pos="8540"/>
              </w:tabs>
              <w:spacing w:line="460" w:lineRule="exact"/>
              <w:jc w:val="center"/>
              <w:rPr>
                <w:rFonts w:hint="eastAsia" w:ascii="新宋体" w:hAnsi="新宋体" w:eastAsia="新宋体"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60" w:lineRule="exact"/>
              <w:rPr>
                <w:rFonts w:hint="eastAsia" w:ascii="新宋体" w:hAnsi="新宋体" w:eastAsia="新宋体" w:cs="仿宋_GB2312"/>
                <w:color w:val="auto"/>
                <w:sz w:val="22"/>
                <w:szCs w:val="22"/>
                <w:highlight w:val="none"/>
              </w:rPr>
            </w:pPr>
          </w:p>
        </w:tc>
        <w:tc>
          <w:tcPr>
            <w:tcW w:w="3550" w:type="dxa"/>
            <w:noWrap w:val="0"/>
            <w:vAlign w:val="center"/>
          </w:tcPr>
          <w:p>
            <w:pPr>
              <w:spacing w:line="460" w:lineRule="exact"/>
              <w:rPr>
                <w:rFonts w:hint="eastAsia" w:ascii="新宋体" w:hAnsi="新宋体" w:eastAsia="新宋体" w:cs="仿宋_GB2312"/>
                <w:color w:val="auto"/>
                <w:sz w:val="22"/>
                <w:szCs w:val="22"/>
                <w:highlight w:val="none"/>
              </w:rPr>
            </w:pPr>
          </w:p>
        </w:tc>
        <w:tc>
          <w:tcPr>
            <w:tcW w:w="590" w:type="dxa"/>
            <w:noWrap w:val="0"/>
            <w:vAlign w:val="center"/>
          </w:tcPr>
          <w:p>
            <w:pPr>
              <w:spacing w:line="460" w:lineRule="exact"/>
              <w:jc w:val="center"/>
              <w:rPr>
                <w:rFonts w:hint="eastAsia" w:ascii="新宋体" w:hAnsi="新宋体" w:eastAsia="新宋体" w:cs="仿宋_GB2312"/>
                <w:color w:val="auto"/>
                <w:sz w:val="22"/>
                <w:szCs w:val="22"/>
                <w:highlight w:val="none"/>
              </w:rPr>
            </w:pPr>
          </w:p>
        </w:tc>
        <w:tc>
          <w:tcPr>
            <w:tcW w:w="108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251"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386" w:type="dxa"/>
            <w:tcBorders>
              <w:right w:val="double" w:color="auto" w:sz="4" w:space="0"/>
            </w:tcBorders>
            <w:noWrap w:val="0"/>
            <w:vAlign w:val="center"/>
          </w:tcPr>
          <w:p>
            <w:pPr>
              <w:pStyle w:val="31"/>
              <w:tabs>
                <w:tab w:val="left" w:pos="8540"/>
              </w:tabs>
              <w:spacing w:line="460" w:lineRule="exact"/>
              <w:jc w:val="center"/>
              <w:rPr>
                <w:rFonts w:hint="eastAsia" w:ascii="新宋体" w:hAnsi="新宋体" w:eastAsia="新宋体"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5" w:type="dxa"/>
            <w:tcBorders>
              <w:left w:val="double" w:color="auto" w:sz="4" w:space="0"/>
              <w:bottom w:val="double" w:color="auto" w:sz="4" w:space="0"/>
            </w:tcBorders>
            <w:noWrap w:val="0"/>
            <w:vAlign w:val="center"/>
          </w:tcPr>
          <w:p>
            <w:pPr>
              <w:pStyle w:val="31"/>
              <w:tabs>
                <w:tab w:val="left" w:pos="8540"/>
              </w:tabs>
              <w:spacing w:line="460" w:lineRule="exact"/>
              <w:jc w:val="center"/>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合计总价</w:t>
            </w:r>
          </w:p>
        </w:tc>
        <w:tc>
          <w:tcPr>
            <w:tcW w:w="5220" w:type="dxa"/>
            <w:gridSpan w:val="3"/>
            <w:tcBorders>
              <w:bottom w:val="double" w:color="auto" w:sz="4" w:space="0"/>
            </w:tcBorders>
            <w:noWrap w:val="0"/>
            <w:vAlign w:val="center"/>
          </w:tcPr>
          <w:p>
            <w:pPr>
              <w:pStyle w:val="31"/>
              <w:tabs>
                <w:tab w:val="left" w:pos="8540"/>
              </w:tabs>
              <w:spacing w:line="460" w:lineRule="exact"/>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（大写）</w:t>
            </w:r>
          </w:p>
        </w:tc>
        <w:tc>
          <w:tcPr>
            <w:tcW w:w="2637" w:type="dxa"/>
            <w:gridSpan w:val="2"/>
            <w:tcBorders>
              <w:bottom w:val="double" w:color="auto" w:sz="4" w:space="0"/>
              <w:right w:val="double" w:color="auto" w:sz="4" w:space="0"/>
            </w:tcBorders>
            <w:noWrap w:val="0"/>
            <w:vAlign w:val="center"/>
          </w:tcPr>
          <w:p>
            <w:pPr>
              <w:pStyle w:val="31"/>
              <w:tabs>
                <w:tab w:val="left" w:pos="8540"/>
              </w:tabs>
              <w:spacing w:line="460" w:lineRule="exact"/>
              <w:jc w:val="center"/>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w:t>
            </w:r>
          </w:p>
        </w:tc>
      </w:tr>
    </w:tbl>
    <w:p>
      <w:pPr>
        <w:widowControl/>
        <w:snapToGrid w:val="0"/>
        <w:spacing w:line="460" w:lineRule="exact"/>
        <w:jc w:val="lef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八、项目合同支付条款</w:t>
      </w:r>
    </w:p>
    <w:p>
      <w:pPr>
        <w:widowControl/>
        <w:snapToGrid w:val="0"/>
        <w:spacing w:line="460" w:lineRule="exact"/>
        <w:ind w:firstLine="440" w:firstLineChars="200"/>
        <w:jc w:val="left"/>
        <w:outlineLvl w:val="1"/>
        <w:rPr>
          <w:rFonts w:hint="eastAsia" w:ascii="宋体" w:hAnsi="宋体" w:eastAsia="宋体" w:cs="宋体"/>
          <w:b w:val="0"/>
          <w:bCs/>
          <w:color w:val="auto"/>
          <w:sz w:val="22"/>
          <w:szCs w:val="22"/>
          <w:highlight w:val="none"/>
        </w:rPr>
      </w:pPr>
      <w:r>
        <w:rPr>
          <w:rFonts w:hint="eastAsia" w:ascii="宋体" w:hAnsi="宋体" w:cs="宋体"/>
          <w:b w:val="0"/>
          <w:bCs w:val="0"/>
          <w:color w:val="auto"/>
          <w:sz w:val="22"/>
          <w:szCs w:val="22"/>
          <w:highlight w:val="none"/>
          <w:lang w:val="en-US" w:eastAsia="zh-CN"/>
        </w:rPr>
        <w:t>合同签订后，</w:t>
      </w:r>
      <w:r>
        <w:rPr>
          <w:rFonts w:hint="eastAsia" w:ascii="宋体" w:hAnsi="宋体" w:eastAsia="宋体" w:cs="宋体"/>
          <w:b w:val="0"/>
          <w:bCs w:val="0"/>
          <w:color w:val="auto"/>
          <w:sz w:val="22"/>
          <w:szCs w:val="22"/>
          <w:highlight w:val="none"/>
        </w:rPr>
        <w:t>乙方向甲方开具与合同同等金额的发票</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甲方在收到发票后向乙方支付</w:t>
      </w:r>
      <w:r>
        <w:rPr>
          <w:rFonts w:hint="eastAsia" w:ascii="宋体" w:hAnsi="宋体" w:cs="宋体"/>
          <w:b w:val="0"/>
          <w:bCs w:val="0"/>
          <w:color w:val="auto"/>
          <w:sz w:val="22"/>
          <w:szCs w:val="22"/>
          <w:highlight w:val="none"/>
          <w:lang w:val="en-US" w:eastAsia="zh-CN"/>
        </w:rPr>
        <w:t>50%</w:t>
      </w:r>
      <w:r>
        <w:rPr>
          <w:rFonts w:hint="eastAsia" w:ascii="宋体" w:hAnsi="宋体" w:eastAsia="宋体" w:cs="宋体"/>
          <w:b w:val="0"/>
          <w:bCs w:val="0"/>
          <w:color w:val="auto"/>
          <w:sz w:val="22"/>
          <w:szCs w:val="22"/>
          <w:highlight w:val="none"/>
        </w:rPr>
        <w:t>合同价款</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乙方</w:t>
      </w:r>
      <w:r>
        <w:rPr>
          <w:rFonts w:hint="eastAsia" w:ascii="宋体" w:hAnsi="宋体" w:eastAsia="宋体" w:cs="宋体"/>
          <w:b w:val="0"/>
          <w:bCs w:val="0"/>
          <w:color w:val="auto"/>
          <w:sz w:val="22"/>
          <w:szCs w:val="22"/>
          <w:highlight w:val="none"/>
        </w:rPr>
        <w:t>项目总体完成验收后，甲方向乙方支付</w:t>
      </w:r>
      <w:r>
        <w:rPr>
          <w:rFonts w:hint="eastAsia" w:ascii="宋体" w:hAnsi="宋体" w:cs="宋体"/>
          <w:b w:val="0"/>
          <w:bCs w:val="0"/>
          <w:color w:val="auto"/>
          <w:sz w:val="22"/>
          <w:szCs w:val="22"/>
          <w:highlight w:val="none"/>
          <w:lang w:val="en-US" w:eastAsia="zh-CN"/>
        </w:rPr>
        <w:t>剩余</w:t>
      </w:r>
      <w:r>
        <w:rPr>
          <w:rFonts w:hint="eastAsia" w:ascii="宋体" w:hAnsi="宋体" w:eastAsia="宋体" w:cs="宋体"/>
          <w:b w:val="0"/>
          <w:bCs w:val="0"/>
          <w:color w:val="auto"/>
          <w:sz w:val="22"/>
          <w:szCs w:val="22"/>
          <w:highlight w:val="none"/>
        </w:rPr>
        <w:t>合同价款。</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九、项目合同修改</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项目建设过程中原则上不能进行合同变更、修改和补充。若确需变更，经合同双方协商一致后，由项目建设部门向</w:t>
      </w:r>
      <w:r>
        <w:rPr>
          <w:rFonts w:hint="eastAsia" w:ascii="新宋体" w:hAnsi="新宋体" w:eastAsia="新宋体" w:cs="仿宋_GB2312"/>
          <w:color w:val="auto"/>
          <w:kern w:val="0"/>
          <w:sz w:val="22"/>
          <w:szCs w:val="22"/>
          <w:highlight w:val="none"/>
          <w:lang w:eastAsia="zh-CN"/>
        </w:rPr>
        <w:t>温州市中医院</w:t>
      </w:r>
      <w:r>
        <w:rPr>
          <w:rFonts w:hint="eastAsia" w:ascii="新宋体" w:hAnsi="新宋体" w:eastAsia="新宋体" w:cs="仿宋_GB2312"/>
          <w:color w:val="auto"/>
          <w:kern w:val="0"/>
          <w:sz w:val="22"/>
          <w:szCs w:val="22"/>
          <w:highlight w:val="none"/>
          <w:lang w:val="en-US" w:eastAsia="zh-CN"/>
        </w:rPr>
        <w:t>行政部</w:t>
      </w:r>
      <w:r>
        <w:rPr>
          <w:rFonts w:hint="eastAsia" w:ascii="新宋体" w:hAnsi="新宋体" w:eastAsia="新宋体" w:cs="仿宋_GB2312"/>
          <w:color w:val="auto"/>
          <w:kern w:val="0"/>
          <w:sz w:val="22"/>
          <w:szCs w:val="22"/>
          <w:highlight w:val="none"/>
        </w:rPr>
        <w:t>提交变更申请，并经审计等部门论证、审核。只有在双方授权的代表签署书面文件后才有效，并作为附件成为本合同不可分割的组成部分。</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十、违约责任</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（一）在履行合同的过程中，如果乙方遇到除不可抗力因素外的情形将不能按照合同规定的时间完成系统实施和提供服务时，应当在情况发生时</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日内以书面形式将拖延的事实、可能拖延的时间和原因通知甲方。甲方在收到乙方通知后，应尽快对情况进行评价，并确定是否酌情延长交货时间和提供服务以及是否收取误期赔偿费。延期应通过修改合同的方式由双方书面确认。</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宋体"/>
          <w:color w:val="auto"/>
          <w:kern w:val="0"/>
          <w:sz w:val="22"/>
          <w:szCs w:val="22"/>
          <w:highlight w:val="none"/>
        </w:rPr>
      </w:pPr>
      <w:r>
        <w:rPr>
          <w:rFonts w:hint="eastAsia" w:ascii="新宋体" w:hAnsi="新宋体" w:eastAsia="新宋体" w:cs="仿宋_GB2312"/>
          <w:color w:val="auto"/>
          <w:kern w:val="0"/>
          <w:sz w:val="22"/>
          <w:szCs w:val="22"/>
          <w:highlight w:val="none"/>
        </w:rPr>
        <w:t>（二）除了合同条款第十二条的情况外，除非延期是根据合同条款第十条第（一）的规定取得甲方的同意而不收取误期赔偿费之外，若乙方违反本合同第三条、第四条约定提供服务，甲方有权从合同价中扣除误期赔偿费每延期一日，乙方应向甲方支付合同总价</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%的违约金。延期超过</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日（延期时间原则上不超过本项目总工期的0</w:t>
      </w:r>
      <w:r>
        <w:rPr>
          <w:rFonts w:ascii="新宋体" w:hAnsi="新宋体" w:eastAsia="新宋体" w:cs="仿宋_GB2312"/>
          <w:color w:val="auto"/>
          <w:kern w:val="0"/>
          <w:sz w:val="22"/>
          <w:szCs w:val="22"/>
          <w:highlight w:val="none"/>
        </w:rPr>
        <w:t>.5</w:t>
      </w:r>
      <w:r>
        <w:rPr>
          <w:rFonts w:hint="eastAsia" w:ascii="新宋体" w:hAnsi="新宋体" w:eastAsia="新宋体" w:cs="仿宋_GB2312"/>
          <w:color w:val="auto"/>
          <w:kern w:val="0"/>
          <w:sz w:val="22"/>
          <w:szCs w:val="22"/>
          <w:highlight w:val="none"/>
        </w:rPr>
        <w:t>倍），甲方有权单方解除合同，要求乙方退回已支付的全部项目款并要求乙方向甲方支付合同总价</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%的违约金。</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乙方应提供项目所需的软件硬件符合国家、部门、行业相关技术标准的证明，且不侵犯任何第三方包括但不限于知识产权等任何权益，并保证该软件硬件的运行不影响甲方内部网络信息安全性和保密性问题，因乙方没有履行上述义务造成甲方被第三方追责或损失的，所有责任与损失均由乙方承担，如甲方先行承担的，有权向乙方追偿。乙方应当同时用相同功能的合法软件硬件进行替换，或者取得相关授权，确保能够继续履行本合同所规定的各项权利，并且乙方应当赔偿甲方由此而造成的损失。</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（四）乙方应在工程结束时向甲方提交一式</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份完整的相应技术文档及用户手册，如在工程验收合格之日起</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日内仍未按上述要求提交的，每延迟一日，应向甲方支付违约</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 xml:space="preserve">十一、项目合同终止 </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由于合同一方不履行合同或严重违反合同，造成合同部分或全部无法履行时，对方除有权向违约方索赔外，并有权单方终止合同。</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（一）违约终止合同</w:t>
      </w:r>
    </w:p>
    <w:p>
      <w:pPr>
        <w:spacing w:line="46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若乙方存在以下情形</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则视乙方违约</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甲方可单方向乙方发出书面解除合同通知书</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提出终止合同</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同时甲方有权要求乙方退回己支付的全部项目款以及支付合同总价</w:t>
      </w:r>
      <w:r>
        <w:rPr>
          <w:rFonts w:hint="eastAsia" w:ascii="新宋体" w:hAnsi="新宋体" w:eastAsia="新宋体"/>
          <w:color w:val="auto"/>
          <w:sz w:val="22"/>
          <w:szCs w:val="22"/>
          <w:highlight w:val="none"/>
          <w:u w:val="single"/>
        </w:rPr>
        <w:t xml:space="preserve"> </w:t>
      </w:r>
      <w:r>
        <w:rPr>
          <w:rFonts w:ascii="新宋体" w:hAnsi="新宋体" w:eastAsia="新宋体"/>
          <w:color w:val="auto"/>
          <w:sz w:val="22"/>
          <w:szCs w:val="22"/>
          <w:highlight w:val="none"/>
          <w:u w:val="single"/>
        </w:rPr>
        <w:t xml:space="preserve"> </w:t>
      </w:r>
      <w:r>
        <w:rPr>
          <w:rFonts w:ascii="新宋体" w:hAnsi="新宋体" w:eastAsia="新宋体"/>
          <w:color w:val="auto"/>
          <w:sz w:val="22"/>
          <w:szCs w:val="22"/>
          <w:highlight w:val="none"/>
        </w:rPr>
        <w:t>%违约金：</w:t>
      </w:r>
    </w:p>
    <w:p>
      <w:pPr>
        <w:spacing w:line="460" w:lineRule="exact"/>
        <w:ind w:firstLine="440" w:firstLineChars="200"/>
        <w:rPr>
          <w:rFonts w:hint="eastAsia" w:ascii="新宋体" w:hAnsi="新宋体" w:eastAsia="新宋体"/>
          <w:color w:val="auto"/>
          <w:sz w:val="22"/>
          <w:szCs w:val="22"/>
          <w:highlight w:val="none"/>
        </w:rPr>
      </w:pPr>
      <w:r>
        <w:rPr>
          <w:rFonts w:ascii="新宋体" w:hAnsi="新宋体" w:eastAsia="新宋体"/>
          <w:color w:val="auto"/>
          <w:sz w:val="22"/>
          <w:szCs w:val="22"/>
          <w:highlight w:val="none"/>
        </w:rPr>
        <w:t>l、乙方未能在合同规定的期限内通过竣工验收</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延期超过</w:t>
      </w:r>
      <w:r>
        <w:rPr>
          <w:rFonts w:hint="eastAsia" w:ascii="新宋体" w:hAnsi="新宋体" w:eastAsia="新宋体"/>
          <w:color w:val="auto"/>
          <w:sz w:val="22"/>
          <w:szCs w:val="22"/>
          <w:highlight w:val="none"/>
          <w:u w:val="single"/>
        </w:rPr>
        <w:t xml:space="preserve"> </w:t>
      </w:r>
      <w:r>
        <w:rPr>
          <w:rFonts w:ascii="新宋体" w:hAnsi="新宋体" w:eastAsia="新宋体"/>
          <w:color w:val="auto"/>
          <w:sz w:val="22"/>
          <w:szCs w:val="22"/>
          <w:highlight w:val="none"/>
          <w:u w:val="single"/>
        </w:rPr>
        <w:t xml:space="preserve"> </w:t>
      </w:r>
      <w:r>
        <w:rPr>
          <w:rFonts w:ascii="新宋体" w:hAnsi="新宋体" w:eastAsia="新宋体"/>
          <w:color w:val="auto"/>
          <w:sz w:val="22"/>
          <w:szCs w:val="22"/>
          <w:highlight w:val="none"/>
        </w:rPr>
        <w:t>日的或未能在甲方同意延长的限期内完成合同规定义务的</w:t>
      </w:r>
      <w:r>
        <w:rPr>
          <w:rFonts w:hint="eastAsia" w:ascii="新宋体" w:hAnsi="新宋体" w:eastAsia="新宋体"/>
          <w:color w:val="auto"/>
          <w:sz w:val="22"/>
          <w:szCs w:val="22"/>
          <w:highlight w:val="none"/>
        </w:rPr>
        <w:t>；</w:t>
      </w:r>
    </w:p>
    <w:p>
      <w:pPr>
        <w:spacing w:line="46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2 、乙方拒绝履行合同或者未达到合同所规定的建设需求和服务</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经甲方给予合理期限后仍不能达到建设需求和服务的</w:t>
      </w:r>
      <w:r>
        <w:rPr>
          <w:rFonts w:hint="eastAsia" w:ascii="新宋体" w:hAnsi="新宋体" w:eastAsia="新宋体"/>
          <w:color w:val="auto"/>
          <w:sz w:val="22"/>
          <w:szCs w:val="22"/>
          <w:highlight w:val="none"/>
        </w:rPr>
        <w:t>；</w:t>
      </w:r>
    </w:p>
    <w:p>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3</w:t>
      </w:r>
      <w:r>
        <w:rPr>
          <w:rFonts w:ascii="新宋体" w:hAnsi="新宋体" w:eastAsia="新宋体"/>
          <w:color w:val="auto"/>
          <w:sz w:val="22"/>
          <w:szCs w:val="22"/>
          <w:highlight w:val="none"/>
        </w:rPr>
        <w:t>、未经甲方书面授权或同意</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乙方将项目部分或全部转交第三方或由第三方提供相关服务的。</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（二）因破产而终止合同</w:t>
      </w:r>
    </w:p>
    <w:p>
      <w:pPr>
        <w:spacing w:line="460" w:lineRule="exact"/>
        <w:ind w:firstLine="440" w:firstLineChars="200"/>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如果乙方破产或无清偿能力，甲方可在任何时候以书面形式通知乙方，单方提出终止合同而未支付的尾款无需再支付，甲方对乙方已经履行的符合合同约定的部分合同内容不付任何价款，乙方应当返还甲方先前支付的全部预付款。该终止合同的行为视为不损害或不影响甲方已经采取或将要采取的任何行动或补救措施的权利。</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十二、不可抗力</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本合同规定的不可抗力事件是指甲、乙双方在缔结合同时所不能预见的，并且它的发生及其后果是无法避免和无法克服的事件，诸如战争和严重的风灾、水灾、雪灾、地震等自然灾害，以及政策性等不由双方控制的，也包括双方同意的其他不可抗力事件。</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（二）签约双方任一方由于受不可抗力事件的影响而不能执行合同时，履行合同的期限应予以延长，其延长的期限应相当于事件所影响的时间。</w:t>
      </w:r>
    </w:p>
    <w:p>
      <w:pPr>
        <w:spacing w:line="460" w:lineRule="exact"/>
        <w:ind w:firstLine="440" w:firstLineChars="200"/>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因不可抗力事件受阻一方应在不可抗力事件发生后尽快用书面方式或电报、传真通知对方，并于事件发生后7天内将有关国家职能机关或具有国家授权认定的机构出具的证明文件及其他说明材料用特快专递或挂号信寄给对方审阅确认。一旦不可抗力事件的影响预计持续120天以上，双方应通过友好协商在30天的时间内达成进一步履行合同的协议，如不能达成共识，甲方也有权单方解除合同，不付给乙方其他经济补偿，对乙方已经履行的符合合同约定的部分内容不付任何价款，乙方应当返还甲方先前支付给乙方的全部预付款。</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十三、项目保密</w:t>
      </w:r>
    </w:p>
    <w:p>
      <w:pPr>
        <w:widowControl/>
        <w:tabs>
          <w:tab w:val="left" w:pos="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甲方向乙方提供的所有资料，仅供本项目小组人员参考使用，乙方须严守资料中所涉秘密、妥善保管，不得遗失、转借、复印。乙方更换本项目小组成员时应获得甲方书面同意，否则甲方有权直接扣除合同总金额</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%的履约保证金。</w:t>
      </w:r>
    </w:p>
    <w:p>
      <w:pPr>
        <w:widowControl/>
        <w:tabs>
          <w:tab w:val="left" w:pos="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（二）乙方发现甲方的保密事项已经泄露或可能泄露时，应当立即采取补救措施，并及时书面报告甲方。</w:t>
      </w:r>
    </w:p>
    <w:p>
      <w:pPr>
        <w:widowControl/>
        <w:tabs>
          <w:tab w:val="left" w:pos="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（三）本项目完成后15天内，乙方应主动退还本项目过程中甲方提供的全部资料。</w:t>
      </w:r>
    </w:p>
    <w:p>
      <w:pPr>
        <w:widowControl/>
        <w:tabs>
          <w:tab w:val="left" w:pos="56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（四）乙方在接受和退还涉密内容的资料时建立登记制度。</w:t>
      </w:r>
    </w:p>
    <w:p>
      <w:pPr>
        <w:widowControl/>
        <w:tabs>
          <w:tab w:val="left" w:pos="56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（五）乙方造成的泄失密事件，乙方应承担违约责任，向甲方支付违约金，违约金数额为本合同总价的3</w:t>
      </w:r>
      <w:r>
        <w:rPr>
          <w:rFonts w:ascii="新宋体" w:hAnsi="新宋体" w:eastAsia="新宋体" w:cs="仿宋_GB2312"/>
          <w:color w:val="auto"/>
          <w:kern w:val="0"/>
          <w:sz w:val="22"/>
          <w:szCs w:val="22"/>
          <w:highlight w:val="none"/>
        </w:rPr>
        <w:t>0</w:t>
      </w:r>
      <w:r>
        <w:rPr>
          <w:rFonts w:hint="eastAsia" w:ascii="新宋体" w:hAnsi="新宋体" w:eastAsia="新宋体" w:cs="仿宋_GB2312"/>
          <w:color w:val="auto"/>
          <w:kern w:val="0"/>
          <w:sz w:val="22"/>
          <w:szCs w:val="22"/>
          <w:highlight w:val="none"/>
        </w:rPr>
        <w:t>%，若泄密事件造成甲方的实际经济损失大于违约金数额，则乙方应赔偿甲方实际经济损失；构成刑事犯罪的，还应依法追究刑事责任。</w:t>
      </w:r>
    </w:p>
    <w:p>
      <w:pPr>
        <w:widowControl/>
        <w:tabs>
          <w:tab w:val="left" w:pos="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六）本项目所有文档及本项目所接触的双方资料，未经对方授权代表书面许可，不得向与合同无关的其他方泄漏任何技术文件或与合同有关的数据，包括合同本身。不论本协议或合同是否期满、变更、解除、终止，本条款均有效。</w:t>
      </w:r>
    </w:p>
    <w:p>
      <w:pPr>
        <w:widowControl/>
        <w:tabs>
          <w:tab w:val="left" w:pos="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（七）甲方有权对乙方进行资格审查，开展安全教育，落实安全监管措施，指派具有相应技术能力的人员对乙方操作行为全程监督、严格审计。</w:t>
      </w:r>
    </w:p>
    <w:p>
      <w:pPr>
        <w:spacing w:line="460" w:lineRule="exac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十四、争议解决方式</w:t>
      </w:r>
    </w:p>
    <w:p>
      <w:pPr>
        <w:spacing w:line="460" w:lineRule="exact"/>
        <w:ind w:firstLine="440" w:firstLineChars="200"/>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（一）合同的实施或与合同有关的一切争端应通过双方友好协商解决。如果友好协商自争端出现之日起60天后还不能解决，任何一方都可依法提交甲方所在地有管辖权的人民法院解决。</w:t>
      </w:r>
    </w:p>
    <w:p>
      <w:pPr>
        <w:spacing w:line="460" w:lineRule="exact"/>
        <w:ind w:firstLine="440" w:firstLineChars="200"/>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（二）由此产生的所有费用，包括但不限于诉讼费、律师费、公告费、保全费、差旅费等一切费用由败诉方承担。</w:t>
      </w:r>
    </w:p>
    <w:p>
      <w:pPr>
        <w:spacing w:line="460" w:lineRule="exact"/>
        <w:ind w:firstLine="440" w:firstLineChars="200"/>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（三）在诉讼期间，除正在进行诉讼的部分以外，双方应继续执行合同的其余部分。</w:t>
      </w:r>
    </w:p>
    <w:p>
      <w:pPr>
        <w:spacing w:line="460" w:lineRule="exact"/>
        <w:ind w:firstLine="440" w:firstLineChars="200"/>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（四）本合同适用中华人民共和国法律。</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十五、项目合同附件清单</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附件一：</w:t>
      </w:r>
      <w:r>
        <w:rPr>
          <w:rFonts w:hint="eastAsia" w:ascii="新宋体" w:hAnsi="新宋体" w:eastAsia="新宋体" w:cs="仿宋_GB2312"/>
          <w:color w:val="auto"/>
          <w:kern w:val="0"/>
          <w:sz w:val="22"/>
          <w:szCs w:val="22"/>
          <w:highlight w:val="none"/>
          <w:lang w:val="en-US" w:eastAsia="zh-CN"/>
        </w:rPr>
        <w:t>招标</w:t>
      </w:r>
      <w:r>
        <w:rPr>
          <w:rFonts w:hint="eastAsia" w:ascii="新宋体" w:hAnsi="新宋体" w:eastAsia="新宋体" w:cs="仿宋_GB2312"/>
          <w:color w:val="auto"/>
          <w:kern w:val="0"/>
          <w:sz w:val="22"/>
          <w:szCs w:val="22"/>
          <w:highlight w:val="none"/>
        </w:rPr>
        <w:t>文件</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附件二：乙方投标书</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附件三：《技术支持和售后服务方案》</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附件四：技术方案</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附件五：项目管理小组成员</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（可按项目实际增加附件内容）</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十六、项目合同生效及其它</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（一）本合同自双方授权代表签字并加盖公章之日起生效。</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w:t>
      </w:r>
      <w:bookmarkStart w:id="28" w:name="_Hlk81835432"/>
      <w:r>
        <w:rPr>
          <w:rFonts w:hint="eastAsia" w:ascii="新宋体" w:hAnsi="新宋体" w:eastAsia="新宋体" w:cs="仿宋_GB2312"/>
          <w:color w:val="auto"/>
          <w:kern w:val="0"/>
          <w:sz w:val="22"/>
          <w:szCs w:val="22"/>
          <w:highlight w:val="none"/>
        </w:rPr>
        <w:t>本合同一式</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份，甲方执</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份，乙方执</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份，代理执</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份。合同附件及招标文件、乙方投标书等是合同不可分割的一部分，具有同等法律效力。</w:t>
      </w:r>
      <w:bookmarkEnd w:id="28"/>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（三）本合同终止日期为系统保修期的结束日期，到期后自行终止。</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（四）送达条款</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16.4.1 本合同项下任何一方向对方发出的通知、信件、数据电文等，应当发送至本合同（首部/附件/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16.4.2 任何一方当事人向对/他方所发出的信件，自信件【尽量约定为邮政特快专递】交邮后的第7日视为送达；发出的短信/传真/微信/电子邮件，自前述电子文件内容在发送方正确填写地址且未被系统退回的情况下，视为进入对方数据电文接收系统即视为送达。若送达日为非工作日, 则视为在下一工作日送达。</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16.4.3 本合同（首部/附件/第1.1条）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16.4.4 合同送达条款与争议解决条款均为独立条款，不受合同整体或其他条款的效力的影响。</w:t>
      </w:r>
    </w:p>
    <w:p>
      <w:pPr>
        <w:widowControl/>
        <w:spacing w:line="460" w:lineRule="exact"/>
        <w:jc w:val="left"/>
        <w:outlineLvl w:val="1"/>
        <w:rPr>
          <w:rFonts w:hint="eastAsia"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十七、项目合同签字并盖章</w:t>
      </w:r>
    </w:p>
    <w:p>
      <w:pPr>
        <w:widowControl/>
        <w:spacing w:line="460" w:lineRule="exact"/>
        <w:ind w:left="4840" w:hanging="4840" w:hangingChars="2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 xml:space="preserve">甲方：                   </w:t>
      </w:r>
      <w:r>
        <w:rPr>
          <w:rFonts w:hint="eastAsia" w:ascii="新宋体" w:hAnsi="新宋体" w:eastAsia="新宋体" w:cs="仿宋_GB2312"/>
          <w:color w:val="auto"/>
          <w:kern w:val="0"/>
          <w:sz w:val="22"/>
          <w:szCs w:val="22"/>
          <w:highlight w:val="none"/>
          <w:lang w:val="en-US" w:eastAsia="zh-CN"/>
        </w:rPr>
        <w:t xml:space="preserve">            </w:t>
      </w:r>
      <w:r>
        <w:rPr>
          <w:rFonts w:hint="eastAsia" w:ascii="新宋体" w:hAnsi="新宋体" w:eastAsia="新宋体" w:cs="仿宋_GB2312"/>
          <w:color w:val="auto"/>
          <w:kern w:val="0"/>
          <w:sz w:val="22"/>
          <w:szCs w:val="22"/>
          <w:highlight w:val="none"/>
        </w:rPr>
        <w:t xml:space="preserve">乙方： </w:t>
      </w:r>
    </w:p>
    <w:p>
      <w:pPr>
        <w:widowControl/>
        <w:spacing w:line="460" w:lineRule="exact"/>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法定（委托）代表人（签字）：         法定（委托）代表人（签字）：</w:t>
      </w:r>
    </w:p>
    <w:p>
      <w:pPr>
        <w:widowControl/>
        <w:spacing w:line="460" w:lineRule="exact"/>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项目联系人：                         项目联系人：</w:t>
      </w:r>
    </w:p>
    <w:p>
      <w:pPr>
        <w:widowControl/>
        <w:spacing w:line="460" w:lineRule="exact"/>
        <w:ind w:left="5018" w:hanging="5018" w:hangingChars="2281"/>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 xml:space="preserve">通信地址：                           通信地址： </w:t>
      </w:r>
    </w:p>
    <w:p>
      <w:pPr>
        <w:widowControl/>
        <w:spacing w:line="460" w:lineRule="exact"/>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电话：                               电话：</w:t>
      </w:r>
    </w:p>
    <w:p>
      <w:pPr>
        <w:widowControl/>
        <w:spacing w:line="460" w:lineRule="exact"/>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传真：                               传真：</w:t>
      </w:r>
    </w:p>
    <w:p>
      <w:pPr>
        <w:pStyle w:val="24"/>
        <w:keepNext w:val="0"/>
        <w:keepLines w:val="0"/>
        <w:pageBreakBefore w:val="0"/>
        <w:widowControl w:val="0"/>
        <w:kinsoku/>
        <w:wordWrap/>
        <w:overflowPunct/>
        <w:topLinePunct w:val="0"/>
        <w:autoSpaceDE/>
        <w:autoSpaceDN/>
        <w:bidi w:val="0"/>
        <w:adjustRightInd/>
        <w:snapToGrid/>
        <w:spacing w:line="460" w:lineRule="exact"/>
        <w:ind w:left="430" w:leftChars="205" w:firstLine="0" w:firstLineChars="0"/>
        <w:jc w:val="center"/>
        <w:textAlignment w:val="auto"/>
        <w:outlineLvl w:val="9"/>
        <w:rPr>
          <w:rFonts w:hint="eastAsia" w:ascii="新宋体" w:hAnsi="新宋体" w:eastAsia="新宋体" w:cs="新宋体"/>
          <w:b/>
          <w:color w:val="auto"/>
          <w:sz w:val="44"/>
          <w:szCs w:val="44"/>
        </w:rPr>
      </w:pPr>
      <w:r>
        <w:rPr>
          <w:rFonts w:hint="eastAsia" w:ascii="新宋体" w:hAnsi="新宋体" w:eastAsia="新宋体" w:cs="仿宋_GB2312"/>
          <w:color w:val="auto"/>
          <w:kern w:val="0"/>
          <w:sz w:val="22"/>
          <w:szCs w:val="22"/>
          <w:highlight w:val="none"/>
        </w:rPr>
        <w:t xml:space="preserve">签字日期：    年   月   日       </w:t>
      </w:r>
      <w:r>
        <w:rPr>
          <w:rFonts w:hint="eastAsia" w:ascii="新宋体" w:hAnsi="新宋体" w:eastAsia="新宋体" w:cs="仿宋_GB2312"/>
          <w:color w:val="auto"/>
          <w:kern w:val="0"/>
          <w:sz w:val="22"/>
          <w:szCs w:val="22"/>
          <w:highlight w:val="none"/>
          <w:lang w:val="en-US" w:eastAsia="zh-CN"/>
        </w:rPr>
        <w:t xml:space="preserve">    </w:t>
      </w:r>
      <w:r>
        <w:rPr>
          <w:rFonts w:hint="eastAsia" w:ascii="新宋体" w:hAnsi="新宋体" w:eastAsia="新宋体" w:cs="仿宋_GB2312"/>
          <w:color w:val="auto"/>
          <w:kern w:val="0"/>
          <w:sz w:val="22"/>
          <w:szCs w:val="22"/>
          <w:highlight w:val="none"/>
        </w:rPr>
        <w:t>签字日期：    年   月   日</w:t>
      </w: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2"/>
        <w:bidi w:val="0"/>
        <w:rPr>
          <w:rFonts w:hint="eastAsia" w:ascii="宋体" w:hAnsi="宋体" w:eastAsia="宋体" w:cs="宋体"/>
        </w:rPr>
      </w:pPr>
      <w:bookmarkStart w:id="29" w:name="_Toc19081"/>
      <w:bookmarkStart w:id="30" w:name="_Toc18439"/>
      <w:r>
        <w:rPr>
          <w:rFonts w:hint="eastAsia" w:ascii="宋体" w:hAnsi="宋体" w:eastAsia="宋体" w:cs="宋体"/>
        </w:rPr>
        <w:t>第三部分    附件</w:t>
      </w:r>
      <w:bookmarkEnd w:id="29"/>
      <w:bookmarkEnd w:id="30"/>
    </w:p>
    <w:p>
      <w:pPr>
        <w:pStyle w:val="24"/>
        <w:spacing w:line="460" w:lineRule="exact"/>
        <w:ind w:left="433" w:hanging="433" w:hangingChars="196"/>
        <w:outlineLvl w:val="1"/>
        <w:rPr>
          <w:rFonts w:hint="eastAsia" w:ascii="宋体" w:hAnsi="宋体" w:eastAsia="宋体" w:cs="宋体"/>
          <w:b/>
          <w:color w:val="auto"/>
          <w:sz w:val="22"/>
          <w:highlight w:val="none"/>
        </w:rPr>
      </w:pPr>
      <w:bookmarkStart w:id="31" w:name="_Toc7056"/>
      <w:bookmarkStart w:id="32" w:name="_Toc6368"/>
      <w:r>
        <w:rPr>
          <w:rFonts w:hint="eastAsia" w:ascii="宋体" w:hAnsi="宋体" w:eastAsia="宋体" w:cs="宋体"/>
          <w:b/>
          <w:color w:val="auto"/>
          <w:sz w:val="22"/>
          <w:highlight w:val="none"/>
        </w:rPr>
        <w:t>附件一</w:t>
      </w:r>
      <w:bookmarkEnd w:id="31"/>
      <w:bookmarkEnd w:id="32"/>
    </w:p>
    <w:p>
      <w:pPr>
        <w:spacing w:line="400" w:lineRule="exact"/>
        <w:jc w:val="center"/>
        <w:outlineLvl w:val="2"/>
        <w:rPr>
          <w:rFonts w:hint="eastAsia" w:ascii="宋体" w:hAnsi="宋体" w:eastAsia="宋体" w:cs="宋体"/>
          <w:b/>
          <w:bCs/>
          <w:color w:val="auto"/>
          <w:sz w:val="28"/>
          <w:szCs w:val="28"/>
          <w:highlight w:val="none"/>
        </w:rPr>
      </w:pPr>
      <w:bookmarkStart w:id="33" w:name="_Toc5430"/>
      <w:bookmarkStart w:id="34" w:name="_Toc13365"/>
      <w:r>
        <w:rPr>
          <w:rFonts w:hint="eastAsia" w:ascii="宋体" w:hAnsi="宋体" w:eastAsia="宋体" w:cs="宋体"/>
          <w:b/>
          <w:bCs/>
          <w:color w:val="auto"/>
          <w:sz w:val="28"/>
          <w:szCs w:val="28"/>
          <w:highlight w:val="none"/>
        </w:rPr>
        <w:t>报价文件</w:t>
      </w:r>
      <w:bookmarkEnd w:id="33"/>
      <w:bookmarkEnd w:id="34"/>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4"/>
        <w:ind w:left="0" w:firstLine="0" w:firstLineChars="0"/>
        <w:rPr>
          <w:rFonts w:hint="eastAsia" w:ascii="宋体" w:hAnsi="宋体" w:eastAsia="宋体" w:cs="宋体"/>
          <w:b/>
          <w:bCs/>
          <w:color w:val="auto"/>
          <w:sz w:val="22"/>
          <w:szCs w:val="22"/>
          <w:highlight w:val="none"/>
        </w:rPr>
      </w:pPr>
    </w:p>
    <w:p>
      <w:pPr>
        <w:pStyle w:val="24"/>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WZLCZB（W）-2023-04176</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医疗设备精细化管理系统</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522"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413"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868"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pPr>
              <w:spacing w:line="380" w:lineRule="exact"/>
              <w:jc w:val="center"/>
              <w:rPr>
                <w:rFonts w:hint="eastAsia" w:ascii="宋体" w:hAnsi="宋体" w:eastAsia="宋体" w:cs="宋体"/>
                <w:color w:val="auto"/>
                <w:sz w:val="22"/>
                <w:highlight w:val="none"/>
              </w:rPr>
            </w:pPr>
          </w:p>
        </w:tc>
        <w:tc>
          <w:tcPr>
            <w:tcW w:w="2522" w:type="dxa"/>
            <w:vMerge w:val="restart"/>
            <w:vAlign w:val="center"/>
          </w:tcPr>
          <w:p>
            <w:pPr>
              <w:spacing w:line="380" w:lineRule="exact"/>
              <w:jc w:val="center"/>
              <w:rPr>
                <w:rFonts w:hint="eastAsia" w:ascii="宋体" w:hAnsi="宋体" w:eastAsia="宋体" w:cs="宋体"/>
                <w:color w:val="auto"/>
                <w:sz w:val="22"/>
                <w:highlight w:val="none"/>
              </w:rPr>
            </w:pPr>
          </w:p>
        </w:tc>
        <w:tc>
          <w:tcPr>
            <w:tcW w:w="5413"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868" w:type="dxa"/>
            <w:vMerge w:val="restart"/>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pPr>
              <w:spacing w:line="380" w:lineRule="exact"/>
              <w:jc w:val="center"/>
              <w:rPr>
                <w:rFonts w:hint="eastAsia" w:ascii="宋体" w:hAnsi="宋体" w:eastAsia="宋体" w:cs="宋体"/>
                <w:color w:val="auto"/>
                <w:sz w:val="22"/>
                <w:highlight w:val="none"/>
              </w:rPr>
            </w:pPr>
          </w:p>
        </w:tc>
        <w:tc>
          <w:tcPr>
            <w:tcW w:w="2522" w:type="dxa"/>
            <w:vMerge w:val="continue"/>
            <w:vAlign w:val="center"/>
          </w:tcPr>
          <w:p>
            <w:pPr>
              <w:spacing w:line="380" w:lineRule="exact"/>
              <w:jc w:val="center"/>
              <w:rPr>
                <w:rFonts w:hint="eastAsia" w:ascii="宋体" w:hAnsi="宋体" w:eastAsia="宋体" w:cs="宋体"/>
                <w:color w:val="auto"/>
                <w:sz w:val="22"/>
                <w:highlight w:val="none"/>
              </w:rPr>
            </w:pPr>
          </w:p>
        </w:tc>
        <w:tc>
          <w:tcPr>
            <w:tcW w:w="5413"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Merge w:val="continue"/>
            <w:vAlign w:val="center"/>
          </w:tcPr>
          <w:p>
            <w:pPr>
              <w:spacing w:line="380" w:lineRule="exact"/>
              <w:jc w:val="center"/>
              <w:rPr>
                <w:rFonts w:hint="eastAsia" w:ascii="宋体" w:hAnsi="宋体" w:eastAsia="宋体" w:cs="宋体"/>
                <w:color w:val="auto"/>
                <w:sz w:val="22"/>
                <w:highlight w:val="none"/>
              </w:rPr>
            </w:pP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4"/>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4"/>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360" w:lineRule="auto"/>
        <w:jc w:val="center"/>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3、分项报价表</w:t>
      </w:r>
    </w:p>
    <w:p>
      <w:pPr>
        <w:spacing w:line="360" w:lineRule="auto"/>
        <w:rPr>
          <w:rFonts w:hint="eastAsia" w:ascii="宋体" w:hAnsi="宋体" w:eastAsia="宋体" w:cs="宋体"/>
          <w:b w:val="0"/>
          <w:bCs w:val="0"/>
          <w:color w:val="auto"/>
          <w:sz w:val="22"/>
          <w:szCs w:val="22"/>
          <w:highlight w:val="none"/>
        </w:rPr>
      </w:pP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WZLCZB（W）-2023-04176</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医疗设备精细化管理系统</w:t>
      </w:r>
    </w:p>
    <w:tbl>
      <w:tblPr>
        <w:tblStyle w:val="52"/>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10"/>
        <w:gridCol w:w="1670"/>
        <w:gridCol w:w="2579"/>
        <w:gridCol w:w="717"/>
        <w:gridCol w:w="1203"/>
        <w:gridCol w:w="114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310"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名称</w:t>
            </w:r>
          </w:p>
        </w:tc>
        <w:tc>
          <w:tcPr>
            <w:tcW w:w="1670"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品牌（如有）</w:t>
            </w:r>
          </w:p>
        </w:tc>
        <w:tc>
          <w:tcPr>
            <w:tcW w:w="2579"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规格型号（或具体服务）</w:t>
            </w:r>
          </w:p>
        </w:tc>
        <w:tc>
          <w:tcPr>
            <w:tcW w:w="717"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数量</w:t>
            </w:r>
          </w:p>
        </w:tc>
        <w:tc>
          <w:tcPr>
            <w:tcW w:w="1203"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单价</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元</w:t>
            </w:r>
            <w:r>
              <w:rPr>
                <w:rFonts w:hint="eastAsia" w:ascii="宋体" w:hAnsi="宋体" w:eastAsia="宋体" w:cs="宋体"/>
                <w:b w:val="0"/>
                <w:bCs/>
                <w:color w:val="auto"/>
                <w:sz w:val="22"/>
                <w:szCs w:val="22"/>
                <w:highlight w:val="none"/>
                <w:lang w:eastAsia="zh-CN"/>
              </w:rPr>
              <w:t>）</w:t>
            </w:r>
          </w:p>
        </w:tc>
        <w:tc>
          <w:tcPr>
            <w:tcW w:w="1149"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总价</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元</w:t>
            </w:r>
            <w:r>
              <w:rPr>
                <w:rFonts w:hint="eastAsia" w:ascii="宋体" w:hAnsi="宋体" w:eastAsia="宋体" w:cs="宋体"/>
                <w:b w:val="0"/>
                <w:bCs/>
                <w:color w:val="auto"/>
                <w:sz w:val="22"/>
                <w:szCs w:val="22"/>
                <w:highlight w:val="none"/>
                <w:lang w:eastAsia="zh-CN"/>
              </w:rPr>
              <w:t>）</w:t>
            </w:r>
          </w:p>
        </w:tc>
        <w:tc>
          <w:tcPr>
            <w:tcW w:w="736"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备注</w:t>
            </w:r>
          </w:p>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w:t>
            </w:r>
          </w:p>
        </w:tc>
        <w:tc>
          <w:tcPr>
            <w:tcW w:w="5559" w:type="dxa"/>
            <w:gridSpan w:val="3"/>
            <w:noWrap w:val="0"/>
            <w:vAlign w:val="center"/>
          </w:tcPr>
          <w:p>
            <w:pPr>
              <w:spacing w:line="460" w:lineRule="exact"/>
              <w:jc w:val="center"/>
              <w:rPr>
                <w:rFonts w:hint="eastAsia" w:ascii="宋体" w:hAnsi="宋体" w:eastAsia="宋体" w:cs="宋体"/>
                <w:b w:val="0"/>
                <w:bCs/>
                <w:color w:val="auto"/>
                <w:sz w:val="22"/>
                <w:szCs w:val="22"/>
                <w:highlight w:val="none"/>
              </w:rPr>
            </w:pPr>
            <w:r>
              <w:rPr>
                <w:rFonts w:hint="eastAsia" w:ascii="宋体" w:hAnsi="宋体" w:eastAsia="宋体" w:cs="宋体"/>
                <w:sz w:val="22"/>
                <w:szCs w:val="22"/>
              </w:rPr>
              <w:t>税金</w:t>
            </w:r>
          </w:p>
        </w:tc>
        <w:tc>
          <w:tcPr>
            <w:tcW w:w="3805" w:type="dxa"/>
            <w:gridSpan w:val="4"/>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w:t>
            </w:r>
          </w:p>
        </w:tc>
        <w:tc>
          <w:tcPr>
            <w:tcW w:w="5559" w:type="dxa"/>
            <w:gridSpan w:val="3"/>
            <w:noWrap w:val="0"/>
            <w:vAlign w:val="center"/>
          </w:tcPr>
          <w:p>
            <w:pPr>
              <w:spacing w:line="460" w:lineRule="exact"/>
              <w:jc w:val="center"/>
              <w:rPr>
                <w:rFonts w:hint="eastAsia" w:ascii="宋体" w:hAnsi="宋体" w:eastAsia="宋体" w:cs="宋体"/>
                <w:b w:val="0"/>
                <w:bCs/>
                <w:color w:val="auto"/>
                <w:sz w:val="22"/>
                <w:szCs w:val="22"/>
                <w:highlight w:val="none"/>
              </w:rPr>
            </w:pPr>
            <w:r>
              <w:rPr>
                <w:rFonts w:hint="eastAsia" w:ascii="宋体" w:hAnsi="宋体" w:eastAsia="宋体" w:cs="宋体"/>
                <w:sz w:val="22"/>
                <w:szCs w:val="22"/>
              </w:rPr>
              <w:t>其他</w:t>
            </w:r>
          </w:p>
        </w:tc>
        <w:tc>
          <w:tcPr>
            <w:tcW w:w="3805" w:type="dxa"/>
            <w:gridSpan w:val="4"/>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w:t>
            </w:r>
          </w:p>
        </w:tc>
        <w:tc>
          <w:tcPr>
            <w:tcW w:w="5559" w:type="dxa"/>
            <w:gridSpan w:val="3"/>
            <w:noWrap w:val="0"/>
            <w:vAlign w:val="center"/>
          </w:tcPr>
          <w:p>
            <w:pPr>
              <w:spacing w:line="460" w:lineRule="exact"/>
              <w:jc w:val="center"/>
              <w:rPr>
                <w:rFonts w:hint="eastAsia" w:ascii="宋体" w:hAnsi="宋体" w:eastAsia="宋体" w:cs="宋体"/>
                <w:b w:val="0"/>
                <w:bCs/>
                <w:color w:val="auto"/>
                <w:sz w:val="22"/>
                <w:szCs w:val="22"/>
                <w:highlight w:val="none"/>
              </w:rPr>
            </w:pPr>
            <w:r>
              <w:rPr>
                <w:rFonts w:hint="eastAsia" w:ascii="宋体" w:hAnsi="宋体" w:eastAsia="宋体" w:cs="宋体"/>
                <w:sz w:val="22"/>
                <w:szCs w:val="22"/>
              </w:rPr>
              <w:t>采购代理服务费</w:t>
            </w:r>
          </w:p>
        </w:tc>
        <w:tc>
          <w:tcPr>
            <w:tcW w:w="3805" w:type="dxa"/>
            <w:gridSpan w:val="4"/>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234" w:type="dxa"/>
            <w:gridSpan w:val="4"/>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投标报价（小写）</w:t>
            </w:r>
          </w:p>
        </w:tc>
        <w:tc>
          <w:tcPr>
            <w:tcW w:w="3805" w:type="dxa"/>
            <w:gridSpan w:val="4"/>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234" w:type="dxa"/>
            <w:gridSpan w:val="4"/>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投标报价（大写）</w:t>
            </w:r>
          </w:p>
        </w:tc>
        <w:tc>
          <w:tcPr>
            <w:tcW w:w="3805" w:type="dxa"/>
            <w:gridSpan w:val="4"/>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bl>
    <w:p>
      <w:pPr>
        <w:spacing w:line="380" w:lineRule="exact"/>
        <w:rPr>
          <w:rFonts w:hint="eastAsia" w:ascii="宋体" w:hAnsi="宋体" w:eastAsia="宋体" w:cs="宋体"/>
          <w:b/>
          <w:color w:val="auto"/>
          <w:sz w:val="22"/>
          <w:szCs w:val="22"/>
          <w:highlight w:val="none"/>
        </w:rPr>
      </w:pP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360" w:lineRule="auto"/>
        <w:jc w:val="left"/>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4"/>
        <w:rPr>
          <w:rFonts w:hint="eastAsia" w:ascii="宋体" w:hAnsi="宋体" w:eastAsia="宋体" w:cs="宋体"/>
          <w:color w:val="auto"/>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39" w:firstLineChars="245"/>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u w:val="single"/>
          <w:lang w:val="en-US" w:eastAsia="zh-CN"/>
        </w:rPr>
        <w:t>同时</w:t>
      </w:r>
      <w:r>
        <w:rPr>
          <w:rFonts w:hint="eastAsia" w:ascii="宋体" w:hAnsi="宋体" w:eastAsia="宋体" w:cs="宋体"/>
          <w:b w:val="0"/>
          <w:bCs w:val="0"/>
          <w:color w:val="auto"/>
          <w:sz w:val="22"/>
          <w:szCs w:val="22"/>
          <w:highlight w:val="none"/>
          <w:u w:val="single"/>
          <w:lang w:val="zh-CN"/>
        </w:rPr>
        <w:t>符合以下所有要求的投标人被认定为小型、微型企业：</w:t>
      </w:r>
    </w:p>
    <w:p>
      <w:pPr>
        <w:spacing w:line="460" w:lineRule="exact"/>
        <w:ind w:firstLine="539" w:firstLineChars="245"/>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①企业按照《关于印发中小企业划型标准规定的通知》（工信部联企业〔2011〕300号）的所属行业规定为小型、微型企业。</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single"/>
          <w:lang w:val="en-US" w:eastAsia="zh-CN"/>
        </w:rPr>
        <w:t>②</w:t>
      </w:r>
      <w:r>
        <w:rPr>
          <w:rFonts w:hint="eastAsia" w:ascii="宋体" w:hAnsi="宋体" w:eastAsia="宋体" w:cs="宋体"/>
          <w:b w:val="0"/>
          <w:bCs w:val="0"/>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keepNext/>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4"/>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4"/>
        <w:spacing w:line="460" w:lineRule="exact"/>
        <w:ind w:left="433" w:hanging="433" w:hangingChars="196"/>
        <w:outlineLvl w:val="1"/>
        <w:rPr>
          <w:rFonts w:hint="eastAsia" w:ascii="宋体" w:hAnsi="宋体" w:eastAsia="宋体" w:cs="宋体"/>
          <w:b/>
          <w:color w:val="auto"/>
          <w:sz w:val="22"/>
          <w:szCs w:val="22"/>
          <w:highlight w:val="none"/>
        </w:rPr>
      </w:pPr>
      <w:bookmarkStart w:id="35" w:name="_Toc19402"/>
      <w:bookmarkStart w:id="36" w:name="_Toc12035"/>
      <w:r>
        <w:rPr>
          <w:rFonts w:hint="eastAsia" w:ascii="宋体" w:hAnsi="宋体" w:eastAsia="宋体" w:cs="宋体"/>
          <w:b/>
          <w:color w:val="auto"/>
          <w:sz w:val="22"/>
          <w:szCs w:val="22"/>
          <w:highlight w:val="none"/>
        </w:rPr>
        <w:t>附件二</w:t>
      </w:r>
      <w:bookmarkEnd w:id="35"/>
      <w:bookmarkEnd w:id="36"/>
    </w:p>
    <w:p>
      <w:pPr>
        <w:spacing w:line="460" w:lineRule="exact"/>
        <w:jc w:val="center"/>
        <w:outlineLvl w:val="2"/>
        <w:rPr>
          <w:rFonts w:hint="eastAsia" w:ascii="宋体" w:hAnsi="宋体" w:eastAsia="宋体" w:cs="宋体"/>
          <w:color w:val="auto"/>
          <w:sz w:val="28"/>
          <w:szCs w:val="28"/>
          <w:highlight w:val="none"/>
        </w:rPr>
      </w:pPr>
      <w:bookmarkStart w:id="37" w:name="_Toc25309"/>
      <w:bookmarkStart w:id="38" w:name="_Toc4718"/>
      <w:r>
        <w:rPr>
          <w:rFonts w:hint="eastAsia" w:ascii="宋体" w:hAnsi="宋体" w:eastAsia="宋体" w:cs="宋体"/>
          <w:b/>
          <w:bCs/>
          <w:color w:val="auto"/>
          <w:sz w:val="32"/>
          <w:szCs w:val="32"/>
          <w:highlight w:val="none"/>
        </w:rPr>
        <w:t>资格证明文件</w:t>
      </w:r>
      <w:bookmarkEnd w:id="37"/>
      <w:bookmarkEnd w:id="38"/>
      <w:r>
        <w:rPr>
          <w:rFonts w:hint="eastAsia" w:ascii="宋体" w:hAnsi="宋体" w:eastAsia="宋体" w:cs="宋体"/>
          <w:color w:val="auto"/>
          <w:sz w:val="28"/>
          <w:szCs w:val="28"/>
          <w:highlight w:val="none"/>
        </w:rPr>
        <w:t xml:space="preserve"> </w:t>
      </w: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39" w:name="_Toc31356"/>
      <w:bookmarkStart w:id="40" w:name="_Toc16516"/>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p>
    <w:p>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pPr>
        <w:snapToGrid w:val="0"/>
        <w:spacing w:line="360" w:lineRule="auto"/>
        <w:ind w:firstLine="5060" w:firstLineChars="2300"/>
        <w:rPr>
          <w:rFonts w:hint="eastAsia" w:ascii="宋体" w:hAnsi="宋体" w:eastAsia="宋体" w:cs="宋体"/>
          <w:color w:val="auto"/>
          <w:kern w:val="0"/>
          <w:sz w:val="22"/>
          <w:szCs w:val="22"/>
          <w:highlight w:val="none"/>
          <w:lang w:val="zh-CN"/>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rPr>
          <w:rFonts w:hint="eastAsia" w:ascii="宋体" w:hAnsi="宋体" w:eastAsia="宋体" w:cs="宋体"/>
        </w:rPr>
      </w:pP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pPr>
        <w:pStyle w:val="49"/>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pPr>
        <w:pStyle w:val="218"/>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rPr>
          <w:rFonts w:hint="eastAsia" w:ascii="宋体" w:hAnsi="宋体" w:eastAsia="宋体" w:cs="宋体"/>
        </w:rPr>
      </w:pP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pPr>
        <w:rPr>
          <w:rFonts w:hint="eastAsia" w:cs="宋体"/>
          <w:b/>
          <w:bCs w:val="0"/>
          <w:color w:val="auto"/>
          <w:kern w:val="0"/>
          <w:sz w:val="28"/>
          <w:szCs w:val="28"/>
          <w:highlight w:val="none"/>
          <w:lang w:val="en-US" w:eastAsia="zh-CN" w:bidi="ar-SA"/>
        </w:rPr>
      </w:pPr>
    </w:p>
    <w:p>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4、采购活动现场确认声明书</w:t>
      </w:r>
    </w:p>
    <w:p>
      <w:pPr>
        <w:spacing w:line="460" w:lineRule="exact"/>
        <w:rPr>
          <w:rFonts w:hint="eastAsia" w:ascii="宋体" w:hAnsi="宋体" w:eastAsia="宋体" w:cs="宋体"/>
          <w:b/>
          <w:bCs/>
          <w:sz w:val="22"/>
          <w:szCs w:val="22"/>
        </w:rPr>
      </w:pPr>
    </w:p>
    <w:p>
      <w:pPr>
        <w:spacing w:line="460" w:lineRule="exact"/>
        <w:rPr>
          <w:rFonts w:hint="eastAsia" w:ascii="宋体" w:hAnsi="宋体" w:eastAsia="宋体" w:cs="宋体"/>
          <w:b/>
          <w:bCs/>
          <w:sz w:val="22"/>
          <w:szCs w:val="22"/>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pPr>
        <w:spacing w:line="460" w:lineRule="exact"/>
        <w:ind w:firstLine="440" w:firstLineChars="200"/>
        <w:rPr>
          <w:rFonts w:hint="eastAsia" w:ascii="宋体" w:hAnsi="宋体" w:eastAsia="宋体" w:cs="宋体"/>
          <w:sz w:val="22"/>
          <w:szCs w:val="22"/>
        </w:rPr>
      </w:pPr>
      <w:r>
        <w:rPr>
          <w:rFonts w:hint="eastAsia" w:ascii="宋体" w:hAnsi="宋体" w:eastAsia="宋体" w:cs="宋体"/>
          <w:kern w:val="0"/>
          <w:sz w:val="22"/>
          <w:szCs w:val="22"/>
        </w:rPr>
        <w:t>本人经由</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（供应商名称）负责人</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（姓名）合法授权参加</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项目（编号：</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）采购活动，经与本单位法人代表（负责人）联系确认，现就有关公平竞争事项郑重声明如下：</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本单位与招标人之间 □不存在利害关系 □存在下列利害关系：</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A.投资关系    </w:t>
      </w:r>
    </w:p>
    <w:p>
      <w:pPr>
        <w:spacing w:line="460" w:lineRule="exact"/>
        <w:ind w:firstLine="660" w:firstLineChars="300"/>
        <w:rPr>
          <w:rFonts w:hint="eastAsia" w:ascii="宋体" w:hAnsi="宋体" w:eastAsia="宋体" w:cs="宋体"/>
          <w:kern w:val="0"/>
          <w:sz w:val="22"/>
          <w:szCs w:val="22"/>
        </w:rPr>
      </w:pPr>
      <w:r>
        <w:rPr>
          <w:rFonts w:hint="eastAsia" w:ascii="宋体" w:hAnsi="宋体" w:eastAsia="宋体" w:cs="宋体"/>
          <w:kern w:val="0"/>
          <w:sz w:val="22"/>
          <w:szCs w:val="22"/>
        </w:rPr>
        <w:t xml:space="preserve">B.行政隶属关系    </w:t>
      </w:r>
    </w:p>
    <w:p>
      <w:pPr>
        <w:spacing w:line="460" w:lineRule="exact"/>
        <w:ind w:firstLine="660" w:firstLineChars="300"/>
        <w:rPr>
          <w:rFonts w:hint="eastAsia" w:ascii="宋体" w:hAnsi="宋体" w:eastAsia="宋体" w:cs="宋体"/>
          <w:kern w:val="0"/>
          <w:sz w:val="22"/>
          <w:szCs w:val="22"/>
        </w:rPr>
      </w:pPr>
      <w:r>
        <w:rPr>
          <w:rFonts w:hint="eastAsia" w:ascii="宋体" w:hAnsi="宋体" w:eastAsia="宋体" w:cs="宋体"/>
          <w:kern w:val="0"/>
          <w:sz w:val="22"/>
          <w:szCs w:val="22"/>
        </w:rPr>
        <w:t xml:space="preserve">C.业务指导关系  </w:t>
      </w:r>
    </w:p>
    <w:p>
      <w:pPr>
        <w:spacing w:line="460" w:lineRule="exact"/>
        <w:ind w:firstLine="660" w:firstLineChars="300"/>
        <w:rPr>
          <w:rFonts w:hint="eastAsia" w:ascii="宋体" w:hAnsi="宋体" w:eastAsia="宋体" w:cs="宋体"/>
          <w:sz w:val="22"/>
          <w:szCs w:val="22"/>
        </w:rPr>
      </w:pPr>
      <w:r>
        <w:rPr>
          <w:rFonts w:hint="eastAsia" w:ascii="宋体" w:hAnsi="宋体" w:eastAsia="宋体" w:cs="宋体"/>
          <w:kern w:val="0"/>
          <w:sz w:val="22"/>
          <w:szCs w:val="22"/>
        </w:rPr>
        <w:t>D.其他可能影响采购公正的利害关系</w:t>
      </w:r>
      <w:r>
        <w:rPr>
          <w:rStyle w:val="332"/>
          <w:rFonts w:hint="eastAsia" w:ascii="宋体" w:hAnsi="宋体" w:eastAsia="宋体" w:cs="宋体"/>
          <w:color w:val="auto"/>
          <w:sz w:val="22"/>
          <w:szCs w:val="22"/>
        </w:rPr>
        <w:t xml:space="preserve">（如有，请如实说明）                 </w:t>
      </w:r>
      <w:r>
        <w:rPr>
          <w:rFonts w:hint="eastAsia" w:ascii="宋体" w:hAnsi="宋体" w:eastAsia="宋体" w:cs="宋体"/>
          <w:kern w:val="0"/>
          <w:sz w:val="22"/>
          <w:szCs w:val="22"/>
        </w:rPr>
        <w:t>。</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现已清楚知道参加本项目采购活动的其他所有供应商名称，本单位 </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□与其他所有供应商之间均不存在利害关系 </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□与</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供应商名称）之间存在下列利害关系</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A.法定代表人或负责人或实际控制人是同一人</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B.法定代表人或负责人或实际控制人是夫妻关系</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C.法定代表人或负责人或实际控制人是直系血亲关系</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D.法定代表人或负责人或实际控制人存在三代以内旁系血亲关系</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E.法定代表人或负责人或实际控制人存在近姻亲关系</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F.法定代表人或负责人或实际控制人存在股份控制或实际控制关系</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G.存在共同直接或间接投资设立子公司、联营企业和合营企业情况</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H.存在分级代理或代销关系、同一生产制造商关系、管理关系、重要业务（占主营业务收入50%以上）或重要财务往来关系（如融资）等其他实质性控制关系</w:t>
      </w:r>
    </w:p>
    <w:p>
      <w:pPr>
        <w:numPr>
          <w:ilvl w:val="0"/>
          <w:numId w:val="5"/>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      I.其他利害关系情况</w:t>
      </w:r>
      <w:r>
        <w:rPr>
          <w:rFonts w:hint="eastAsia" w:ascii="宋体" w:hAnsi="宋体" w:eastAsia="宋体" w:cs="宋体"/>
          <w:kern w:val="0"/>
          <w:sz w:val="22"/>
          <w:szCs w:val="22"/>
          <w:u w:val="single"/>
        </w:rPr>
        <w:t xml:space="preserve">                              。</w:t>
      </w:r>
    </w:p>
    <w:p>
      <w:pPr>
        <w:pStyle w:val="24"/>
        <w:spacing w:line="460" w:lineRule="exact"/>
        <w:ind w:left="0" w:firstLine="0" w:firstLineChars="0"/>
        <w:rPr>
          <w:rFonts w:hint="eastAsia" w:ascii="宋体" w:hAnsi="宋体" w:eastAsia="宋体" w:cs="宋体"/>
          <w:kern w:val="0"/>
          <w:sz w:val="22"/>
          <w:szCs w:val="22"/>
        </w:rPr>
      </w:pPr>
      <w:r>
        <w:rPr>
          <w:rFonts w:hint="eastAsia" w:ascii="宋体" w:hAnsi="宋体" w:eastAsia="宋体" w:cs="宋体"/>
          <w:kern w:val="0"/>
          <w:sz w:val="22"/>
          <w:szCs w:val="22"/>
        </w:rPr>
        <w:t>（三）现已清楚知道并严格遵守政府采购法律法规和现场纪律</w:t>
      </w:r>
    </w:p>
    <w:p>
      <w:pPr>
        <w:pStyle w:val="24"/>
        <w:spacing w:line="460" w:lineRule="exact"/>
        <w:ind w:left="0" w:firstLine="0" w:firstLineChars="0"/>
        <w:rPr>
          <w:rFonts w:hint="eastAsia" w:ascii="宋体" w:hAnsi="宋体" w:eastAsia="宋体" w:cs="宋体"/>
          <w:kern w:val="0"/>
          <w:sz w:val="22"/>
          <w:szCs w:val="22"/>
        </w:rPr>
      </w:pPr>
      <w:r>
        <w:rPr>
          <w:rFonts w:hint="eastAsia" w:ascii="宋体" w:hAnsi="宋体" w:eastAsia="宋体" w:cs="宋体"/>
          <w:kern w:val="0"/>
          <w:sz w:val="22"/>
          <w:szCs w:val="22"/>
        </w:rPr>
        <w:t>（四）我发现</w:t>
      </w:r>
      <w:r>
        <w:rPr>
          <w:rStyle w:val="332"/>
          <w:rFonts w:hint="eastAsia" w:ascii="宋体" w:hAnsi="宋体" w:eastAsia="宋体" w:cs="宋体"/>
          <w:color w:val="auto"/>
          <w:sz w:val="22"/>
          <w:szCs w:val="22"/>
          <w:u w:val="single"/>
        </w:rPr>
        <w:t xml:space="preserve">                  </w:t>
      </w:r>
      <w:r>
        <w:rPr>
          <w:rStyle w:val="332"/>
          <w:rFonts w:hint="eastAsia" w:ascii="宋体" w:hAnsi="宋体" w:eastAsia="宋体" w:cs="宋体"/>
          <w:color w:val="auto"/>
          <w:sz w:val="22"/>
          <w:szCs w:val="22"/>
        </w:rPr>
        <w:t>与</w:t>
      </w:r>
      <w:r>
        <w:rPr>
          <w:rStyle w:val="332"/>
          <w:rFonts w:hint="eastAsia" w:ascii="宋体" w:hAnsi="宋体" w:eastAsia="宋体" w:cs="宋体"/>
          <w:color w:val="auto"/>
          <w:sz w:val="22"/>
          <w:szCs w:val="22"/>
          <w:u w:val="single"/>
        </w:rPr>
        <w:t xml:space="preserve">                  </w:t>
      </w:r>
      <w:r>
        <w:rPr>
          <w:rStyle w:val="332"/>
          <w:rFonts w:hint="eastAsia" w:ascii="宋体" w:hAnsi="宋体" w:eastAsia="宋体" w:cs="宋体"/>
          <w:color w:val="auto"/>
          <w:sz w:val="22"/>
          <w:szCs w:val="22"/>
        </w:rPr>
        <w:t>（供应商名称）</w:t>
      </w:r>
      <w:r>
        <w:rPr>
          <w:rFonts w:hint="eastAsia" w:ascii="宋体" w:hAnsi="宋体" w:eastAsia="宋体" w:cs="宋体"/>
          <w:kern w:val="0"/>
          <w:sz w:val="22"/>
          <w:szCs w:val="22"/>
        </w:rPr>
        <w:t>之间存在或可能存在上述第二条第</w:t>
      </w:r>
      <w:r>
        <w:rPr>
          <w:rStyle w:val="332"/>
          <w:rFonts w:hint="eastAsia" w:ascii="宋体" w:hAnsi="宋体" w:eastAsia="宋体" w:cs="宋体"/>
          <w:color w:val="auto"/>
          <w:sz w:val="22"/>
          <w:szCs w:val="22"/>
          <w:u w:val="single"/>
        </w:rPr>
        <w:t xml:space="preserve">        </w:t>
      </w:r>
      <w:r>
        <w:rPr>
          <w:rFonts w:hint="eastAsia" w:ascii="宋体" w:hAnsi="宋体" w:eastAsia="宋体" w:cs="宋体"/>
          <w:kern w:val="0"/>
          <w:sz w:val="22"/>
          <w:szCs w:val="22"/>
        </w:rPr>
        <w:t>项利害关系。</w:t>
      </w:r>
    </w:p>
    <w:p>
      <w:pPr>
        <w:pStyle w:val="24"/>
        <w:spacing w:line="460" w:lineRule="exact"/>
        <w:ind w:left="0" w:firstLine="0" w:firstLineChars="0"/>
        <w:rPr>
          <w:rFonts w:hint="eastAsia" w:ascii="宋体" w:hAnsi="宋体" w:eastAsia="宋体" w:cs="宋体"/>
          <w:b/>
          <w:kern w:val="0"/>
          <w:sz w:val="22"/>
          <w:szCs w:val="22"/>
        </w:rPr>
      </w:pPr>
      <w:r>
        <w:rPr>
          <w:rFonts w:hint="eastAsia" w:ascii="宋体" w:hAnsi="宋体" w:eastAsia="宋体" w:cs="宋体"/>
          <w:b/>
          <w:kern w:val="0"/>
          <w:sz w:val="22"/>
          <w:szCs w:val="22"/>
        </w:rPr>
        <w:t>供应商代表签名:</w:t>
      </w:r>
    </w:p>
    <w:p>
      <w:pPr>
        <w:pStyle w:val="24"/>
        <w:spacing w:line="460" w:lineRule="exact"/>
        <w:ind w:left="0" w:firstLine="0" w:firstLineChars="0"/>
        <w:jc w:val="right"/>
        <w:rPr>
          <w:rFonts w:hint="eastAsia" w:ascii="宋体" w:hAnsi="宋体" w:eastAsia="宋体" w:cs="宋体"/>
          <w:b/>
          <w:bCs/>
          <w:sz w:val="22"/>
          <w:szCs w:val="22"/>
        </w:rPr>
      </w:pPr>
      <w:r>
        <w:rPr>
          <w:rFonts w:hint="eastAsia" w:ascii="宋体" w:hAnsi="宋体" w:eastAsia="宋体" w:cs="宋体"/>
          <w:b/>
          <w:kern w:val="0"/>
          <w:sz w:val="22"/>
          <w:szCs w:val="22"/>
        </w:rPr>
        <w:t>日期:202</w:t>
      </w:r>
      <w:r>
        <w:rPr>
          <w:rFonts w:hint="eastAsia" w:ascii="宋体" w:hAnsi="宋体" w:eastAsia="宋体" w:cs="宋体"/>
          <w:b/>
          <w:kern w:val="0"/>
          <w:sz w:val="22"/>
          <w:szCs w:val="22"/>
          <w:lang w:val="en-US" w:eastAsia="zh-CN"/>
        </w:rPr>
        <w:t xml:space="preserve">  </w:t>
      </w:r>
      <w:r>
        <w:rPr>
          <w:rFonts w:hint="eastAsia" w:ascii="宋体" w:hAnsi="宋体" w:eastAsia="宋体" w:cs="宋体"/>
          <w:b/>
          <w:kern w:val="0"/>
          <w:sz w:val="22"/>
          <w:szCs w:val="22"/>
        </w:rPr>
        <w:t>年    月    日</w:t>
      </w:r>
    </w:p>
    <w:p>
      <w:pPr>
        <w:pStyle w:val="24"/>
        <w:spacing w:line="460" w:lineRule="exact"/>
        <w:ind w:left="0" w:firstLine="0" w:firstLineChars="0"/>
        <w:jc w:val="right"/>
        <w:rPr>
          <w:rFonts w:hint="eastAsia" w:ascii="宋体" w:hAnsi="宋体" w:eastAsia="宋体" w:cs="宋体"/>
          <w:b/>
          <w:bCs/>
          <w:sz w:val="22"/>
          <w:szCs w:val="22"/>
        </w:rPr>
      </w:pPr>
    </w:p>
    <w:p>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39"/>
      <w:bookmarkEnd w:id="40"/>
    </w:p>
    <w:p>
      <w:pPr>
        <w:spacing w:line="460" w:lineRule="exact"/>
        <w:jc w:val="center"/>
        <w:outlineLvl w:val="2"/>
        <w:rPr>
          <w:rFonts w:hint="eastAsia" w:ascii="宋体" w:hAnsi="宋体" w:eastAsia="宋体" w:cs="宋体"/>
          <w:b/>
          <w:bCs/>
          <w:color w:val="auto"/>
          <w:sz w:val="28"/>
          <w:szCs w:val="28"/>
          <w:highlight w:val="none"/>
          <w:lang w:val="zh-CN"/>
        </w:rPr>
      </w:pPr>
      <w:bookmarkStart w:id="41" w:name="_Toc13639"/>
      <w:bookmarkStart w:id="42" w:name="_Toc29102"/>
      <w:r>
        <w:rPr>
          <w:rFonts w:hint="eastAsia" w:ascii="宋体" w:hAnsi="宋体" w:eastAsia="宋体" w:cs="宋体"/>
          <w:b/>
          <w:bCs/>
          <w:color w:val="auto"/>
          <w:sz w:val="28"/>
          <w:szCs w:val="28"/>
          <w:highlight w:val="none"/>
          <w:lang w:val="zh-CN"/>
        </w:rPr>
        <w:t>商务技术文件</w:t>
      </w:r>
      <w:bookmarkEnd w:id="41"/>
      <w:bookmarkEnd w:id="42"/>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pPr>
        <w:spacing w:line="360" w:lineRule="auto"/>
        <w:rPr>
          <w:rFonts w:hint="eastAsia" w:ascii="宋体" w:hAnsi="宋体" w:eastAsia="宋体" w:cs="宋体"/>
          <w:b w:val="0"/>
          <w:bCs w:val="0"/>
          <w:color w:val="auto"/>
          <w:sz w:val="22"/>
          <w:szCs w:val="22"/>
          <w:highlight w:val="none"/>
        </w:rPr>
      </w:pP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WZLCZB（W）-2023-04176</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医疗设备精细化管理系统</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360" w:lineRule="auto"/>
        <w:jc w:val="left"/>
        <w:rPr>
          <w:rFonts w:hint="eastAsia" w:ascii="宋体" w:hAnsi="宋体" w:eastAsia="宋体" w:cs="宋体"/>
          <w:color w:val="auto"/>
          <w:sz w:val="22"/>
          <w:szCs w:val="22"/>
          <w:highlight w:val="none"/>
        </w:rPr>
      </w:pPr>
      <w:bookmarkStart w:id="43" w:name="_Toc415152386"/>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2"/>
          <w:szCs w:val="22"/>
          <w:highlight w:val="none"/>
        </w:rPr>
        <w:t>日    期：</w:t>
      </w:r>
      <w:r>
        <w:rPr>
          <w:rFonts w:hint="eastAsia" w:ascii="宋体" w:hAnsi="宋体" w:eastAsia="宋体" w:cs="宋体"/>
          <w:b/>
          <w:color w:val="auto"/>
          <w:sz w:val="24"/>
          <w:highlight w:val="none"/>
        </w:rPr>
        <w:br w:type="page"/>
      </w:r>
    </w:p>
    <w:p>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4、投标人情况</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WZLCZB（W）-2023-04176</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医疗设备精细化管理系统</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1"/>
        <w:spacing w:line="400" w:lineRule="atLeast"/>
        <w:rPr>
          <w:rFonts w:ascii="新宋体" w:hAnsi="新宋体" w:eastAsia="新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ascii="新宋体" w:hAnsi="新宋体" w:eastAsia="新宋体"/>
          <w:color w:val="auto"/>
          <w:sz w:val="22"/>
          <w:szCs w:val="22"/>
          <w:highlight w:val="none"/>
        </w:rPr>
      </w:pPr>
    </w:p>
    <w:p>
      <w:pPr>
        <w:spacing w:line="460" w:lineRule="exact"/>
        <w:ind w:firstLine="5060" w:firstLineChars="2300"/>
        <w:rPr>
          <w:rFonts w:ascii="新宋体" w:hAnsi="新宋体" w:eastAsia="新宋体"/>
          <w:color w:val="auto"/>
          <w:sz w:val="22"/>
          <w:szCs w:val="22"/>
          <w:highlight w:val="none"/>
        </w:rPr>
      </w:pPr>
    </w:p>
    <w:p>
      <w:pPr>
        <w:spacing w:line="460" w:lineRule="exact"/>
        <w:ind w:firstLine="5060" w:firstLineChars="2300"/>
        <w:rPr>
          <w:rFonts w:ascii="新宋体" w:hAnsi="新宋体" w:eastAsia="新宋体"/>
          <w:color w:val="auto"/>
          <w:sz w:val="22"/>
          <w:szCs w:val="22"/>
          <w:highlight w:val="none"/>
        </w:rPr>
      </w:pPr>
    </w:p>
    <w:p>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5、培训服务</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WZLCZB（W）-2023-04176</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医疗设备精细化管理系统</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00" w:lineRule="exact"/>
        <w:ind w:firstLine="4620" w:firstLineChars="2100"/>
        <w:rPr>
          <w:rFonts w:ascii="新宋体" w:hAnsi="新宋体" w:eastAsia="新宋体" w:cs="新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2"/>
          <w:szCs w:val="22"/>
          <w:highlight w:val="none"/>
        </w:rPr>
        <w:t>日    期：</w:t>
      </w:r>
      <w:r>
        <w:rPr>
          <w:rFonts w:hint="eastAsia" w:ascii="宋体" w:hAnsi="宋体" w:eastAsia="宋体" w:cs="宋体"/>
          <w:b/>
          <w:bCs/>
          <w:color w:val="auto"/>
          <w:sz w:val="28"/>
          <w:szCs w:val="28"/>
          <w:highlight w:val="none"/>
          <w:lang w:val="en-US" w:eastAsia="zh-CN"/>
        </w:rPr>
        <w:br w:type="page"/>
      </w: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w:t>
      </w:r>
      <w:bookmarkEnd w:id="43"/>
      <w:r>
        <w:rPr>
          <w:rFonts w:hint="eastAsia" w:ascii="宋体" w:hAnsi="宋体" w:eastAsia="宋体" w:cs="宋体"/>
          <w:b/>
          <w:bCs/>
          <w:color w:val="auto"/>
          <w:sz w:val="28"/>
          <w:szCs w:val="28"/>
          <w:highlight w:val="none"/>
          <w:lang w:val="en-US" w:eastAsia="zh-CN"/>
        </w:rPr>
        <w:t>总体投标方案</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WZLCZB（W）-2023-04176</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医疗设备精细化管理系统</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1"/>
        <w:spacing w:line="400" w:lineRule="atLeast"/>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、实施方案</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WZLCZB（W）-2023-04176</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医疗设备精细化管理系统</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400" w:lineRule="exact"/>
        <w:ind w:firstLine="4620" w:firstLineChars="2100"/>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rPr>
          <w:rFonts w:hint="eastAsia" w:ascii="宋体" w:hAnsi="宋体" w:eastAsia="宋体" w:cs="宋体"/>
          <w:color w:val="auto"/>
          <w:highlight w:val="none"/>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、售后服务</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WZLCZB（W）-2023-04176</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医疗设备精细化管理系统</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pStyle w:val="31"/>
        <w:spacing w:line="400" w:lineRule="atLeast"/>
        <w:rPr>
          <w:rFonts w:hint="eastAsia" w:ascii="宋体" w:hAnsi="宋体" w:eastAsia="宋体" w:cs="宋体"/>
          <w:color w:val="auto"/>
          <w:sz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b w:val="0"/>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b w:val="0"/>
          <w:bCs/>
          <w:color w:val="auto"/>
          <w:sz w:val="22"/>
          <w:highlight w:val="none"/>
        </w:rPr>
        <w:t xml:space="preserve"> </w:t>
      </w:r>
    </w:p>
    <w:p>
      <w:pPr>
        <w:jc w:val="both"/>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pPr>
        <w:spacing w:line="400" w:lineRule="exact"/>
        <w:jc w:val="center"/>
        <w:outlineLvl w:val="3"/>
        <w:rPr>
          <w:rFonts w:hint="default" w:ascii="宋体" w:hAnsi="宋体" w:eastAsia="宋体" w:cs="宋体"/>
          <w:b/>
          <w:color w:val="auto"/>
          <w:sz w:val="24"/>
          <w:highlight w:val="none"/>
          <w:lang w:val="en-US"/>
        </w:rPr>
      </w:pPr>
      <w:r>
        <w:rPr>
          <w:rFonts w:hint="eastAsia" w:ascii="宋体" w:hAnsi="宋体" w:cs="宋体"/>
          <w:b/>
          <w:bCs/>
          <w:color w:val="auto"/>
          <w:sz w:val="28"/>
          <w:szCs w:val="28"/>
          <w:highlight w:val="none"/>
          <w:lang w:val="en-US" w:eastAsia="zh-CN"/>
        </w:rPr>
        <w:br w:type="page"/>
      </w: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本地化服务</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WZLCZB（W）-2023-04176</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医疗设备精细化管理系统</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pStyle w:val="31"/>
        <w:spacing w:line="400" w:lineRule="atLeast"/>
        <w:rPr>
          <w:rFonts w:hint="eastAsia" w:ascii="宋体" w:hAnsi="宋体" w:eastAsia="宋体" w:cs="宋体"/>
          <w:color w:val="auto"/>
          <w:sz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b w:val="0"/>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b w:val="0"/>
          <w:bCs/>
          <w:color w:val="auto"/>
          <w:sz w:val="22"/>
          <w:highlight w:val="none"/>
        </w:rPr>
        <w:t xml:space="preserve"> </w:t>
      </w:r>
    </w:p>
    <w:p>
      <w:pPr>
        <w:rPr>
          <w:rFonts w:hint="eastAsia" w:ascii="宋体" w:hAnsi="宋体" w:cs="宋体"/>
          <w:b/>
          <w:bCs/>
          <w:color w:val="auto"/>
          <w:sz w:val="28"/>
          <w:szCs w:val="28"/>
          <w:highlight w:val="none"/>
          <w:lang w:val="en-US" w:eastAsia="zh-CN"/>
        </w:rPr>
      </w:pPr>
    </w:p>
    <w:p>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pPr>
        <w:spacing w:line="400" w:lineRule="exact"/>
        <w:jc w:val="center"/>
        <w:outlineLvl w:val="3"/>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、同类项目业绩</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WZLCZB（W）-2023-04176</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医疗设备精细化管理系统</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38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pPr>
        <w:pStyle w:val="2"/>
        <w:numPr>
          <w:ilvl w:val="0"/>
          <w:numId w:val="6"/>
        </w:numPr>
        <w:bidi w:val="0"/>
        <w:rPr>
          <w:rFonts w:hint="eastAsia" w:ascii="宋体" w:hAnsi="宋体" w:eastAsia="宋体" w:cs="宋体"/>
          <w:b/>
          <w:color w:val="auto"/>
          <w:highlight w:val="none"/>
        </w:rPr>
      </w:pPr>
      <w:r>
        <w:rPr>
          <w:rFonts w:hint="eastAsia" w:ascii="宋体" w:hAnsi="宋体" w:eastAsia="宋体" w:cs="宋体"/>
          <w:lang w:val="en-US" w:eastAsia="zh-CN"/>
        </w:rPr>
        <w:t xml:space="preserve">  </w:t>
      </w:r>
      <w:r>
        <w:rPr>
          <w:rFonts w:hint="eastAsia" w:ascii="宋体" w:hAnsi="宋体" w:eastAsia="宋体" w:cs="宋体"/>
        </w:rPr>
        <w:t xml:space="preserve"> </w:t>
      </w:r>
      <w:bookmarkStart w:id="44" w:name="_Toc10142"/>
      <w:bookmarkStart w:id="45" w:name="_Toc3381"/>
      <w:bookmarkStart w:id="46" w:name="_Toc221356958"/>
      <w:bookmarkStart w:id="47" w:name="_Toc221356895"/>
      <w:r>
        <w:rPr>
          <w:rFonts w:hint="eastAsia" w:ascii="宋体" w:hAnsi="宋体" w:eastAsia="宋体" w:cs="宋体"/>
        </w:rPr>
        <w:t>项目技术规范和服务要求</w:t>
      </w:r>
      <w:bookmarkEnd w:id="44"/>
      <w:bookmarkEnd w:id="45"/>
    </w:p>
    <w:bookmarkEnd w:id="46"/>
    <w:bookmarkEnd w:id="47"/>
    <w:p>
      <w:pPr>
        <w:pStyle w:val="328"/>
        <w:keepNext w:val="0"/>
        <w:keepLines w:val="0"/>
        <w:pageBreakBefore w:val="0"/>
        <w:widowControl w:val="0"/>
        <w:numPr>
          <w:ilvl w:val="0"/>
          <w:numId w:val="0"/>
        </w:numPr>
        <w:kinsoku/>
        <w:wordWrap/>
        <w:overflowPunct/>
        <w:topLinePunct w:val="0"/>
        <w:autoSpaceDE/>
        <w:autoSpaceDN/>
        <w:bidi w:val="0"/>
        <w:spacing w:line="460" w:lineRule="exact"/>
        <w:ind w:leftChars="0"/>
        <w:jc w:val="left"/>
        <w:rPr>
          <w:rFonts w:hint="eastAsia" w:ascii="新宋体" w:hAnsi="新宋体" w:eastAsia="新宋体" w:cs="新宋体"/>
          <w:b/>
          <w:bCs/>
          <w:color w:val="auto"/>
          <w:sz w:val="22"/>
          <w:szCs w:val="22"/>
          <w:highlight w:val="none"/>
        </w:rPr>
      </w:pPr>
      <w:bookmarkStart w:id="48" w:name="_Toc496101312"/>
      <w:bookmarkStart w:id="49" w:name="_Toc495651839"/>
      <w:bookmarkStart w:id="50" w:name="_Toc497307615"/>
      <w:bookmarkStart w:id="51" w:name="_Toc497300733"/>
      <w:bookmarkStart w:id="52" w:name="_Toc23050423"/>
      <w:bookmarkStart w:id="53" w:name="_Toc496101575"/>
      <w:bookmarkStart w:id="54" w:name="_Toc498186719"/>
      <w:bookmarkStart w:id="55" w:name="_Toc40266002"/>
      <w:bookmarkStart w:id="56" w:name="_Toc496256263"/>
      <w:bookmarkStart w:id="57" w:name="_Toc498199476"/>
      <w:bookmarkStart w:id="58" w:name="_Toc496257825"/>
      <w:bookmarkStart w:id="59" w:name="_Toc282690445"/>
      <w:bookmarkStart w:id="60" w:name="_Toc23050833"/>
      <w:bookmarkStart w:id="61" w:name="_Toc23050562"/>
      <w:bookmarkStart w:id="62" w:name="_Toc495660084"/>
      <w:bookmarkStart w:id="63" w:name="_Toc201920298"/>
      <w:bookmarkStart w:id="64" w:name="_Toc23050625"/>
      <w:bookmarkStart w:id="65" w:name="_Toc51996430"/>
      <w:bookmarkStart w:id="66" w:name="_Toc40594931"/>
      <w:bookmarkStart w:id="67" w:name="_Toc441051461"/>
      <w:bookmarkStart w:id="68" w:name="_Toc497300664"/>
      <w:bookmarkStart w:id="69" w:name="_Toc498186820"/>
      <w:r>
        <w:rPr>
          <w:rFonts w:hint="eastAsia" w:ascii="新宋体" w:hAnsi="新宋体" w:eastAsia="新宋体" w:cs="新宋体"/>
          <w:b/>
          <w:bCs/>
          <w:color w:val="auto"/>
          <w:sz w:val="22"/>
          <w:szCs w:val="22"/>
          <w:highlight w:val="none"/>
          <w:lang w:val="en-US" w:eastAsia="zh-CN"/>
        </w:rPr>
        <w:t>一、</w:t>
      </w:r>
      <w:r>
        <w:rPr>
          <w:rFonts w:hint="eastAsia" w:ascii="新宋体" w:hAnsi="新宋体" w:eastAsia="新宋体" w:cs="新宋体"/>
          <w:b/>
          <w:bCs/>
          <w:color w:val="auto"/>
          <w:sz w:val="22"/>
          <w:szCs w:val="22"/>
          <w:highlight w:val="none"/>
        </w:rPr>
        <w:t>项目背景</w:t>
      </w:r>
    </w:p>
    <w:p>
      <w:pPr>
        <w:keepNext w:val="0"/>
        <w:keepLines w:val="0"/>
        <w:pageBreakBefore w:val="0"/>
        <w:widowControl w:val="0"/>
        <w:tabs>
          <w:tab w:val="left" w:pos="5580"/>
        </w:tabs>
        <w:kinsoku/>
        <w:wordWrap/>
        <w:overflowPunct/>
        <w:topLinePunct w:val="0"/>
        <w:autoSpaceDE/>
        <w:autoSpaceDN/>
        <w:bidi w:val="0"/>
        <w:adjustRightInd w:val="0"/>
        <w:snapToGrid w:val="0"/>
        <w:spacing w:after="100" w:line="46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医疗设备管理(Medical Device Management,MDM)是医院采购管理中最重要的组成部分。基于网络平台医疗设备管理(Medical Device Management,MDM)采用计算机网络、条形码技术、二维码相结合的方法,对医疗设备进行标准、规范的全程管理。有利于建设数字化医院，实现医疗卫生资源的信息共享,对促进医院获得最大经济效益和社会效益有着重大的意义。</w:t>
      </w:r>
    </w:p>
    <w:p>
      <w:pPr>
        <w:pStyle w:val="328"/>
        <w:keepNext w:val="0"/>
        <w:keepLines w:val="0"/>
        <w:pageBreakBefore w:val="0"/>
        <w:widowControl w:val="0"/>
        <w:numPr>
          <w:ilvl w:val="0"/>
          <w:numId w:val="0"/>
        </w:numPr>
        <w:kinsoku/>
        <w:wordWrap/>
        <w:overflowPunct/>
        <w:topLinePunct w:val="0"/>
        <w:autoSpaceDE/>
        <w:autoSpaceDN/>
        <w:bidi w:val="0"/>
        <w:spacing w:line="460" w:lineRule="exact"/>
        <w:ind w:leftChars="0"/>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建设目标</w:t>
      </w:r>
    </w:p>
    <w:p>
      <w:pPr>
        <w:keepNext w:val="0"/>
        <w:keepLines w:val="0"/>
        <w:pageBreakBefore w:val="0"/>
        <w:widowControl w:val="0"/>
        <w:kinsoku/>
        <w:wordWrap/>
        <w:overflowPunct/>
        <w:topLinePunct w:val="0"/>
        <w:autoSpaceDE/>
        <w:autoSpaceDN/>
        <w:bidi w:val="0"/>
        <w:spacing w:line="460" w:lineRule="exact"/>
        <w:ind w:firstLine="4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医疗设备管理和使用是医院医疗质量管理中的重要环节,加强设备的管理不仅是医院医疗质量管理的完善,也是医院面对医疗纠纷时的一种自我保护。医疗设备精细化管理系统根据医疗设备的特点与国有大型医院的实际情况相结合,对医用设备管理存在的问题进行规范性管理,并帮助医院提供一套完善的监管平台及设备使用数据的信息化系统。</w:t>
      </w:r>
    </w:p>
    <w:p>
      <w:pPr>
        <w:pStyle w:val="328"/>
        <w:numPr>
          <w:ilvl w:val="0"/>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总体要求</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一致性：所有数据必须实现同源保存，确保数据一致账账相符；</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内外网联动：审批信息统一，即可在内网登陆平台审批，也可通过移动终端审批。主要功能在内、外网都可方便的处理和工作；</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先进性；采用先进的主流技术平台，方便后续维护；</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安全性：有完善的数据安全和恢复机制，验收时需移交最新数据字典。</w:t>
      </w:r>
    </w:p>
    <w:p>
      <w:pPr>
        <w:pStyle w:val="328"/>
        <w:numPr>
          <w:ilvl w:val="0"/>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医疗设备采购</w:t>
      </w:r>
    </w:p>
    <w:p>
      <w:pPr>
        <w:pStyle w:val="328"/>
        <w:spacing w:line="360" w:lineRule="auto"/>
        <w:ind w:left="709"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满足医疗设备从计划到报废的管理要求，系统实现本地化管理。</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设备年度采购计划申报</w:t>
      </w:r>
    </w:p>
    <w:p>
      <w:pPr>
        <w:pStyle w:val="328"/>
        <w:spacing w:line="360" w:lineRule="auto"/>
        <w:ind w:left="993"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医疗设备计划申报提交：临床科室负责人可通过平台提交年度采购计划,软件平台可提供标准模板。移动端和PC端同时实现，提交可实现提示必填项目，可暂存计划进行再次编辑填写：可随时査看审批进度。年度计划申报时间可管控。</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设备年度计划审批</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计划初审：可根据计划提交进行多审批路径设定，按相应的审批路径进行初审。可根据设备审批过程的特殊情况进行专业性的加人审批。</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医管会投票审核：审核过后会开启投票管理，实现了移动端现场签到和投票，大屏清晰展示设备相关信息，投票完成后，可多条件生成投票和计划相关不同报表，满足不同需求；</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审批信息移动端实时推送。</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设备年度计划执行</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计划分配：可实现分配釆购人员、到货收获人员、安装验收人员；</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计划执行：计划审批完成后，可以推送指定相关设备供应商直接设备的三证，参数等供院方选择评估，所有资料可随时调取和查询；</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可直接上传相关需招标参数在线审批，并保留审批结果和数据。</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验收审核可联动资产信息和年度计划单号。</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设备临时釆购</w:t>
      </w:r>
    </w:p>
    <w:p>
      <w:pPr>
        <w:pStyle w:val="328"/>
        <w:spacing w:line="360" w:lineRule="auto"/>
        <w:ind w:left="993"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符合医院日常医疗设备釆购的申请和审批，同时具备手机端和电脑端申请和审批的功能。</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报废处置管理</w:t>
      </w:r>
    </w:p>
    <w:p>
      <w:pPr>
        <w:pStyle w:val="328"/>
        <w:spacing w:line="360" w:lineRule="auto"/>
        <w:ind w:left="993"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使用科室负责人等人账号登录移动端，使用报废管理功能对设备扫码进行报废，保证报废资产的准确性，后由工程师等人进行审批，审批成功，设备会进入待报废状态，最后对设备进行资产处置，处置过后，设备状态改为已报废。</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文件管理功能</w:t>
      </w:r>
    </w:p>
    <w:p>
      <w:pPr>
        <w:pStyle w:val="328"/>
        <w:spacing w:line="360" w:lineRule="auto"/>
        <w:ind w:left="993"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实现对固定资产证件审核，证件提醒，文件批量管理，档案管理,支持文件上传。</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医疗设备信息化管理</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可实现医疗设备、医疗低值设备、特种设备、租赁设备的管理，清晰区分节点管理，实现查询统计，已经相关管理需求。</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系统提供医疗设备管理相关的制度模板。</w:t>
      </w:r>
    </w:p>
    <w:p>
      <w:pPr>
        <w:pStyle w:val="328"/>
        <w:numPr>
          <w:ilvl w:val="0"/>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设备科使用管理功能</w:t>
      </w:r>
    </w:p>
    <w:p>
      <w:pPr>
        <w:pStyle w:val="328"/>
        <w:spacing w:line="360" w:lineRule="auto"/>
        <w:ind w:left="709"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包含：医疗设备条码语音图像报修功能、医疗设备预防性维护（PM）及巡检功能医疗设备性能检测功能、医疗设备计量管理功能、医疗设备PDCA及应急预案管理。</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医疗设备条码语音图像报修功能</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报修：临床科室使用手机企业微信或钉钉，进入报修功能，扫描设备二维码，语音输入故障现象，也可将故障拍照上传，点击确认键后，完成报修功能。</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维修接单：责任工程师会在第一时间收到科室报修，工程师可在移动端上完成接单、转单、外修等功能，同时如果预估会产生较大额维修费用时，可发起维修费用申请；</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费用审批：相关管理人员如临床科主任、设备科科长、分管院长将第一时间接收到申请信息，并可在移动端上完成审批与否的功能。</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维修进度更新：工程师在整个维修过程中可实时更新该设备维修进展的最新状态，包括等待原因、预计完成时间等，并可与临床、经甲方认证的第三方服务商实时联动；</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重要设备出现故障，系统可根据预先设置，还将自动推送信息到相关人员，以甲方工作安排。</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电子签收</w:t>
      </w:r>
    </w:p>
    <w:p>
      <w:pPr>
        <w:pStyle w:val="328"/>
        <w:spacing w:line="360" w:lineRule="auto"/>
        <w:ind w:left="993"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设备送修设备科签收，完修后临床的取件签收，均可通过扫码完成。</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医疗设备预防性维护（PM）及巡检功能</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预防性维护功能：系统将依据预先设置维护周期，上次维护的时间，自定义提前提解时间，弹出提示框提示相关工程师进行设备维护。系统提供标准PM模版供参考使用，也可根据自己情况堆行自定义。</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巡检功能：PC端逃行巡检自定义设定周期，提醒时间，移动端完成单台或者科室两种方式的巡检。</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医疗设备性能检测功能</w:t>
      </w:r>
    </w:p>
    <w:p>
      <w:pPr>
        <w:pStyle w:val="328"/>
        <w:spacing w:line="360" w:lineRule="auto"/>
        <w:ind w:left="993"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标准的基本检测项模版，院方根据个性化需求增减检测项目；可选择提供有资质的第三方设备性能检测，数据智能归档，大量减轻设备科工作量，保障设备大量减轻设备科工作量，保障设备检测的合法性和安全性。</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医疗设备计量管理功能</w:t>
      </w:r>
    </w:p>
    <w:p>
      <w:pPr>
        <w:pStyle w:val="328"/>
        <w:spacing w:line="360" w:lineRule="auto"/>
        <w:ind w:left="993"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提供所有计加设备的信息化智能化管理理，年度计量计划一目了然，计量报告智能保存，随时调阅，满足计量部门检査需求。</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医疗设备PDCA及应急预案管理</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医疗设备PDCA:满足甲方对医疗设备进行PDCA时，智能调取该类设备的所有历史维修，PM检测，巡检记录等数据，完成有实际意义的可持续改进，有效的减少医疗设备的故障率。</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应急预案管理：提供智能和规范化应急预案模版，满足甲方各个科室部门应急预案需求。</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保修管理</w:t>
      </w:r>
    </w:p>
    <w:p>
      <w:pPr>
        <w:pStyle w:val="328"/>
        <w:spacing w:line="360" w:lineRule="auto"/>
        <w:ind w:left="993"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能实现在线维护所有设备的保修管理，并实时提醒在报维修过程，能随时查询保修相关信息，并可上传相关保修维保记录。</w:t>
      </w:r>
    </w:p>
    <w:p>
      <w:pPr>
        <w:pStyle w:val="328"/>
        <w:numPr>
          <w:ilvl w:val="0"/>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临床科室日常使用功能</w:t>
      </w:r>
    </w:p>
    <w:p>
      <w:pPr>
        <w:pStyle w:val="328"/>
        <w:spacing w:line="360" w:lineRule="auto"/>
        <w:ind w:left="709"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满足临床日常对医疗设备的日常管理需求。</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临床设备报修功能</w:t>
      </w:r>
    </w:p>
    <w:p>
      <w:pPr>
        <w:pStyle w:val="328"/>
        <w:spacing w:line="360" w:lineRule="auto"/>
        <w:ind w:left="993"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临床日常使用过程岀现故障时可对设备进行扫码报修功能或直接故障报修，报修可实现语音、文字或图片形式；报修后临床报修人员可实时査询维修进度，产生相应费用时可直接实现在线审批。对于每次维修结果临床可进行客观评价。</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临床自检清点</w:t>
      </w:r>
    </w:p>
    <w:p>
      <w:pPr>
        <w:pStyle w:val="328"/>
        <w:spacing w:line="360" w:lineRule="auto"/>
        <w:ind w:left="993"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自检清点管理：可登录移动端账号，使用自检清点功能，对设备进行自检清点，系统可自定义各种不同设备的自检模版并关联实际自检操作人员，系统每天通过微信提醒操作人员进行自检，所有相应自检报吿可汇总并打印。</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临床其他使用功能</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设备调动借用管理：使用科室负责人等人账号登录移动端，使用调拨借用功能对设备进行扫码，提交过后可在PC查阅调拨借用记录。</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设备共享：实现闲置设备的院内共享，増加设备的使用率。</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能对医疗设备的租赁和试用发起相应的申请。</w:t>
      </w:r>
    </w:p>
    <w:p>
      <w:pPr>
        <w:pStyle w:val="328"/>
        <w:numPr>
          <w:ilvl w:val="2"/>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能随时査阅相关医疗设备信息包括操作手册。</w:t>
      </w:r>
    </w:p>
    <w:p>
      <w:pPr>
        <w:pStyle w:val="328"/>
        <w:numPr>
          <w:ilvl w:val="0"/>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供应商管理</w:t>
      </w:r>
    </w:p>
    <w:p>
      <w:pPr>
        <w:pStyle w:val="328"/>
        <w:spacing w:line="360" w:lineRule="auto"/>
        <w:ind w:left="709"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对第三方服务商进行添加，激活操作，激活后，会将账号密码自动发送到第三方服务商，让供应商联动为甲方提供相应服务，帮助医院实现对中标产品的详细信息维护，有医院进行审批。对实时联动医院相关设备的报修信息，并可实现在线报价和派工，协助医院高效完成工作。</w:t>
      </w:r>
    </w:p>
    <w:p>
      <w:pPr>
        <w:pStyle w:val="328"/>
        <w:numPr>
          <w:ilvl w:val="0"/>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统计管理</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统计管理：实时手机端统计，维修统计管理，设备统计管理，人员管理统计，维修费用统计工作量统计，服务评价统计。</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大屏统计功能：可让甲方查看设备维修详情和工程师状态，可让甲方清楚查看全院设备数量，设备状态，维修状态。</w:t>
      </w:r>
    </w:p>
    <w:p>
      <w:pPr>
        <w:pStyle w:val="328"/>
        <w:numPr>
          <w:ilvl w:val="0"/>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日常维修工作展示</w:t>
      </w:r>
    </w:p>
    <w:p>
      <w:pPr>
        <w:pStyle w:val="328"/>
        <w:spacing w:line="360" w:lineRule="auto"/>
        <w:ind w:left="709"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维修工作情况可外接大屏，通过大屏日常维修任务分配，维修进展等功能。</w:t>
      </w:r>
    </w:p>
    <w:p>
      <w:pPr>
        <w:pStyle w:val="328"/>
        <w:numPr>
          <w:ilvl w:val="0"/>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后台维护设定功能</w:t>
      </w:r>
    </w:p>
    <w:p>
      <w:pPr>
        <w:pStyle w:val="328"/>
        <w:numPr>
          <w:ilvl w:val="1"/>
          <w:numId w:val="7"/>
        </w:numPr>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人员权限维护：可自行管理职责范围内的人员权限调整，如设置医工、采购员、档案管理员、委员会成员等。可对不同用户设置不同权限不同用户能够对同一窗体下菜单和功能按钮具有各自的使用权限。</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科室责任工程师设置功能。</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可自行设置计划申请、维修费用等审批路径。</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可自行维护用到的字段字典，如采购方式等。</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工程师排班功能，根据排班表自动推送报修信息给相应的工程师。</w:t>
      </w:r>
    </w:p>
    <w:p>
      <w:pPr>
        <w:pStyle w:val="328"/>
        <w:numPr>
          <w:ilvl w:val="0"/>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其他要求</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外网支持企业</w:t>
      </w:r>
      <w:r>
        <w:rPr>
          <w:rFonts w:hint="eastAsia" w:ascii="新宋体" w:hAnsi="新宋体" w:eastAsia="新宋体" w:cs="新宋体"/>
          <w:color w:val="auto"/>
          <w:sz w:val="22"/>
          <w:szCs w:val="22"/>
          <w:highlight w:val="none"/>
          <w:lang w:val="en-US" w:eastAsia="zh-CN"/>
        </w:rPr>
        <w:t>钉钉、</w:t>
      </w:r>
      <w:r>
        <w:rPr>
          <w:rFonts w:hint="eastAsia" w:ascii="新宋体" w:hAnsi="新宋体" w:eastAsia="新宋体" w:cs="新宋体"/>
          <w:color w:val="auto"/>
          <w:sz w:val="22"/>
          <w:szCs w:val="22"/>
          <w:highlight w:val="none"/>
        </w:rPr>
        <w:t>微信或公众号：移动端功能的使用支持企业微信或公众号。</w:t>
      </w:r>
    </w:p>
    <w:p>
      <w:pPr>
        <w:pStyle w:val="328"/>
        <w:numPr>
          <w:ilvl w:val="1"/>
          <w:numId w:val="7"/>
        </w:numPr>
        <w:spacing w:line="360" w:lineRule="auto"/>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审批联动OA系统：费用申报和审批与医院 OA 系统连接。</w:t>
      </w:r>
    </w:p>
    <w:p>
      <w:pPr>
        <w:pStyle w:val="328"/>
        <w:numPr>
          <w:ilvl w:val="1"/>
          <w:numId w:val="7"/>
        </w:numPr>
        <w:spacing w:line="360" w:lineRule="auto"/>
        <w:ind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★本项目系统如与卫健委健康云物资管理平台对接，产生费用由中标方承担。（提供</w:t>
      </w:r>
      <w:r>
        <w:rPr>
          <w:rFonts w:hint="eastAsia" w:ascii="新宋体" w:hAnsi="新宋体" w:eastAsia="新宋体" w:cs="新宋体"/>
          <w:b w:val="0"/>
          <w:color w:val="auto"/>
          <w:kern w:val="2"/>
          <w:sz w:val="22"/>
          <w:szCs w:val="22"/>
          <w:highlight w:val="none"/>
          <w:lang w:val="en-US" w:eastAsia="zh-CN" w:bidi="ar-SA"/>
        </w:rPr>
        <w:t>承诺函）</w:t>
      </w:r>
    </w:p>
    <w:p>
      <w:pPr>
        <w:pStyle w:val="328"/>
        <w:numPr>
          <w:ilvl w:val="1"/>
          <w:numId w:val="7"/>
        </w:numPr>
        <w:spacing w:line="360" w:lineRule="auto"/>
        <w:ind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★本项目系统需建设在卫健委健康云化服务器，实现各平台互联互通及符合卫健委国产化改造要求。（提供承诺函）</w:t>
      </w:r>
    </w:p>
    <w:p>
      <w:pPr>
        <w:pStyle w:val="328"/>
        <w:numPr>
          <w:ilvl w:val="1"/>
          <w:numId w:val="7"/>
        </w:numPr>
        <w:spacing w:line="360" w:lineRule="auto"/>
        <w:ind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bidi="ar-SA"/>
        </w:rPr>
        <w:t>★医疗设备精细化管理系统需适配国产操作系统、国产数据库等基础软件。</w:t>
      </w:r>
    </w:p>
    <w:p>
      <w:pPr>
        <w:pStyle w:val="328"/>
        <w:numPr>
          <w:ilvl w:val="1"/>
          <w:numId w:val="7"/>
        </w:numPr>
        <w:spacing w:line="360" w:lineRule="auto"/>
        <w:ind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bidi="ar-SA"/>
        </w:rPr>
        <w:t>★医疗设备精细化管理系统需满足电子病历5级评测以及智慧服务3级要求。</w:t>
      </w:r>
    </w:p>
    <w:p>
      <w:pPr>
        <w:pStyle w:val="328"/>
        <w:keepNext w:val="0"/>
        <w:keepLines w:val="0"/>
        <w:pageBreakBefore w:val="0"/>
        <w:widowControl w:val="0"/>
        <w:kinsoku/>
        <w:wordWrap/>
        <w:overflowPunct/>
        <w:topLinePunct w:val="0"/>
        <w:autoSpaceDE/>
        <w:autoSpaceDN/>
        <w:bidi w:val="0"/>
        <w:spacing w:line="460" w:lineRule="exact"/>
        <w:ind w:left="425" w:firstLine="0" w:firstLineChars="0"/>
        <w:rPr>
          <w:rFonts w:hint="eastAsia" w:ascii="新宋体" w:hAnsi="新宋体" w:eastAsia="新宋体" w:cs="新宋体"/>
          <w:color w:val="auto"/>
          <w:sz w:val="22"/>
          <w:szCs w:val="22"/>
          <w:highlight w:val="none"/>
        </w:rPr>
      </w:pPr>
    </w:p>
    <w:p>
      <w:pPr>
        <w:pStyle w:val="328"/>
        <w:keepNext w:val="0"/>
        <w:keepLines w:val="0"/>
        <w:pageBreakBefore w:val="0"/>
        <w:widowControl w:val="0"/>
        <w:numPr>
          <w:ilvl w:val="0"/>
          <w:numId w:val="0"/>
        </w:numPr>
        <w:kinsoku/>
        <w:wordWrap/>
        <w:overflowPunct/>
        <w:topLinePunct w:val="0"/>
        <w:autoSpaceDE/>
        <w:autoSpaceDN/>
        <w:bidi w:val="0"/>
        <w:spacing w:line="460" w:lineRule="exact"/>
        <w:ind w:leftChars="0"/>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四、</w:t>
      </w:r>
      <w:r>
        <w:rPr>
          <w:rFonts w:hint="eastAsia" w:ascii="新宋体" w:hAnsi="新宋体" w:eastAsia="新宋体" w:cs="新宋体"/>
          <w:b/>
          <w:bCs/>
          <w:color w:val="auto"/>
          <w:sz w:val="22"/>
          <w:szCs w:val="22"/>
          <w:highlight w:val="none"/>
        </w:rPr>
        <w:t>项目报价</w:t>
      </w:r>
    </w:p>
    <w:p>
      <w:pPr>
        <w:pStyle w:val="328"/>
        <w:keepNext w:val="0"/>
        <w:keepLines w:val="0"/>
        <w:pageBreakBefore w:val="0"/>
        <w:widowControl w:val="0"/>
        <w:numPr>
          <w:ilvl w:val="0"/>
          <w:numId w:val="8"/>
        </w:numPr>
        <w:kinsoku/>
        <w:wordWrap/>
        <w:overflowPunct/>
        <w:topLinePunct w:val="0"/>
        <w:autoSpaceDE/>
        <w:autoSpaceDN/>
        <w:bidi w:val="0"/>
        <w:spacing w:line="460" w:lineRule="exact"/>
        <w:ind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软件购置清单</w:t>
      </w:r>
    </w:p>
    <w:tbl>
      <w:tblPr>
        <w:tblStyle w:val="52"/>
        <w:tblW w:w="4699" w:type="pct"/>
        <w:tblInd w:w="421" w:type="dxa"/>
        <w:tblLayout w:type="fixed"/>
        <w:tblCellMar>
          <w:top w:w="0" w:type="dxa"/>
          <w:left w:w="108" w:type="dxa"/>
          <w:bottom w:w="0" w:type="dxa"/>
          <w:right w:w="108" w:type="dxa"/>
        </w:tblCellMar>
      </w:tblPr>
      <w:tblGrid>
        <w:gridCol w:w="707"/>
        <w:gridCol w:w="3501"/>
        <w:gridCol w:w="674"/>
        <w:gridCol w:w="843"/>
        <w:gridCol w:w="3537"/>
      </w:tblGrid>
      <w:tr>
        <w:tblPrEx>
          <w:tblCellMar>
            <w:top w:w="0" w:type="dxa"/>
            <w:left w:w="108" w:type="dxa"/>
            <w:bottom w:w="0" w:type="dxa"/>
            <w:right w:w="108" w:type="dxa"/>
          </w:tblCellMar>
        </w:tblPrEx>
        <w:trPr>
          <w:trHeight w:val="9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bidi="ar"/>
              </w:rPr>
              <w:t>序号</w:t>
            </w:r>
          </w:p>
        </w:tc>
        <w:tc>
          <w:tcPr>
            <w:tcW w:w="1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bidi="ar"/>
              </w:rPr>
              <w:t>产品名称</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bidi="ar"/>
              </w:rPr>
              <w:t>数量</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bidi="ar"/>
              </w:rPr>
              <w:t>单位</w:t>
            </w:r>
          </w:p>
        </w:tc>
        <w:tc>
          <w:tcPr>
            <w:tcW w:w="1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bidi="ar"/>
              </w:rPr>
              <w:t>备注</w:t>
            </w:r>
          </w:p>
        </w:tc>
      </w:tr>
      <w:tr>
        <w:tblPrEx>
          <w:tblCellMar>
            <w:top w:w="0" w:type="dxa"/>
            <w:left w:w="108" w:type="dxa"/>
            <w:bottom w:w="0" w:type="dxa"/>
            <w:right w:w="108" w:type="dxa"/>
          </w:tblCellMar>
        </w:tblPrEx>
        <w:trPr>
          <w:trHeight w:val="54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医疗设备精细化管理系统</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含一年质保</w:t>
            </w:r>
          </w:p>
        </w:tc>
      </w:tr>
    </w:tbl>
    <w:p>
      <w:pPr>
        <w:pStyle w:val="328"/>
        <w:keepNext w:val="0"/>
        <w:keepLines w:val="0"/>
        <w:pageBreakBefore w:val="0"/>
        <w:widowControl w:val="0"/>
        <w:numPr>
          <w:ilvl w:val="1"/>
          <w:numId w:val="8"/>
        </w:numPr>
        <w:kinsoku/>
        <w:wordWrap/>
        <w:overflowPunct/>
        <w:topLinePunct w:val="0"/>
        <w:autoSpaceDE/>
        <w:autoSpaceDN/>
        <w:bidi w:val="0"/>
        <w:spacing w:line="460" w:lineRule="exact"/>
        <w:ind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项目售后服务要求</w:t>
      </w:r>
    </w:p>
    <w:p>
      <w:pPr>
        <w:pStyle w:val="328"/>
        <w:keepNext w:val="0"/>
        <w:keepLines w:val="0"/>
        <w:pageBreakBefore w:val="0"/>
        <w:widowControl w:val="0"/>
        <w:numPr>
          <w:ilvl w:val="2"/>
          <w:numId w:val="8"/>
        </w:numPr>
        <w:kinsoku/>
        <w:wordWrap/>
        <w:overflowPunct/>
        <w:topLinePunct w:val="0"/>
        <w:autoSpaceDE/>
        <w:autoSpaceDN/>
        <w:bidi w:val="0"/>
        <w:spacing w:line="460" w:lineRule="exact"/>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质保期：本投标项目货物至少提供</w:t>
      </w:r>
      <w:r>
        <w:rPr>
          <w:rFonts w:hint="eastAsia" w:ascii="新宋体" w:hAnsi="新宋体" w:eastAsia="新宋体" w:cs="新宋体"/>
          <w:color w:val="auto"/>
          <w:sz w:val="22"/>
          <w:szCs w:val="22"/>
          <w:highlight w:val="none"/>
          <w:u w:val="single"/>
        </w:rPr>
        <w:t xml:space="preserve"> 壹 </w:t>
      </w:r>
      <w:r>
        <w:rPr>
          <w:rFonts w:hint="eastAsia" w:ascii="新宋体" w:hAnsi="新宋体" w:eastAsia="新宋体" w:cs="新宋体"/>
          <w:color w:val="auto"/>
          <w:sz w:val="22"/>
          <w:szCs w:val="22"/>
          <w:highlight w:val="none"/>
        </w:rPr>
        <w:t>年免费质保。</w:t>
      </w:r>
    </w:p>
    <w:p>
      <w:pPr>
        <w:pStyle w:val="328"/>
        <w:keepNext w:val="0"/>
        <w:keepLines w:val="0"/>
        <w:pageBreakBefore w:val="0"/>
        <w:widowControl w:val="0"/>
        <w:numPr>
          <w:ilvl w:val="2"/>
          <w:numId w:val="8"/>
        </w:numPr>
        <w:kinsoku/>
        <w:wordWrap/>
        <w:overflowPunct/>
        <w:topLinePunct w:val="0"/>
        <w:autoSpaceDE/>
        <w:autoSpaceDN/>
        <w:bidi w:val="0"/>
        <w:spacing w:line="460" w:lineRule="exact"/>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服务内容：软件的安装调试、软件功能维护、软件功能修改及用户咨询。提供电话、远程等支持，解答用户疑问，指导用户解决常见故障。出现重大故障时，1小时内响应，无法远程解决时，8小时内赶到现场。</w:t>
      </w:r>
    </w:p>
    <w:p>
      <w:pPr>
        <w:pStyle w:val="328"/>
        <w:keepNext w:val="0"/>
        <w:keepLines w:val="0"/>
        <w:pageBreakBefore w:val="0"/>
        <w:widowControl w:val="0"/>
        <w:numPr>
          <w:ilvl w:val="1"/>
          <w:numId w:val="8"/>
        </w:numPr>
        <w:kinsoku/>
        <w:wordWrap/>
        <w:overflowPunct/>
        <w:topLinePunct w:val="0"/>
        <w:autoSpaceDE/>
        <w:autoSpaceDN/>
        <w:bidi w:val="0"/>
        <w:spacing w:line="460" w:lineRule="exact"/>
        <w:ind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项目实施要求</w:t>
      </w:r>
    </w:p>
    <w:p>
      <w:pPr>
        <w:pStyle w:val="328"/>
        <w:keepNext w:val="0"/>
        <w:keepLines w:val="0"/>
        <w:pageBreakBefore w:val="0"/>
        <w:widowControl w:val="0"/>
        <w:numPr>
          <w:ilvl w:val="2"/>
          <w:numId w:val="8"/>
        </w:numPr>
        <w:kinsoku/>
        <w:wordWrap/>
        <w:overflowPunct/>
        <w:topLinePunct w:val="0"/>
        <w:autoSpaceDE/>
        <w:autoSpaceDN/>
        <w:bidi w:val="0"/>
        <w:spacing w:line="460" w:lineRule="exact"/>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开发施工完成时间：系统需在合同签订后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六</w:t>
      </w:r>
      <w:r>
        <w:rPr>
          <w:rFonts w:hint="eastAsia" w:ascii="新宋体" w:hAnsi="新宋体" w:eastAsia="新宋体" w:cs="新宋体"/>
          <w:color w:val="auto"/>
          <w:sz w:val="22"/>
          <w:szCs w:val="22"/>
          <w:highlight w:val="none"/>
          <w:u w:val="single"/>
        </w:rPr>
        <w:t xml:space="preserve">个月 </w:t>
      </w:r>
      <w:r>
        <w:rPr>
          <w:rFonts w:hint="eastAsia" w:ascii="新宋体" w:hAnsi="新宋体" w:eastAsia="新宋体" w:cs="新宋体"/>
          <w:color w:val="auto"/>
          <w:sz w:val="22"/>
          <w:szCs w:val="22"/>
          <w:highlight w:val="none"/>
        </w:rPr>
        <w:t xml:space="preserve"> 内完成调研、开发、测试、部署等全部工作，之后进行试用、验收后交付用户单位正常使用，且提供培训。</w:t>
      </w:r>
    </w:p>
    <w:p>
      <w:pPr>
        <w:pStyle w:val="328"/>
        <w:keepNext w:val="0"/>
        <w:keepLines w:val="0"/>
        <w:pageBreakBefore w:val="0"/>
        <w:widowControl w:val="0"/>
        <w:numPr>
          <w:ilvl w:val="2"/>
          <w:numId w:val="8"/>
        </w:numPr>
        <w:kinsoku/>
        <w:wordWrap/>
        <w:overflowPunct/>
        <w:topLinePunct w:val="0"/>
        <w:autoSpaceDE/>
        <w:autoSpaceDN/>
        <w:bidi w:val="0"/>
        <w:spacing w:line="460" w:lineRule="exact"/>
        <w:ind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中标供应商必须在投标文件中提供完整、详细、合理、真实的施工计划、人员安排和施工进度表。</w:t>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Pr>
        <w:keepNext w:val="0"/>
        <w:keepLines w:val="0"/>
        <w:pageBreakBefore w:val="0"/>
        <w:widowControl w:val="0"/>
        <w:numPr>
          <w:ilvl w:val="0"/>
          <w:numId w:val="9"/>
        </w:numPr>
        <w:kinsoku/>
        <w:wordWrap/>
        <w:overflowPunct/>
        <w:topLinePunct w:val="0"/>
        <w:bidi w:val="0"/>
        <w:spacing w:line="460" w:lineRule="exact"/>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rPr>
      </w:pPr>
    </w:p>
    <w:p>
      <w:pPr>
        <w:pStyle w:val="2"/>
        <w:bidi w:val="0"/>
        <w:rPr>
          <w:rFonts w:hint="eastAsia" w:ascii="宋体" w:hAnsi="宋体" w:eastAsia="宋体" w:cs="宋体"/>
        </w:rPr>
      </w:pPr>
      <w:bookmarkStart w:id="70" w:name="_Toc18194"/>
      <w:bookmarkStart w:id="71" w:name="_Toc30323"/>
      <w:r>
        <w:rPr>
          <w:rFonts w:hint="eastAsia" w:ascii="宋体" w:hAnsi="宋体" w:eastAsia="宋体" w:cs="宋体"/>
        </w:rPr>
        <w:t>第五部分   评标原则及方法</w:t>
      </w:r>
      <w:bookmarkEnd w:id="70"/>
      <w:bookmarkEnd w:id="71"/>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2" w:name="_Toc15713"/>
      <w:bookmarkStart w:id="73" w:name="_Toc4407"/>
      <w:r>
        <w:rPr>
          <w:rFonts w:hint="eastAsia" w:ascii="宋体" w:hAnsi="宋体" w:eastAsia="宋体" w:cs="宋体"/>
          <w:b/>
          <w:color w:val="auto"/>
          <w:sz w:val="22"/>
          <w:szCs w:val="22"/>
          <w:highlight w:val="none"/>
        </w:rPr>
        <w:t>一、总 则</w:t>
      </w:r>
      <w:bookmarkEnd w:id="72"/>
      <w:bookmarkEnd w:id="73"/>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4" w:name="_Toc24468"/>
      <w:bookmarkStart w:id="75" w:name="_Toc23152"/>
      <w:r>
        <w:rPr>
          <w:rFonts w:hint="eastAsia" w:ascii="宋体" w:hAnsi="宋体" w:eastAsia="宋体" w:cs="宋体"/>
          <w:b/>
          <w:color w:val="auto"/>
          <w:sz w:val="22"/>
          <w:szCs w:val="22"/>
          <w:highlight w:val="none"/>
        </w:rPr>
        <w:t>二、评标组织</w:t>
      </w:r>
      <w:bookmarkEnd w:id="74"/>
      <w:bookmarkEnd w:id="75"/>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6" w:name="_Toc15153"/>
      <w:bookmarkStart w:id="77" w:name="_Toc67"/>
      <w:r>
        <w:rPr>
          <w:rFonts w:hint="eastAsia" w:ascii="宋体" w:hAnsi="宋体" w:eastAsia="宋体" w:cs="宋体"/>
          <w:b/>
          <w:color w:val="auto"/>
          <w:sz w:val="22"/>
          <w:szCs w:val="22"/>
          <w:highlight w:val="none"/>
        </w:rPr>
        <w:t>三、评标程序</w:t>
      </w:r>
      <w:bookmarkEnd w:id="76"/>
      <w:bookmarkEnd w:id="7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8" w:name="_Toc11306"/>
      <w:bookmarkStart w:id="79" w:name="_Toc24825"/>
      <w:r>
        <w:rPr>
          <w:rFonts w:hint="eastAsia" w:ascii="宋体" w:hAnsi="宋体" w:eastAsia="宋体" w:cs="宋体"/>
          <w:b/>
          <w:color w:val="auto"/>
          <w:sz w:val="22"/>
          <w:szCs w:val="22"/>
          <w:highlight w:val="none"/>
        </w:rPr>
        <w:t>四、评标办法</w:t>
      </w:r>
      <w:bookmarkEnd w:id="78"/>
      <w:bookmarkEnd w:id="79"/>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总分设定为100分：技术标70分（权值70%），商务标（报价）30分（权值30%）。</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0" w:name="_Toc11450"/>
      <w:bookmarkStart w:id="81" w:name="_Toc1535"/>
      <w:r>
        <w:rPr>
          <w:rFonts w:hint="eastAsia" w:ascii="宋体" w:hAnsi="宋体" w:eastAsia="宋体" w:cs="宋体"/>
          <w:b/>
          <w:color w:val="auto"/>
          <w:sz w:val="22"/>
          <w:szCs w:val="22"/>
          <w:highlight w:val="none"/>
        </w:rPr>
        <w:t>评分细则</w:t>
      </w:r>
      <w:bookmarkEnd w:id="80"/>
      <w:bookmarkEnd w:id="81"/>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1、技术分的评定：技术标70分（权值70%）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p>
      <w:pPr>
        <w:rPr>
          <w:color w:val="auto"/>
        </w:rPr>
      </w:pPr>
      <w:r>
        <w:rPr>
          <w:rFonts w:hint="eastAsia"/>
          <w:color w:val="auto"/>
        </w:rPr>
        <w:t>评分细则</w:t>
      </w:r>
    </w:p>
    <w:tbl>
      <w:tblPr>
        <w:tblStyle w:val="53"/>
        <w:tblW w:w="10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
        <w:gridCol w:w="1260"/>
        <w:gridCol w:w="7508"/>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rFonts w:hint="eastAsia"/>
                <w:color w:val="auto"/>
                <w:sz w:val="22"/>
                <w:szCs w:val="22"/>
              </w:rPr>
              <w:t>序号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rFonts w:hint="eastAsia"/>
                <w:color w:val="auto"/>
                <w:sz w:val="22"/>
                <w:szCs w:val="22"/>
              </w:rPr>
              <w:t>评审项目</w:t>
            </w:r>
          </w:p>
        </w:tc>
        <w:tc>
          <w:tcPr>
            <w:tcW w:w="75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rFonts w:hint="eastAsia"/>
                <w:color w:val="auto"/>
                <w:sz w:val="22"/>
                <w:szCs w:val="22"/>
              </w:rPr>
              <w:t>评审内容</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rFonts w:hint="eastAsia"/>
                <w:color w:val="auto"/>
                <w:sz w:val="22"/>
                <w:szCs w:val="22"/>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color w:val="auto"/>
                <w:sz w:val="22"/>
                <w:szCs w:val="22"/>
                <w:lang w:eastAsia="zh-CN"/>
              </w:rPr>
            </w:pPr>
            <w:r>
              <w:rPr>
                <w:rFonts w:hint="eastAsia"/>
                <w:color w:val="auto"/>
                <w:sz w:val="22"/>
                <w:szCs w:val="22"/>
                <w:lang w:val="en-US" w:eastAsia="zh-CN"/>
              </w:rPr>
              <w:t>1</w:t>
            </w:r>
          </w:p>
        </w:tc>
        <w:tc>
          <w:tcPr>
            <w:tcW w:w="1260"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rFonts w:hint="eastAsia"/>
                <w:color w:val="auto"/>
                <w:sz w:val="22"/>
                <w:szCs w:val="22"/>
              </w:rPr>
              <w:t>投标人情况</w:t>
            </w:r>
          </w:p>
        </w:tc>
        <w:tc>
          <w:tcPr>
            <w:tcW w:w="75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color w:val="auto"/>
                <w:sz w:val="22"/>
                <w:szCs w:val="22"/>
              </w:rPr>
              <w:t>根据投标人的知名度、企业情况等进行比较打分。（0-2分）</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rFonts w:hint="eastAsia"/>
                <w:color w:val="auto"/>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p>
        </w:tc>
        <w:tc>
          <w:tcPr>
            <w:tcW w:w="1260"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p>
        </w:tc>
        <w:tc>
          <w:tcPr>
            <w:tcW w:w="75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color w:val="auto"/>
                <w:sz w:val="22"/>
                <w:szCs w:val="22"/>
              </w:rPr>
              <w:t>根据投标人提供的项目相关医疗设备精细化管理类软件著作权，得2分（注：需提供证书复印件</w:t>
            </w:r>
            <w:r>
              <w:rPr>
                <w:rFonts w:hint="eastAsia"/>
                <w:color w:val="auto"/>
                <w:sz w:val="22"/>
                <w:szCs w:val="22"/>
                <w:lang w:val="en-US" w:eastAsia="zh-CN"/>
              </w:rPr>
              <w:t>同时加盖单位公章</w:t>
            </w:r>
            <w:r>
              <w:rPr>
                <w:color w:val="auto"/>
                <w:sz w:val="22"/>
                <w:szCs w:val="22"/>
              </w:rPr>
              <w:t>，不提供不得分）</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rFonts w:hint="eastAsia"/>
                <w:color w:val="auto"/>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p>
        </w:tc>
        <w:tc>
          <w:tcPr>
            <w:tcW w:w="1260"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p>
        </w:tc>
        <w:tc>
          <w:tcPr>
            <w:tcW w:w="75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color w:val="auto"/>
                <w:sz w:val="22"/>
                <w:szCs w:val="22"/>
              </w:rPr>
              <w:t>1、投标人具备获得“质量服务诚信企业”3A及以上证书且提供有效证书复印件的得</w:t>
            </w:r>
            <w:r>
              <w:rPr>
                <w:rFonts w:hint="eastAsia"/>
                <w:color w:val="auto"/>
                <w:sz w:val="22"/>
                <w:szCs w:val="22"/>
              </w:rPr>
              <w:t>1</w:t>
            </w:r>
            <w:r>
              <w:rPr>
                <w:color w:val="auto"/>
                <w:sz w:val="22"/>
                <w:szCs w:val="22"/>
              </w:rPr>
              <w:t>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color w:val="auto"/>
                <w:sz w:val="22"/>
                <w:szCs w:val="22"/>
              </w:rPr>
              <w:t>2、投标人具备获得“重服务守信用企业”3A及以上证书且提供有效证书复印件的得</w:t>
            </w:r>
            <w:r>
              <w:rPr>
                <w:rFonts w:hint="eastAsia"/>
                <w:color w:val="auto"/>
                <w:sz w:val="22"/>
                <w:szCs w:val="22"/>
              </w:rPr>
              <w:t>1</w:t>
            </w:r>
            <w:r>
              <w:rPr>
                <w:color w:val="auto"/>
                <w:sz w:val="22"/>
                <w:szCs w:val="22"/>
              </w:rPr>
              <w:t>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color w:val="auto"/>
                <w:sz w:val="22"/>
                <w:szCs w:val="22"/>
              </w:rPr>
              <w:t>3、投标人具备获得“企业资信等级证书”3A及以上证书且提供有效证书复印件的得</w:t>
            </w:r>
            <w:r>
              <w:rPr>
                <w:rFonts w:hint="eastAsia"/>
                <w:color w:val="auto"/>
                <w:sz w:val="22"/>
                <w:szCs w:val="22"/>
              </w:rPr>
              <w:t>1</w:t>
            </w:r>
            <w:r>
              <w:rPr>
                <w:color w:val="auto"/>
                <w:sz w:val="22"/>
                <w:szCs w:val="22"/>
              </w:rPr>
              <w:t>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color w:val="auto"/>
                <w:sz w:val="22"/>
                <w:szCs w:val="22"/>
              </w:rPr>
              <w:t>4、投标人具备获得“高新技术企业证书”且提供有效证书复印件的得</w:t>
            </w:r>
            <w:r>
              <w:rPr>
                <w:rFonts w:hint="eastAsia"/>
                <w:color w:val="auto"/>
                <w:sz w:val="22"/>
                <w:szCs w:val="22"/>
              </w:rPr>
              <w:t>1</w:t>
            </w:r>
            <w:r>
              <w:rPr>
                <w:color w:val="auto"/>
                <w:sz w:val="22"/>
                <w:szCs w:val="22"/>
              </w:rPr>
              <w:t>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rFonts w:hint="eastAsia"/>
                <w:color w:val="auto"/>
                <w:sz w:val="22"/>
                <w:szCs w:val="22"/>
              </w:rPr>
              <w:t>5、</w:t>
            </w:r>
            <w:r>
              <w:rPr>
                <w:color w:val="auto"/>
                <w:sz w:val="22"/>
                <w:szCs w:val="22"/>
              </w:rPr>
              <w:t>投标人或制造企业近三年获得税务部门颁发的企业纳税信用A级评价证书的得1分，没有得0分。（网上公示的，须提供截图和查询网址）</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rFonts w:hint="eastAsia"/>
                <w:color w:val="auto"/>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color w:val="auto"/>
                <w:sz w:val="22"/>
                <w:szCs w:val="22"/>
                <w:lang w:eastAsia="zh-CN"/>
              </w:rPr>
            </w:pPr>
            <w:r>
              <w:rPr>
                <w:rFonts w:hint="eastAsia"/>
                <w:color w:val="auto"/>
                <w:sz w:val="22"/>
                <w:szCs w:val="22"/>
                <w:lang w:val="en-US" w:eastAsia="zh-CN"/>
              </w:rPr>
              <w:t>2</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rFonts w:hint="eastAsia"/>
                <w:color w:val="auto"/>
                <w:sz w:val="22"/>
                <w:szCs w:val="22"/>
              </w:rPr>
              <w:t>技术参数要求</w:t>
            </w:r>
          </w:p>
        </w:tc>
        <w:tc>
          <w:tcPr>
            <w:tcW w:w="75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color w:val="auto"/>
                <w:sz w:val="22"/>
                <w:szCs w:val="22"/>
              </w:rPr>
              <w:t>根据投标产品的基本功能、技术指标与需求的吻合程度和偏差情况进行打分，满分3</w:t>
            </w:r>
            <w:r>
              <w:rPr>
                <w:rFonts w:hint="eastAsia"/>
                <w:color w:val="auto"/>
                <w:sz w:val="22"/>
                <w:szCs w:val="22"/>
                <w:lang w:val="en-US" w:eastAsia="zh-CN"/>
              </w:rPr>
              <w:t>5</w:t>
            </w:r>
            <w:r>
              <w:rPr>
                <w:color w:val="auto"/>
                <w:sz w:val="22"/>
                <w:szCs w:val="22"/>
              </w:rPr>
              <w:t>分，扣完为止，评分细则如下：每一项一般功能项无法满足的扣</w:t>
            </w:r>
            <w:r>
              <w:rPr>
                <w:rFonts w:hint="eastAsia"/>
                <w:color w:val="auto"/>
                <w:sz w:val="22"/>
                <w:szCs w:val="22"/>
                <w:lang w:val="en-US" w:eastAsia="zh-CN"/>
              </w:rPr>
              <w:t>3</w:t>
            </w:r>
            <w:r>
              <w:rPr>
                <w:color w:val="auto"/>
                <w:sz w:val="22"/>
                <w:szCs w:val="22"/>
              </w:rPr>
              <w:t>分；每一项带★重点功能项无法满足的扣</w:t>
            </w:r>
            <w:r>
              <w:rPr>
                <w:rFonts w:hint="eastAsia"/>
                <w:color w:val="auto"/>
                <w:sz w:val="22"/>
                <w:szCs w:val="22"/>
                <w:lang w:val="en-US" w:eastAsia="zh-CN"/>
              </w:rPr>
              <w:t>5</w:t>
            </w:r>
            <w:r>
              <w:rPr>
                <w:color w:val="auto"/>
                <w:sz w:val="22"/>
                <w:szCs w:val="22"/>
              </w:rPr>
              <w:t>分。（注：投标人须在《响应偏离表》中完整体现，每一项重点功能项均需提供系统截图，否则视为该功能无法满足）</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color w:val="auto"/>
                <w:sz w:val="22"/>
                <w:szCs w:val="22"/>
                <w:lang w:val="en-US" w:eastAsia="zh-CN"/>
              </w:rPr>
            </w:pPr>
            <w:r>
              <w:rPr>
                <w:rFonts w:hint="eastAsia"/>
                <w:color w:val="auto"/>
                <w:sz w:val="22"/>
                <w:szCs w:val="22"/>
              </w:rPr>
              <w:t>3</w:t>
            </w:r>
            <w:r>
              <w:rPr>
                <w:rFonts w:hint="eastAsia"/>
                <w:color w:val="auto"/>
                <w:sz w:val="22"/>
                <w:szCs w:val="22"/>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color w:val="auto"/>
                <w:sz w:val="22"/>
                <w:szCs w:val="22"/>
                <w:lang w:eastAsia="zh-CN"/>
              </w:rPr>
            </w:pPr>
            <w:r>
              <w:rPr>
                <w:rFonts w:hint="eastAsia"/>
                <w:color w:val="auto"/>
                <w:sz w:val="22"/>
                <w:szCs w:val="22"/>
                <w:lang w:val="en-US" w:eastAsia="zh-CN"/>
              </w:rPr>
              <w:t>3</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color w:val="auto"/>
                <w:sz w:val="22"/>
                <w:szCs w:val="22"/>
              </w:rPr>
              <w:t>培训服务</w:t>
            </w:r>
          </w:p>
        </w:tc>
        <w:tc>
          <w:tcPr>
            <w:tcW w:w="75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color w:val="auto"/>
                <w:sz w:val="22"/>
                <w:szCs w:val="22"/>
              </w:rPr>
              <w:t>根据投标人提供的培训计划以及培训方案的合理性、完整性、可行性等情况进行比较打分。（0-</w:t>
            </w:r>
            <w:r>
              <w:rPr>
                <w:rFonts w:hint="eastAsia"/>
                <w:color w:val="auto"/>
                <w:sz w:val="22"/>
                <w:szCs w:val="22"/>
                <w:lang w:val="en-US" w:eastAsia="zh-CN"/>
              </w:rPr>
              <w:t>4</w:t>
            </w:r>
            <w:r>
              <w:rPr>
                <w:color w:val="auto"/>
                <w:sz w:val="22"/>
                <w:szCs w:val="22"/>
              </w:rPr>
              <w:t>分）</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color w:val="auto"/>
                <w:sz w:val="22"/>
                <w:szCs w:val="22"/>
                <w:lang w:eastAsia="zh-CN"/>
              </w:rPr>
            </w:pPr>
            <w:r>
              <w:rPr>
                <w:rFonts w:hint="eastAsia"/>
                <w:color w:val="auto"/>
                <w:sz w:val="22"/>
                <w:szCs w:val="22"/>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color w:val="auto"/>
                <w:sz w:val="22"/>
                <w:szCs w:val="22"/>
                <w:lang w:eastAsia="zh-CN"/>
              </w:rPr>
            </w:pPr>
            <w:r>
              <w:rPr>
                <w:rFonts w:hint="eastAsia"/>
                <w:color w:val="auto"/>
                <w:sz w:val="22"/>
                <w:szCs w:val="22"/>
                <w:lang w:val="en-US" w:eastAsia="zh-CN"/>
              </w:rPr>
              <w:t>4</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color w:val="auto"/>
                <w:sz w:val="22"/>
                <w:szCs w:val="22"/>
              </w:rPr>
              <w:t>总体投标方案</w:t>
            </w:r>
          </w:p>
        </w:tc>
        <w:tc>
          <w:tcPr>
            <w:tcW w:w="75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color w:val="auto"/>
                <w:sz w:val="22"/>
                <w:szCs w:val="22"/>
              </w:rPr>
              <w:t>根据投标人提供的总体设计方案（系统框架设计、系统安全性、系统性能等方面是否满足系统业务技术要求）的科学性、可行性、合理性等情况进行比较打分。（0-</w:t>
            </w:r>
            <w:r>
              <w:rPr>
                <w:rFonts w:hint="eastAsia"/>
                <w:color w:val="auto"/>
                <w:sz w:val="22"/>
                <w:szCs w:val="22"/>
                <w:lang w:val="en-US" w:eastAsia="zh-CN"/>
              </w:rPr>
              <w:t>5</w:t>
            </w:r>
            <w:r>
              <w:rPr>
                <w:color w:val="auto"/>
                <w:sz w:val="22"/>
                <w:szCs w:val="22"/>
              </w:rPr>
              <w:t>分）</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color w:val="auto"/>
                <w:sz w:val="22"/>
                <w:szCs w:val="22"/>
                <w:lang w:eastAsia="zh-CN"/>
              </w:rPr>
            </w:pPr>
            <w:r>
              <w:rPr>
                <w:rFonts w:hint="eastAsia"/>
                <w:color w:val="auto"/>
                <w:sz w:val="22"/>
                <w:szCs w:val="22"/>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color w:val="auto"/>
                <w:sz w:val="22"/>
                <w:szCs w:val="22"/>
                <w:lang w:eastAsia="zh-CN"/>
              </w:rPr>
            </w:pPr>
            <w:r>
              <w:rPr>
                <w:rFonts w:hint="eastAsia"/>
                <w:color w:val="auto"/>
                <w:sz w:val="22"/>
                <w:szCs w:val="22"/>
                <w:lang w:val="en-US" w:eastAsia="zh-CN"/>
              </w:rPr>
              <w:t>5</w:t>
            </w:r>
          </w:p>
        </w:tc>
        <w:tc>
          <w:tcPr>
            <w:tcW w:w="1260"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color w:val="auto"/>
                <w:sz w:val="22"/>
                <w:szCs w:val="22"/>
              </w:rPr>
              <w:t>实施方案</w:t>
            </w:r>
          </w:p>
        </w:tc>
        <w:tc>
          <w:tcPr>
            <w:tcW w:w="75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color w:val="auto"/>
                <w:sz w:val="22"/>
                <w:szCs w:val="22"/>
              </w:rPr>
              <w:t>有完整的项目实施计划、详细的工作内容安排及过程控制文件等情况进行比较打分。</w:t>
            </w:r>
            <w:r>
              <w:rPr>
                <w:rFonts w:hint="eastAsia"/>
                <w:color w:val="auto"/>
                <w:sz w:val="22"/>
                <w:szCs w:val="22"/>
              </w:rPr>
              <w:t>（0-5分）</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rFonts w:hint="eastAsia"/>
                <w:color w:val="auto"/>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p>
        </w:tc>
        <w:tc>
          <w:tcPr>
            <w:tcW w:w="1260"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p>
        </w:tc>
        <w:tc>
          <w:tcPr>
            <w:tcW w:w="75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color w:val="auto"/>
                <w:sz w:val="22"/>
                <w:szCs w:val="22"/>
              </w:rPr>
              <w:t>拟派实施团队，项目组成员具有项目管理专业人士资格认证书（PMP）得1分，最高得</w:t>
            </w:r>
            <w:r>
              <w:rPr>
                <w:rFonts w:hint="eastAsia"/>
                <w:color w:val="auto"/>
                <w:sz w:val="22"/>
                <w:szCs w:val="22"/>
              </w:rPr>
              <w:t>3</w:t>
            </w:r>
            <w:r>
              <w:rPr>
                <w:color w:val="auto"/>
                <w:sz w:val="22"/>
                <w:szCs w:val="22"/>
              </w:rPr>
              <w:t>分。以上证书复印件加盖单位公章，未盖章不得分。</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rFonts w:hint="eastAsia"/>
                <w:color w:val="auto"/>
                <w:sz w:val="22"/>
                <w:szCs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color w:val="auto"/>
                <w:sz w:val="22"/>
                <w:szCs w:val="22"/>
                <w:lang w:eastAsia="zh-CN"/>
              </w:rPr>
            </w:pPr>
            <w:r>
              <w:rPr>
                <w:rFonts w:hint="eastAsia"/>
                <w:color w:val="auto"/>
                <w:sz w:val="22"/>
                <w:szCs w:val="22"/>
                <w:lang w:val="en-US" w:eastAsia="zh-CN"/>
              </w:rPr>
              <w:t>6</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color w:val="auto"/>
                <w:sz w:val="22"/>
                <w:szCs w:val="22"/>
              </w:rPr>
              <w:t>售后服务</w:t>
            </w:r>
          </w:p>
        </w:tc>
        <w:tc>
          <w:tcPr>
            <w:tcW w:w="75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color w:val="auto"/>
                <w:sz w:val="22"/>
                <w:szCs w:val="22"/>
              </w:rPr>
              <w:t>针对本项目提供的售后服务质量保证措施、技术支持，其承诺、资料及证明材料完整、合理等情况进行比较打分。</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rFonts w:hint="eastAsia"/>
                <w:color w:val="auto"/>
                <w:sz w:val="22"/>
                <w:szCs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color w:val="auto"/>
                <w:sz w:val="22"/>
                <w:szCs w:val="22"/>
                <w:lang w:eastAsia="zh-CN"/>
              </w:rPr>
            </w:pPr>
            <w:r>
              <w:rPr>
                <w:rFonts w:hint="eastAsia"/>
                <w:color w:val="auto"/>
                <w:sz w:val="22"/>
                <w:szCs w:val="22"/>
                <w:lang w:val="en-US" w:eastAsia="zh-CN"/>
              </w:rPr>
              <w:t>7</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color w:val="auto"/>
                <w:sz w:val="22"/>
                <w:szCs w:val="22"/>
              </w:rPr>
              <w:t>本地化服务</w:t>
            </w:r>
          </w:p>
        </w:tc>
        <w:tc>
          <w:tcPr>
            <w:tcW w:w="75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rFonts w:hint="eastAsia"/>
                <w:color w:val="auto"/>
                <w:sz w:val="22"/>
                <w:szCs w:val="22"/>
              </w:rPr>
              <w:t>是</w:t>
            </w:r>
            <w:r>
              <w:rPr>
                <w:color w:val="auto"/>
                <w:sz w:val="22"/>
                <w:szCs w:val="22"/>
              </w:rPr>
              <w:t>否有本地分支机构或者技术服务中心，进行比较打分，提供营业执照或租房合同以及租房发票等证明文件。</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rFonts w:hint="eastAsia"/>
                <w:color w:val="auto"/>
                <w:sz w:val="22"/>
                <w:szCs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color w:val="auto"/>
                <w:sz w:val="22"/>
                <w:szCs w:val="22"/>
                <w:lang w:eastAsia="zh-CN"/>
              </w:rPr>
            </w:pPr>
            <w:r>
              <w:rPr>
                <w:rFonts w:hint="eastAsia"/>
                <w:color w:val="auto"/>
                <w:sz w:val="22"/>
                <w:szCs w:val="22"/>
                <w:lang w:val="en-US" w:eastAsia="zh-CN"/>
              </w:rPr>
              <w:t>8</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22"/>
                <w:szCs w:val="22"/>
              </w:rPr>
            </w:pPr>
            <w:r>
              <w:rPr>
                <w:color w:val="auto"/>
                <w:sz w:val="22"/>
                <w:szCs w:val="22"/>
              </w:rPr>
              <w:t>同类项目业绩</w:t>
            </w:r>
          </w:p>
        </w:tc>
        <w:tc>
          <w:tcPr>
            <w:tcW w:w="75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auto"/>
                <w:sz w:val="22"/>
                <w:szCs w:val="22"/>
              </w:rPr>
            </w:pPr>
            <w:r>
              <w:rPr>
                <w:color w:val="auto"/>
                <w:sz w:val="22"/>
                <w:szCs w:val="22"/>
              </w:rPr>
              <w:t>投标人2018年1月1日签署至今同类项目业绩每提供一个得</w:t>
            </w:r>
            <w:r>
              <w:rPr>
                <w:rFonts w:hint="eastAsia"/>
                <w:color w:val="auto"/>
                <w:sz w:val="22"/>
                <w:szCs w:val="22"/>
                <w:lang w:val="en-US" w:eastAsia="zh-CN"/>
              </w:rPr>
              <w:t>1</w:t>
            </w:r>
            <w:r>
              <w:rPr>
                <w:color w:val="auto"/>
                <w:sz w:val="22"/>
                <w:szCs w:val="22"/>
              </w:rPr>
              <w:t>分，本项最高</w:t>
            </w:r>
            <w:r>
              <w:rPr>
                <w:rFonts w:hint="eastAsia"/>
                <w:color w:val="auto"/>
                <w:sz w:val="22"/>
                <w:szCs w:val="22"/>
                <w:lang w:val="en-US" w:eastAsia="zh-CN"/>
              </w:rPr>
              <w:t>3</w:t>
            </w:r>
            <w:r>
              <w:rPr>
                <w:color w:val="auto"/>
                <w:sz w:val="22"/>
                <w:szCs w:val="22"/>
              </w:rPr>
              <w:t>分（提供合同复印件，加盖</w:t>
            </w:r>
            <w:r>
              <w:rPr>
                <w:rFonts w:hint="eastAsia"/>
                <w:color w:val="auto"/>
                <w:sz w:val="22"/>
                <w:szCs w:val="22"/>
                <w:lang w:val="en-US" w:eastAsia="zh-CN"/>
              </w:rPr>
              <w:t>投标人</w:t>
            </w:r>
            <w:r>
              <w:rPr>
                <w:color w:val="auto"/>
                <w:sz w:val="22"/>
                <w:szCs w:val="22"/>
              </w:rPr>
              <w:t>公章，不提供不得分）。</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color w:val="auto"/>
                <w:sz w:val="22"/>
                <w:szCs w:val="22"/>
                <w:lang w:eastAsia="zh-CN"/>
              </w:rPr>
            </w:pPr>
            <w:r>
              <w:rPr>
                <w:rFonts w:hint="eastAsia"/>
                <w:color w:val="auto"/>
                <w:sz w:val="22"/>
                <w:szCs w:val="22"/>
                <w:lang w:val="en-US" w:eastAsia="zh-CN"/>
              </w:rPr>
              <w:t>3</w:t>
            </w:r>
          </w:p>
        </w:tc>
      </w:tr>
    </w:tbl>
    <w:p>
      <w:pPr>
        <w:pStyle w:val="24"/>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2、报价评分（30分）（权值30%）：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1）有效投标人的投标报价等于评标基准价时其报价分为满分30分；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新宋体" w:hAnsi="新宋体" w:eastAsia="新宋体"/>
          <w:b w:val="0"/>
          <w:bCs w:val="0"/>
          <w:color w:val="auto"/>
          <w:sz w:val="22"/>
          <w:szCs w:val="22"/>
          <w:highlight w:val="none"/>
          <w:lang w:val="zh-CN"/>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p>
    <w:p>
      <w:pPr>
        <w:spacing w:line="460" w:lineRule="exact"/>
        <w:ind w:firstLine="539" w:firstLineChars="245"/>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监狱企业视同小微企业，其产品参加本项目投标的，享受小微企业同等的价格扣除。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val="0"/>
          <w:bCs w:val="0"/>
          <w:color w:val="auto"/>
          <w:kern w:val="2"/>
          <w:sz w:val="22"/>
          <w:szCs w:val="22"/>
          <w:highlight w:val="none"/>
          <w:u w:val="none"/>
          <w:lang w:val="en-US" w:eastAsia="zh-CN" w:bidi="ar-SA"/>
        </w:rPr>
        <w:t xml:space="preserve">   </w:t>
      </w:r>
      <w:r>
        <w:rPr>
          <w:rFonts w:hint="eastAsia" w:ascii="宋体" w:hAnsi="宋体" w:cs="宋体"/>
          <w:b w:val="0"/>
          <w:bCs w:val="0"/>
          <w:color w:val="auto"/>
          <w:kern w:val="2"/>
          <w:sz w:val="22"/>
          <w:szCs w:val="22"/>
          <w:highlight w:val="none"/>
          <w:u w:val="none"/>
          <w:lang w:val="en-US" w:eastAsia="zh-CN" w:bidi="ar-SA"/>
        </w:rPr>
        <w:t>4</w:t>
      </w:r>
      <w:r>
        <w:rPr>
          <w:rFonts w:hint="eastAsia" w:ascii="宋体" w:hAnsi="宋体" w:eastAsia="宋体" w:cs="宋体"/>
          <w:b w:val="0"/>
          <w:bCs w:val="0"/>
          <w:color w:val="auto"/>
          <w:kern w:val="2"/>
          <w:sz w:val="22"/>
          <w:szCs w:val="22"/>
          <w:highlight w:val="none"/>
          <w:u w:val="none"/>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82" w:name="_Toc2482"/>
      <w:bookmarkStart w:id="83" w:name="_Toc4727"/>
      <w:r>
        <w:rPr>
          <w:rFonts w:hint="eastAsia" w:ascii="宋体" w:hAnsi="宋体" w:eastAsia="宋体" w:cs="宋体"/>
          <w:b/>
          <w:bCs/>
          <w:color w:val="auto"/>
          <w:sz w:val="22"/>
          <w:szCs w:val="22"/>
          <w:highlight w:val="none"/>
        </w:rPr>
        <w:t>六、定标办法</w:t>
      </w:r>
      <w:bookmarkEnd w:id="82"/>
      <w:bookmarkEnd w:id="83"/>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84" w:name="_Toc3629"/>
      <w:bookmarkStart w:id="85" w:name="_Toc17587"/>
      <w:r>
        <w:rPr>
          <w:rFonts w:hint="eastAsia" w:ascii="宋体" w:hAnsi="宋体" w:eastAsia="宋体" w:cs="宋体"/>
          <w:b/>
          <w:color w:val="auto"/>
          <w:sz w:val="22"/>
          <w:szCs w:val="22"/>
          <w:highlight w:val="none"/>
        </w:rPr>
        <w:t>七、投标人义务</w:t>
      </w:r>
      <w:bookmarkEnd w:id="84"/>
      <w:bookmarkEnd w:id="85"/>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pPr>
        <w:spacing w:line="460" w:lineRule="exact"/>
        <w:jc w:val="center"/>
        <w:rPr>
          <w:rFonts w:hint="eastAsia" w:ascii="宋体" w:hAnsi="宋体" w:eastAsia="宋体" w:cs="宋体"/>
          <w:b/>
          <w:color w:val="auto"/>
          <w:sz w:val="32"/>
          <w:szCs w:val="32"/>
          <w:highlight w:val="none"/>
        </w:rPr>
      </w:pPr>
    </w:p>
    <w:p>
      <w:pPr>
        <w:pStyle w:val="24"/>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color w:val="auto"/>
        <w:sz w:val="18"/>
        <w:szCs w:val="18"/>
        <w:highlight w:val="none"/>
        <w:u w:val="none"/>
        <w:lang w:eastAsia="zh-CN"/>
      </w:rPr>
      <w:t>温州市中医院</w:t>
    </w:r>
    <w:r>
      <w:rPr>
        <w:rFonts w:hint="eastAsia"/>
      </w:rPr>
      <w:t>招标文件                                             项目编号：</w:t>
    </w:r>
    <w:r>
      <w:rPr>
        <w:rFonts w:hint="eastAsia"/>
        <w:lang w:eastAsia="zh-CN"/>
      </w:rPr>
      <w:t xml:space="preserve">WZLCZB（W）-2023-04176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lang w:val="en-US" w:eastAsia="zh-CN"/>
      </w:rPr>
      <w:t>温州市中医院</w:t>
    </w:r>
    <w:r>
      <w:rPr>
        <w:rFonts w:hint="eastAsia"/>
      </w:rPr>
      <w:t>招标文件                                             项目编号：</w:t>
    </w:r>
    <w:r>
      <w:rPr>
        <w:rFonts w:hint="eastAsia"/>
        <w:lang w:eastAsia="zh-CN"/>
      </w:rPr>
      <w:t xml:space="preserve">WZLCZB（W）-2023-04176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D31F181"/>
    <w:multiLevelType w:val="singleLevel"/>
    <w:tmpl w:val="CD31F181"/>
    <w:lvl w:ilvl="0" w:tentative="0">
      <w:start w:val="1"/>
      <w:numFmt w:val="decimal"/>
      <w:suff w:val="nothing"/>
      <w:lvlText w:val="%1、"/>
      <w:lvlJc w:val="left"/>
    </w:lvl>
  </w:abstractNum>
  <w:abstractNum w:abstractNumId="5">
    <w:nsid w:val="094B6227"/>
    <w:multiLevelType w:val="singleLevel"/>
    <w:tmpl w:val="094B6227"/>
    <w:lvl w:ilvl="0" w:tentative="0">
      <w:start w:val="3"/>
      <w:numFmt w:val="chineseCounting"/>
      <w:suff w:val="nothing"/>
      <w:lvlText w:val="（%1）"/>
      <w:lvlJc w:val="left"/>
      <w:rPr>
        <w:rFonts w:hint="eastAsia"/>
      </w:rPr>
    </w:lvl>
  </w:abstractNum>
  <w:abstractNum w:abstractNumId="6">
    <w:nsid w:val="0BA727CD"/>
    <w:multiLevelType w:val="multilevel"/>
    <w:tmpl w:val="0BA727CD"/>
    <w:lvl w:ilvl="0" w:tentative="0">
      <w:start w:val="1"/>
      <w:numFmt w:val="decimal"/>
      <w:lvlText w:val="%1."/>
      <w:lvlJc w:val="left"/>
      <w:pPr>
        <w:ind w:left="425" w:hanging="425"/>
      </w:pPr>
      <w:rPr>
        <w:rFonts w:hint="eastAsia"/>
      </w:rPr>
    </w:lvl>
    <w:lvl w:ilvl="1" w:tentative="0">
      <w:start w:val="1"/>
      <w:numFmt w:val="decimal"/>
      <w:lvlText w:val="%1.%2."/>
      <w:lvlJc w:val="left"/>
      <w:pPr>
        <w:ind w:left="993" w:hanging="567"/>
      </w:pPr>
      <w:rPr>
        <w:rFonts w:hint="eastAsia"/>
      </w:rPr>
    </w:lvl>
    <w:lvl w:ilvl="2" w:tentative="0">
      <w:start w:val="1"/>
      <w:numFmt w:val="decimal"/>
      <w:isLgl/>
      <w:lvlText w:val="%1.%2.%3."/>
      <w:lvlJc w:val="left"/>
      <w:pPr>
        <w:ind w:left="1560"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52D7A3B6"/>
    <w:multiLevelType w:val="singleLevel"/>
    <w:tmpl w:val="52D7A3B6"/>
    <w:lvl w:ilvl="0" w:tentative="0">
      <w:start w:val="1"/>
      <w:numFmt w:val="decimal"/>
      <w:suff w:val="nothing"/>
      <w:lvlText w:val="（%1）"/>
      <w:lvlJc w:val="left"/>
    </w:lvl>
  </w:abstractNum>
  <w:abstractNum w:abstractNumId="8">
    <w:nsid w:val="59DE7C9A"/>
    <w:multiLevelType w:val="singleLevel"/>
    <w:tmpl w:val="59DE7C9A"/>
    <w:lvl w:ilvl="0" w:tentative="0">
      <w:start w:val="3"/>
      <w:numFmt w:val="chineseCounting"/>
      <w:suff w:val="nothing"/>
      <w:lvlText w:val="%1、"/>
      <w:lvlJc w:val="left"/>
      <w:rPr>
        <w:rFonts w:hint="eastAsia"/>
      </w:rPr>
    </w:lvl>
  </w:abstractNum>
  <w:abstractNum w:abstractNumId="9">
    <w:nsid w:val="5F9F217C"/>
    <w:multiLevelType w:val="multilevel"/>
    <w:tmpl w:val="5F9F217C"/>
    <w:lvl w:ilvl="0" w:tentative="0">
      <w:start w:val="1"/>
      <w:numFmt w:val="decimal"/>
      <w:lvlText w:val="%1"/>
      <w:lvlJc w:val="left"/>
      <w:pPr>
        <w:ind w:left="709" w:hanging="425"/>
      </w:pPr>
    </w:lvl>
    <w:lvl w:ilvl="1" w:tentative="0">
      <w:start w:val="1"/>
      <w:numFmt w:val="decimal"/>
      <w:lvlText w:val="%1.%2"/>
      <w:lvlJc w:val="left"/>
      <w:pPr>
        <w:ind w:left="993" w:hanging="567"/>
      </w:pPr>
    </w:lvl>
    <w:lvl w:ilvl="2" w:tentative="0">
      <w:start w:val="1"/>
      <w:numFmt w:val="decimal"/>
      <w:lvlText w:val="%1.%2.%3"/>
      <w:lvlJc w:val="left"/>
      <w:pPr>
        <w:ind w:left="1134" w:hanging="567"/>
      </w:pPr>
    </w:lvl>
    <w:lvl w:ilvl="3" w:tentative="0">
      <w:start w:val="1"/>
      <w:numFmt w:val="decimal"/>
      <w:lvlText w:val="%1.%2.%3.%4"/>
      <w:lvlJc w:val="left"/>
      <w:pPr>
        <w:ind w:left="2268" w:hanging="708"/>
      </w:pPr>
    </w:lvl>
    <w:lvl w:ilvl="4" w:tentative="0">
      <w:start w:val="1"/>
      <w:numFmt w:val="decimal"/>
      <w:lvlText w:val="%1.%2.%3.%4.%5"/>
      <w:lvlJc w:val="left"/>
      <w:pPr>
        <w:ind w:left="2835" w:hanging="850"/>
      </w:pPr>
    </w:lvl>
    <w:lvl w:ilvl="5" w:tentative="0">
      <w:start w:val="1"/>
      <w:numFmt w:val="decimal"/>
      <w:lvlText w:val="%1.%2.%3.%4.%5.%6"/>
      <w:lvlJc w:val="left"/>
      <w:pPr>
        <w:ind w:left="3544" w:hanging="1134"/>
      </w:pPr>
    </w:lvl>
    <w:lvl w:ilvl="6" w:tentative="0">
      <w:start w:val="1"/>
      <w:numFmt w:val="decimal"/>
      <w:lvlText w:val="%1.%2.%3.%4.%5.%6.%7"/>
      <w:lvlJc w:val="left"/>
      <w:pPr>
        <w:ind w:left="4111" w:hanging="1276"/>
      </w:pPr>
    </w:lvl>
    <w:lvl w:ilvl="7" w:tentative="0">
      <w:start w:val="1"/>
      <w:numFmt w:val="decimal"/>
      <w:lvlText w:val="%1.%2.%3.%4.%5.%6.%7.%8"/>
      <w:lvlJc w:val="left"/>
      <w:pPr>
        <w:ind w:left="4678" w:hanging="1418"/>
      </w:pPr>
    </w:lvl>
    <w:lvl w:ilvl="8" w:tentative="0">
      <w:start w:val="1"/>
      <w:numFmt w:val="decimal"/>
      <w:lvlText w:val="%1.%2.%3.%4.%5.%6.%7.%8.%9"/>
      <w:lvlJc w:val="left"/>
      <w:pPr>
        <w:ind w:left="5386" w:hanging="1700"/>
      </w:pPr>
    </w:lvl>
  </w:abstractNum>
  <w:num w:numId="1">
    <w:abstractNumId w:val="0"/>
  </w:num>
  <w:num w:numId="2">
    <w:abstractNumId w:val="7"/>
  </w:num>
  <w:num w:numId="3">
    <w:abstractNumId w:val="5"/>
  </w:num>
  <w:num w:numId="4">
    <w:abstractNumId w:val="4"/>
  </w:num>
  <w:num w:numId="5">
    <w:abstractNumId w:val="3"/>
  </w:num>
  <w:num w:numId="6">
    <w:abstractNumId w:val="1"/>
  </w:num>
  <w:num w:numId="7">
    <w:abstractNumId w:val="9"/>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jEzODExYjg0YzBhMzhhYjgzNmIyODJmYjYzMWE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A731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05B8D"/>
    <w:rsid w:val="020D29B1"/>
    <w:rsid w:val="021F7DAD"/>
    <w:rsid w:val="0224444B"/>
    <w:rsid w:val="022D7429"/>
    <w:rsid w:val="02451328"/>
    <w:rsid w:val="027D25C0"/>
    <w:rsid w:val="02841565"/>
    <w:rsid w:val="02B3222E"/>
    <w:rsid w:val="02F63BA4"/>
    <w:rsid w:val="030139DC"/>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97FAB"/>
    <w:rsid w:val="057D25F0"/>
    <w:rsid w:val="05936339"/>
    <w:rsid w:val="05D76F02"/>
    <w:rsid w:val="0606765D"/>
    <w:rsid w:val="062F7E7F"/>
    <w:rsid w:val="0650016B"/>
    <w:rsid w:val="06695ADA"/>
    <w:rsid w:val="067F52AB"/>
    <w:rsid w:val="068E5B46"/>
    <w:rsid w:val="06E17425"/>
    <w:rsid w:val="06E81491"/>
    <w:rsid w:val="07081502"/>
    <w:rsid w:val="072046E3"/>
    <w:rsid w:val="07373C8C"/>
    <w:rsid w:val="074234A9"/>
    <w:rsid w:val="0747552D"/>
    <w:rsid w:val="07592C30"/>
    <w:rsid w:val="07791E20"/>
    <w:rsid w:val="078177D5"/>
    <w:rsid w:val="07924879"/>
    <w:rsid w:val="079C0E64"/>
    <w:rsid w:val="07D37D83"/>
    <w:rsid w:val="07D60F62"/>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D26DBF"/>
    <w:rsid w:val="09F65854"/>
    <w:rsid w:val="0A07422F"/>
    <w:rsid w:val="0A1B49C1"/>
    <w:rsid w:val="0A3D0590"/>
    <w:rsid w:val="0A6511B9"/>
    <w:rsid w:val="0A7416D8"/>
    <w:rsid w:val="0A8945EB"/>
    <w:rsid w:val="0B6626A8"/>
    <w:rsid w:val="0BAC1F4C"/>
    <w:rsid w:val="0BBE4F63"/>
    <w:rsid w:val="0BDA530A"/>
    <w:rsid w:val="0C0247C0"/>
    <w:rsid w:val="0C353302"/>
    <w:rsid w:val="0C496297"/>
    <w:rsid w:val="0C660E5E"/>
    <w:rsid w:val="0C9A109E"/>
    <w:rsid w:val="0CA74D09"/>
    <w:rsid w:val="0CA9483B"/>
    <w:rsid w:val="0CC51217"/>
    <w:rsid w:val="0CCB1484"/>
    <w:rsid w:val="0D0A01F7"/>
    <w:rsid w:val="0D1A3FA7"/>
    <w:rsid w:val="0D1F1C9D"/>
    <w:rsid w:val="0D735BCC"/>
    <w:rsid w:val="0D7C2119"/>
    <w:rsid w:val="0D920730"/>
    <w:rsid w:val="0DE33D9A"/>
    <w:rsid w:val="0E022677"/>
    <w:rsid w:val="0E064CB1"/>
    <w:rsid w:val="0E4706D1"/>
    <w:rsid w:val="0E4B6575"/>
    <w:rsid w:val="0E5C2643"/>
    <w:rsid w:val="0E5E2D7A"/>
    <w:rsid w:val="0E6537C4"/>
    <w:rsid w:val="0E701E1B"/>
    <w:rsid w:val="0E750CB0"/>
    <w:rsid w:val="0E8E6882"/>
    <w:rsid w:val="0EE50D43"/>
    <w:rsid w:val="0F0377AE"/>
    <w:rsid w:val="0F0E6EE3"/>
    <w:rsid w:val="0F653195"/>
    <w:rsid w:val="0F706416"/>
    <w:rsid w:val="0FCD5779"/>
    <w:rsid w:val="0FD03A0D"/>
    <w:rsid w:val="10381F40"/>
    <w:rsid w:val="104869BA"/>
    <w:rsid w:val="10575CC4"/>
    <w:rsid w:val="10B23B6A"/>
    <w:rsid w:val="10F47168"/>
    <w:rsid w:val="110264F1"/>
    <w:rsid w:val="1104198D"/>
    <w:rsid w:val="1105049E"/>
    <w:rsid w:val="115434FF"/>
    <w:rsid w:val="11555F29"/>
    <w:rsid w:val="115D3896"/>
    <w:rsid w:val="11AE1E6E"/>
    <w:rsid w:val="11B62E53"/>
    <w:rsid w:val="12102A91"/>
    <w:rsid w:val="12103D4D"/>
    <w:rsid w:val="12345EA5"/>
    <w:rsid w:val="124027F2"/>
    <w:rsid w:val="12563E63"/>
    <w:rsid w:val="125A673E"/>
    <w:rsid w:val="1272218F"/>
    <w:rsid w:val="12775E6D"/>
    <w:rsid w:val="12A01322"/>
    <w:rsid w:val="12AB0828"/>
    <w:rsid w:val="12E05DF5"/>
    <w:rsid w:val="133616DD"/>
    <w:rsid w:val="13582BF6"/>
    <w:rsid w:val="13583E3E"/>
    <w:rsid w:val="138356B4"/>
    <w:rsid w:val="13884680"/>
    <w:rsid w:val="13996DA4"/>
    <w:rsid w:val="13A56966"/>
    <w:rsid w:val="13B56A40"/>
    <w:rsid w:val="13D309B3"/>
    <w:rsid w:val="13EC3F05"/>
    <w:rsid w:val="13FF0438"/>
    <w:rsid w:val="14077D57"/>
    <w:rsid w:val="14342819"/>
    <w:rsid w:val="14965811"/>
    <w:rsid w:val="14D92610"/>
    <w:rsid w:val="15001500"/>
    <w:rsid w:val="154A25D7"/>
    <w:rsid w:val="15525604"/>
    <w:rsid w:val="156E5828"/>
    <w:rsid w:val="15B36E57"/>
    <w:rsid w:val="15B43A33"/>
    <w:rsid w:val="15C02CFA"/>
    <w:rsid w:val="15D02588"/>
    <w:rsid w:val="1613309D"/>
    <w:rsid w:val="163004AD"/>
    <w:rsid w:val="164356BB"/>
    <w:rsid w:val="166F777C"/>
    <w:rsid w:val="169C21B8"/>
    <w:rsid w:val="169C6B59"/>
    <w:rsid w:val="16BB60A4"/>
    <w:rsid w:val="16D604C4"/>
    <w:rsid w:val="16DC4A0B"/>
    <w:rsid w:val="173A5387"/>
    <w:rsid w:val="17581304"/>
    <w:rsid w:val="17725C57"/>
    <w:rsid w:val="17755246"/>
    <w:rsid w:val="17800AEC"/>
    <w:rsid w:val="178A6137"/>
    <w:rsid w:val="18245E40"/>
    <w:rsid w:val="186B461D"/>
    <w:rsid w:val="188B4950"/>
    <w:rsid w:val="18C50468"/>
    <w:rsid w:val="18C7387D"/>
    <w:rsid w:val="18C76564"/>
    <w:rsid w:val="19087A11"/>
    <w:rsid w:val="191B7534"/>
    <w:rsid w:val="196C6250"/>
    <w:rsid w:val="196E2C37"/>
    <w:rsid w:val="1974690A"/>
    <w:rsid w:val="19C072D3"/>
    <w:rsid w:val="1A25720B"/>
    <w:rsid w:val="1A510684"/>
    <w:rsid w:val="1A6171B2"/>
    <w:rsid w:val="1AA65F2A"/>
    <w:rsid w:val="1AA666F2"/>
    <w:rsid w:val="1ADC340E"/>
    <w:rsid w:val="1AED2C78"/>
    <w:rsid w:val="1AEF15D5"/>
    <w:rsid w:val="1AF20311"/>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542E"/>
    <w:rsid w:val="1D6359BB"/>
    <w:rsid w:val="1D664936"/>
    <w:rsid w:val="1D71729C"/>
    <w:rsid w:val="1D8B7D5F"/>
    <w:rsid w:val="1D981331"/>
    <w:rsid w:val="1DAB3C89"/>
    <w:rsid w:val="1DC06E93"/>
    <w:rsid w:val="1DCC77C2"/>
    <w:rsid w:val="1DCF4890"/>
    <w:rsid w:val="1DFB57EB"/>
    <w:rsid w:val="1E0062C5"/>
    <w:rsid w:val="1E4F15C4"/>
    <w:rsid w:val="1E665E93"/>
    <w:rsid w:val="1E6D0B8E"/>
    <w:rsid w:val="1E740910"/>
    <w:rsid w:val="1E7E3C6A"/>
    <w:rsid w:val="1E8A1B7B"/>
    <w:rsid w:val="1ED05FDD"/>
    <w:rsid w:val="1EDA4565"/>
    <w:rsid w:val="1F0115E6"/>
    <w:rsid w:val="1F8B73B9"/>
    <w:rsid w:val="1FC0508F"/>
    <w:rsid w:val="1FD17519"/>
    <w:rsid w:val="1FDE37FF"/>
    <w:rsid w:val="1FE70187"/>
    <w:rsid w:val="1FE87CF6"/>
    <w:rsid w:val="20142293"/>
    <w:rsid w:val="202875D1"/>
    <w:rsid w:val="203B6405"/>
    <w:rsid w:val="204042C4"/>
    <w:rsid w:val="204434A6"/>
    <w:rsid w:val="208E2CB0"/>
    <w:rsid w:val="20C7192F"/>
    <w:rsid w:val="20C94ACB"/>
    <w:rsid w:val="20E71691"/>
    <w:rsid w:val="20F3606E"/>
    <w:rsid w:val="2117534C"/>
    <w:rsid w:val="213009EF"/>
    <w:rsid w:val="213D75BE"/>
    <w:rsid w:val="213F7AB1"/>
    <w:rsid w:val="217A33A1"/>
    <w:rsid w:val="21872636"/>
    <w:rsid w:val="218F2648"/>
    <w:rsid w:val="21AB5C9B"/>
    <w:rsid w:val="21B427AB"/>
    <w:rsid w:val="21BD46E0"/>
    <w:rsid w:val="227C0C68"/>
    <w:rsid w:val="227D1F07"/>
    <w:rsid w:val="22AE5DFE"/>
    <w:rsid w:val="23025E80"/>
    <w:rsid w:val="235C31B0"/>
    <w:rsid w:val="235E3810"/>
    <w:rsid w:val="23A51493"/>
    <w:rsid w:val="23C16FD2"/>
    <w:rsid w:val="23ED6B20"/>
    <w:rsid w:val="2409306B"/>
    <w:rsid w:val="242C445B"/>
    <w:rsid w:val="247E04BE"/>
    <w:rsid w:val="248B6BF0"/>
    <w:rsid w:val="24975A35"/>
    <w:rsid w:val="24A451C8"/>
    <w:rsid w:val="24B0777F"/>
    <w:rsid w:val="24B80E3D"/>
    <w:rsid w:val="24BA3A6C"/>
    <w:rsid w:val="24C14262"/>
    <w:rsid w:val="24DB11B1"/>
    <w:rsid w:val="24DB1DC1"/>
    <w:rsid w:val="254579AD"/>
    <w:rsid w:val="25550995"/>
    <w:rsid w:val="25916749"/>
    <w:rsid w:val="25B15AD3"/>
    <w:rsid w:val="25E5097B"/>
    <w:rsid w:val="25ED1CE2"/>
    <w:rsid w:val="260366CA"/>
    <w:rsid w:val="26190B1E"/>
    <w:rsid w:val="261954E5"/>
    <w:rsid w:val="26B25A04"/>
    <w:rsid w:val="26E86A48"/>
    <w:rsid w:val="27101EDB"/>
    <w:rsid w:val="27450F96"/>
    <w:rsid w:val="27A03254"/>
    <w:rsid w:val="27A230C5"/>
    <w:rsid w:val="27A851CF"/>
    <w:rsid w:val="27F6755B"/>
    <w:rsid w:val="2835156C"/>
    <w:rsid w:val="28541616"/>
    <w:rsid w:val="285E7742"/>
    <w:rsid w:val="285F589C"/>
    <w:rsid w:val="2860075F"/>
    <w:rsid w:val="288E7537"/>
    <w:rsid w:val="28D51CE9"/>
    <w:rsid w:val="28E0382C"/>
    <w:rsid w:val="28FB2940"/>
    <w:rsid w:val="2935387C"/>
    <w:rsid w:val="295642C7"/>
    <w:rsid w:val="29923BE6"/>
    <w:rsid w:val="29D70027"/>
    <w:rsid w:val="29E4565C"/>
    <w:rsid w:val="2A217644"/>
    <w:rsid w:val="2A5522DC"/>
    <w:rsid w:val="2A6D7AE4"/>
    <w:rsid w:val="2A81126C"/>
    <w:rsid w:val="2A9A509F"/>
    <w:rsid w:val="2ABE75C5"/>
    <w:rsid w:val="2AC54EDF"/>
    <w:rsid w:val="2AD4533E"/>
    <w:rsid w:val="2ADE1592"/>
    <w:rsid w:val="2AE72478"/>
    <w:rsid w:val="2AFE6BB2"/>
    <w:rsid w:val="2AFF547A"/>
    <w:rsid w:val="2B0F5BE3"/>
    <w:rsid w:val="2B194010"/>
    <w:rsid w:val="2B1A0A86"/>
    <w:rsid w:val="2B760B5B"/>
    <w:rsid w:val="2B766889"/>
    <w:rsid w:val="2B8F7412"/>
    <w:rsid w:val="2BB62C14"/>
    <w:rsid w:val="2BB82208"/>
    <w:rsid w:val="2BC1544C"/>
    <w:rsid w:val="2BF17832"/>
    <w:rsid w:val="2BF25A55"/>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296826"/>
    <w:rsid w:val="2E740C9C"/>
    <w:rsid w:val="2E912614"/>
    <w:rsid w:val="2EB82B9B"/>
    <w:rsid w:val="2EDB211E"/>
    <w:rsid w:val="2FAF734F"/>
    <w:rsid w:val="2FB74538"/>
    <w:rsid w:val="2FC85BC4"/>
    <w:rsid w:val="2FF16930"/>
    <w:rsid w:val="30255652"/>
    <w:rsid w:val="302A5959"/>
    <w:rsid w:val="303B4F47"/>
    <w:rsid w:val="305B0C4B"/>
    <w:rsid w:val="306F34C7"/>
    <w:rsid w:val="31024AE6"/>
    <w:rsid w:val="31232744"/>
    <w:rsid w:val="313F60CD"/>
    <w:rsid w:val="316C164E"/>
    <w:rsid w:val="31AC33EA"/>
    <w:rsid w:val="31B469D0"/>
    <w:rsid w:val="31D64F96"/>
    <w:rsid w:val="32017181"/>
    <w:rsid w:val="3202578C"/>
    <w:rsid w:val="320E3897"/>
    <w:rsid w:val="325564F6"/>
    <w:rsid w:val="326D3B31"/>
    <w:rsid w:val="327021FA"/>
    <w:rsid w:val="329C1DF0"/>
    <w:rsid w:val="329E2BA3"/>
    <w:rsid w:val="32AE7A75"/>
    <w:rsid w:val="32E032B1"/>
    <w:rsid w:val="32EF11A3"/>
    <w:rsid w:val="32EF2028"/>
    <w:rsid w:val="33011C41"/>
    <w:rsid w:val="333C6A3D"/>
    <w:rsid w:val="335E3037"/>
    <w:rsid w:val="33644CFD"/>
    <w:rsid w:val="33774568"/>
    <w:rsid w:val="33A0028D"/>
    <w:rsid w:val="33A570FA"/>
    <w:rsid w:val="33D32C1C"/>
    <w:rsid w:val="33D92429"/>
    <w:rsid w:val="343B3818"/>
    <w:rsid w:val="343C1893"/>
    <w:rsid w:val="3472623A"/>
    <w:rsid w:val="349F6B06"/>
    <w:rsid w:val="34F167DF"/>
    <w:rsid w:val="35373099"/>
    <w:rsid w:val="358526AE"/>
    <w:rsid w:val="35B43FF1"/>
    <w:rsid w:val="35B549E2"/>
    <w:rsid w:val="35B54B22"/>
    <w:rsid w:val="35DF0F8E"/>
    <w:rsid w:val="35E83CBD"/>
    <w:rsid w:val="35EF293B"/>
    <w:rsid w:val="35F13A2A"/>
    <w:rsid w:val="360453EB"/>
    <w:rsid w:val="361633A9"/>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973473"/>
    <w:rsid w:val="38A56CC9"/>
    <w:rsid w:val="38C05F24"/>
    <w:rsid w:val="38D750B8"/>
    <w:rsid w:val="38E13070"/>
    <w:rsid w:val="38F2240C"/>
    <w:rsid w:val="39171CC0"/>
    <w:rsid w:val="39291962"/>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1B509F"/>
    <w:rsid w:val="3B3575B2"/>
    <w:rsid w:val="3B4764C1"/>
    <w:rsid w:val="3B54731C"/>
    <w:rsid w:val="3B67428D"/>
    <w:rsid w:val="3B713350"/>
    <w:rsid w:val="3B7A26BE"/>
    <w:rsid w:val="3BBF7944"/>
    <w:rsid w:val="3BE767A5"/>
    <w:rsid w:val="3C1701DB"/>
    <w:rsid w:val="3C216F51"/>
    <w:rsid w:val="3C2E25AC"/>
    <w:rsid w:val="3C33699A"/>
    <w:rsid w:val="3C41291B"/>
    <w:rsid w:val="3C447C27"/>
    <w:rsid w:val="3C4E3440"/>
    <w:rsid w:val="3E225ED0"/>
    <w:rsid w:val="3E29108F"/>
    <w:rsid w:val="3E763568"/>
    <w:rsid w:val="3E9A6DB8"/>
    <w:rsid w:val="3EB341AB"/>
    <w:rsid w:val="3EC20226"/>
    <w:rsid w:val="3EC451E1"/>
    <w:rsid w:val="3EC47F80"/>
    <w:rsid w:val="3F1E63B0"/>
    <w:rsid w:val="3F2226EC"/>
    <w:rsid w:val="3F601C75"/>
    <w:rsid w:val="3FAC6CE4"/>
    <w:rsid w:val="3FB04B06"/>
    <w:rsid w:val="3FB11C9A"/>
    <w:rsid w:val="3FDA48AC"/>
    <w:rsid w:val="3FDC26AA"/>
    <w:rsid w:val="401E0F35"/>
    <w:rsid w:val="402A3DD6"/>
    <w:rsid w:val="402E363B"/>
    <w:rsid w:val="403A7A13"/>
    <w:rsid w:val="40883F9A"/>
    <w:rsid w:val="40A6403B"/>
    <w:rsid w:val="40C31767"/>
    <w:rsid w:val="40D11C13"/>
    <w:rsid w:val="40D14228"/>
    <w:rsid w:val="40E32648"/>
    <w:rsid w:val="413F338F"/>
    <w:rsid w:val="415D3A83"/>
    <w:rsid w:val="419659D4"/>
    <w:rsid w:val="41A50FA5"/>
    <w:rsid w:val="41CC07BC"/>
    <w:rsid w:val="41DD5AAF"/>
    <w:rsid w:val="420569A4"/>
    <w:rsid w:val="4246080B"/>
    <w:rsid w:val="427B70B0"/>
    <w:rsid w:val="42CE24FD"/>
    <w:rsid w:val="42F302DD"/>
    <w:rsid w:val="43260C43"/>
    <w:rsid w:val="438034F8"/>
    <w:rsid w:val="4388321A"/>
    <w:rsid w:val="441A31FF"/>
    <w:rsid w:val="443F03D6"/>
    <w:rsid w:val="446A3759"/>
    <w:rsid w:val="446B4961"/>
    <w:rsid w:val="449428DA"/>
    <w:rsid w:val="45132E7E"/>
    <w:rsid w:val="45A046DF"/>
    <w:rsid w:val="45B725A0"/>
    <w:rsid w:val="45E17241"/>
    <w:rsid w:val="462D2D97"/>
    <w:rsid w:val="462E25CA"/>
    <w:rsid w:val="46303A17"/>
    <w:rsid w:val="465A58CC"/>
    <w:rsid w:val="46931FE6"/>
    <w:rsid w:val="46D637ED"/>
    <w:rsid w:val="46DD3F38"/>
    <w:rsid w:val="46F16F1D"/>
    <w:rsid w:val="46FD2CBF"/>
    <w:rsid w:val="472910BD"/>
    <w:rsid w:val="47553E8E"/>
    <w:rsid w:val="477C293C"/>
    <w:rsid w:val="478665EE"/>
    <w:rsid w:val="47CA2F97"/>
    <w:rsid w:val="47D84675"/>
    <w:rsid w:val="47E17B3A"/>
    <w:rsid w:val="481379C4"/>
    <w:rsid w:val="481947FE"/>
    <w:rsid w:val="483B043E"/>
    <w:rsid w:val="486B0826"/>
    <w:rsid w:val="486B1D8E"/>
    <w:rsid w:val="48A93D74"/>
    <w:rsid w:val="48CA1F3D"/>
    <w:rsid w:val="48D139F6"/>
    <w:rsid w:val="48F56DD6"/>
    <w:rsid w:val="491916C6"/>
    <w:rsid w:val="49573AC8"/>
    <w:rsid w:val="495839E9"/>
    <w:rsid w:val="49AA7971"/>
    <w:rsid w:val="49FE240E"/>
    <w:rsid w:val="4A141151"/>
    <w:rsid w:val="4A316318"/>
    <w:rsid w:val="4A5950C6"/>
    <w:rsid w:val="4A643B84"/>
    <w:rsid w:val="4A777A6A"/>
    <w:rsid w:val="4AC9062D"/>
    <w:rsid w:val="4AE52C42"/>
    <w:rsid w:val="4AF2187D"/>
    <w:rsid w:val="4AFC3953"/>
    <w:rsid w:val="4B1E385E"/>
    <w:rsid w:val="4B6870F9"/>
    <w:rsid w:val="4B6C2969"/>
    <w:rsid w:val="4B810673"/>
    <w:rsid w:val="4BCF6DCB"/>
    <w:rsid w:val="4BD06B38"/>
    <w:rsid w:val="4BDF321A"/>
    <w:rsid w:val="4C0065CE"/>
    <w:rsid w:val="4C18241E"/>
    <w:rsid w:val="4C227943"/>
    <w:rsid w:val="4C391EF2"/>
    <w:rsid w:val="4C4373DD"/>
    <w:rsid w:val="4C472142"/>
    <w:rsid w:val="4C5F22C4"/>
    <w:rsid w:val="4D587BF8"/>
    <w:rsid w:val="4DA70921"/>
    <w:rsid w:val="4DC86CD0"/>
    <w:rsid w:val="4DD62C1F"/>
    <w:rsid w:val="4DE60D60"/>
    <w:rsid w:val="4DF46D27"/>
    <w:rsid w:val="4E2C759D"/>
    <w:rsid w:val="4E367509"/>
    <w:rsid w:val="4E5211BA"/>
    <w:rsid w:val="4E565D23"/>
    <w:rsid w:val="4E577EB0"/>
    <w:rsid w:val="4E90713C"/>
    <w:rsid w:val="4E9D1D1E"/>
    <w:rsid w:val="4F0E0B1D"/>
    <w:rsid w:val="4F563CC4"/>
    <w:rsid w:val="4FBD41CA"/>
    <w:rsid w:val="4FD246D2"/>
    <w:rsid w:val="50077D56"/>
    <w:rsid w:val="50131451"/>
    <w:rsid w:val="502344EE"/>
    <w:rsid w:val="50831BFE"/>
    <w:rsid w:val="50B52FE4"/>
    <w:rsid w:val="50BF2E54"/>
    <w:rsid w:val="51343886"/>
    <w:rsid w:val="51390BE4"/>
    <w:rsid w:val="517D5E7F"/>
    <w:rsid w:val="51C804DE"/>
    <w:rsid w:val="51CF0D4C"/>
    <w:rsid w:val="51E12FF8"/>
    <w:rsid w:val="51E33826"/>
    <w:rsid w:val="51E71C22"/>
    <w:rsid w:val="520C6B50"/>
    <w:rsid w:val="522E62F3"/>
    <w:rsid w:val="52A33960"/>
    <w:rsid w:val="52B476CE"/>
    <w:rsid w:val="52EF6909"/>
    <w:rsid w:val="52F47A95"/>
    <w:rsid w:val="531645CA"/>
    <w:rsid w:val="531F2A96"/>
    <w:rsid w:val="53262EC9"/>
    <w:rsid w:val="53734149"/>
    <w:rsid w:val="53932760"/>
    <w:rsid w:val="539873E7"/>
    <w:rsid w:val="53B46D0C"/>
    <w:rsid w:val="53DA1367"/>
    <w:rsid w:val="53EC2E48"/>
    <w:rsid w:val="54087353"/>
    <w:rsid w:val="54375044"/>
    <w:rsid w:val="544232E7"/>
    <w:rsid w:val="54557110"/>
    <w:rsid w:val="549661B6"/>
    <w:rsid w:val="54D24E79"/>
    <w:rsid w:val="5503429F"/>
    <w:rsid w:val="551027C6"/>
    <w:rsid w:val="55225948"/>
    <w:rsid w:val="552F7315"/>
    <w:rsid w:val="554B0FDD"/>
    <w:rsid w:val="55631D2D"/>
    <w:rsid w:val="55A03EEB"/>
    <w:rsid w:val="55BB1E97"/>
    <w:rsid w:val="55C8709D"/>
    <w:rsid w:val="560509A3"/>
    <w:rsid w:val="56050C0A"/>
    <w:rsid w:val="56250237"/>
    <w:rsid w:val="564569EB"/>
    <w:rsid w:val="56AB5944"/>
    <w:rsid w:val="56F645A2"/>
    <w:rsid w:val="57214861"/>
    <w:rsid w:val="572B4616"/>
    <w:rsid w:val="57541EAD"/>
    <w:rsid w:val="576D2C98"/>
    <w:rsid w:val="577465D8"/>
    <w:rsid w:val="57A33BF9"/>
    <w:rsid w:val="57AE5029"/>
    <w:rsid w:val="57C23486"/>
    <w:rsid w:val="57D123D3"/>
    <w:rsid w:val="5807247D"/>
    <w:rsid w:val="58117CC1"/>
    <w:rsid w:val="582C3384"/>
    <w:rsid w:val="58624A55"/>
    <w:rsid w:val="59162EF2"/>
    <w:rsid w:val="59216A89"/>
    <w:rsid w:val="59A175DF"/>
    <w:rsid w:val="59AF2EAE"/>
    <w:rsid w:val="59B819C2"/>
    <w:rsid w:val="59C7668D"/>
    <w:rsid w:val="59FC4729"/>
    <w:rsid w:val="59FF697B"/>
    <w:rsid w:val="5A0B75E4"/>
    <w:rsid w:val="5A575BFF"/>
    <w:rsid w:val="5A77586F"/>
    <w:rsid w:val="5AA12CBD"/>
    <w:rsid w:val="5ACA65CD"/>
    <w:rsid w:val="5ACC7A53"/>
    <w:rsid w:val="5AE51758"/>
    <w:rsid w:val="5B0373F5"/>
    <w:rsid w:val="5B581F93"/>
    <w:rsid w:val="5B6B529B"/>
    <w:rsid w:val="5BB250E2"/>
    <w:rsid w:val="5BB3320D"/>
    <w:rsid w:val="5BC31A45"/>
    <w:rsid w:val="5BC772C9"/>
    <w:rsid w:val="5BF50377"/>
    <w:rsid w:val="5C465FA2"/>
    <w:rsid w:val="5C544090"/>
    <w:rsid w:val="5C726BB6"/>
    <w:rsid w:val="5C7322D1"/>
    <w:rsid w:val="5CEF4070"/>
    <w:rsid w:val="5CFC28A8"/>
    <w:rsid w:val="5D246FFC"/>
    <w:rsid w:val="5D36426B"/>
    <w:rsid w:val="5D583351"/>
    <w:rsid w:val="5DDA696A"/>
    <w:rsid w:val="5E410FFD"/>
    <w:rsid w:val="5E544606"/>
    <w:rsid w:val="5E8E05EA"/>
    <w:rsid w:val="5EFB61FA"/>
    <w:rsid w:val="5F2C7D02"/>
    <w:rsid w:val="5F31206E"/>
    <w:rsid w:val="5F5F0D39"/>
    <w:rsid w:val="5F7663E9"/>
    <w:rsid w:val="5F7C6CFB"/>
    <w:rsid w:val="5FB656F9"/>
    <w:rsid w:val="5FBC2CFA"/>
    <w:rsid w:val="5FC53466"/>
    <w:rsid w:val="5FD13015"/>
    <w:rsid w:val="5FF56DB4"/>
    <w:rsid w:val="60190EE3"/>
    <w:rsid w:val="601D48F2"/>
    <w:rsid w:val="601E31F8"/>
    <w:rsid w:val="602832C7"/>
    <w:rsid w:val="602D42BF"/>
    <w:rsid w:val="603D1F50"/>
    <w:rsid w:val="603F673E"/>
    <w:rsid w:val="605467C6"/>
    <w:rsid w:val="60D605A1"/>
    <w:rsid w:val="612C537D"/>
    <w:rsid w:val="61464F6C"/>
    <w:rsid w:val="61515A7F"/>
    <w:rsid w:val="61633E93"/>
    <w:rsid w:val="61A4558D"/>
    <w:rsid w:val="61C32B70"/>
    <w:rsid w:val="61D54EA8"/>
    <w:rsid w:val="61E045CD"/>
    <w:rsid w:val="61E23930"/>
    <w:rsid w:val="62016875"/>
    <w:rsid w:val="623E052A"/>
    <w:rsid w:val="628B7263"/>
    <w:rsid w:val="62902D58"/>
    <w:rsid w:val="62AE4BDA"/>
    <w:rsid w:val="62C97640"/>
    <w:rsid w:val="62D27C48"/>
    <w:rsid w:val="62E50021"/>
    <w:rsid w:val="6307315E"/>
    <w:rsid w:val="63184211"/>
    <w:rsid w:val="631B5AD9"/>
    <w:rsid w:val="635514AC"/>
    <w:rsid w:val="635C575B"/>
    <w:rsid w:val="63672302"/>
    <w:rsid w:val="636863CF"/>
    <w:rsid w:val="63715219"/>
    <w:rsid w:val="63752C12"/>
    <w:rsid w:val="638C1080"/>
    <w:rsid w:val="63B413CF"/>
    <w:rsid w:val="63D4721A"/>
    <w:rsid w:val="63FF6C27"/>
    <w:rsid w:val="6405263C"/>
    <w:rsid w:val="642454D9"/>
    <w:rsid w:val="6464336B"/>
    <w:rsid w:val="653C5193"/>
    <w:rsid w:val="655C7828"/>
    <w:rsid w:val="658B4967"/>
    <w:rsid w:val="65A173AE"/>
    <w:rsid w:val="65C71020"/>
    <w:rsid w:val="65CB1350"/>
    <w:rsid w:val="66330E7B"/>
    <w:rsid w:val="66351622"/>
    <w:rsid w:val="665A2304"/>
    <w:rsid w:val="669C6349"/>
    <w:rsid w:val="66A80AC6"/>
    <w:rsid w:val="66D165FA"/>
    <w:rsid w:val="67144976"/>
    <w:rsid w:val="67202357"/>
    <w:rsid w:val="673A4FC2"/>
    <w:rsid w:val="67603F26"/>
    <w:rsid w:val="67694667"/>
    <w:rsid w:val="67881D7C"/>
    <w:rsid w:val="67D3264E"/>
    <w:rsid w:val="67D63720"/>
    <w:rsid w:val="67EC027D"/>
    <w:rsid w:val="68024DD3"/>
    <w:rsid w:val="680F332B"/>
    <w:rsid w:val="6832253F"/>
    <w:rsid w:val="68344F63"/>
    <w:rsid w:val="685C3C4D"/>
    <w:rsid w:val="687102AD"/>
    <w:rsid w:val="68724B40"/>
    <w:rsid w:val="68902798"/>
    <w:rsid w:val="690C7142"/>
    <w:rsid w:val="69412846"/>
    <w:rsid w:val="695907E9"/>
    <w:rsid w:val="6964290E"/>
    <w:rsid w:val="698304CD"/>
    <w:rsid w:val="69932BAE"/>
    <w:rsid w:val="69A16FDB"/>
    <w:rsid w:val="69BA6060"/>
    <w:rsid w:val="69ED5B2B"/>
    <w:rsid w:val="6A223F21"/>
    <w:rsid w:val="6A4771F0"/>
    <w:rsid w:val="6A641277"/>
    <w:rsid w:val="6A985E45"/>
    <w:rsid w:val="6AAD0001"/>
    <w:rsid w:val="6ACC3B62"/>
    <w:rsid w:val="6AE30427"/>
    <w:rsid w:val="6B1B05C6"/>
    <w:rsid w:val="6B35684E"/>
    <w:rsid w:val="6B6C1D6A"/>
    <w:rsid w:val="6B706DFD"/>
    <w:rsid w:val="6B735145"/>
    <w:rsid w:val="6B76701F"/>
    <w:rsid w:val="6B78258E"/>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76F5C"/>
    <w:rsid w:val="6D524D35"/>
    <w:rsid w:val="6D631E8B"/>
    <w:rsid w:val="6DA45721"/>
    <w:rsid w:val="6DEF5724"/>
    <w:rsid w:val="6E2D7396"/>
    <w:rsid w:val="6E977E1E"/>
    <w:rsid w:val="6E9A083E"/>
    <w:rsid w:val="6EEB6130"/>
    <w:rsid w:val="6F1013D6"/>
    <w:rsid w:val="6F1830F3"/>
    <w:rsid w:val="6F2C4E6B"/>
    <w:rsid w:val="6F7502BE"/>
    <w:rsid w:val="6F8E346E"/>
    <w:rsid w:val="6F922D77"/>
    <w:rsid w:val="6FA85985"/>
    <w:rsid w:val="6FD7718C"/>
    <w:rsid w:val="6FEA2DEF"/>
    <w:rsid w:val="70231C9D"/>
    <w:rsid w:val="70411BFE"/>
    <w:rsid w:val="707B5C7D"/>
    <w:rsid w:val="70876E49"/>
    <w:rsid w:val="708C386D"/>
    <w:rsid w:val="7093353E"/>
    <w:rsid w:val="70A05D8E"/>
    <w:rsid w:val="70A25D2A"/>
    <w:rsid w:val="70EC15F1"/>
    <w:rsid w:val="70F606D1"/>
    <w:rsid w:val="710C3141"/>
    <w:rsid w:val="71104E62"/>
    <w:rsid w:val="711A4857"/>
    <w:rsid w:val="713927A1"/>
    <w:rsid w:val="71426CAF"/>
    <w:rsid w:val="719525E5"/>
    <w:rsid w:val="71C43EDF"/>
    <w:rsid w:val="71D12B7B"/>
    <w:rsid w:val="72047D57"/>
    <w:rsid w:val="7254510E"/>
    <w:rsid w:val="72563FB1"/>
    <w:rsid w:val="726E28BC"/>
    <w:rsid w:val="729701F7"/>
    <w:rsid w:val="72C13435"/>
    <w:rsid w:val="7332304C"/>
    <w:rsid w:val="73460DCF"/>
    <w:rsid w:val="736F51CC"/>
    <w:rsid w:val="73765DF7"/>
    <w:rsid w:val="739C093C"/>
    <w:rsid w:val="739D0315"/>
    <w:rsid w:val="73CE4F10"/>
    <w:rsid w:val="73DE0BF4"/>
    <w:rsid w:val="73EF72A5"/>
    <w:rsid w:val="73F01406"/>
    <w:rsid w:val="740166CA"/>
    <w:rsid w:val="740656E7"/>
    <w:rsid w:val="741606DE"/>
    <w:rsid w:val="746B4618"/>
    <w:rsid w:val="746F2FAE"/>
    <w:rsid w:val="748E187D"/>
    <w:rsid w:val="74B137B6"/>
    <w:rsid w:val="74F727ED"/>
    <w:rsid w:val="75395A4F"/>
    <w:rsid w:val="75A60C51"/>
    <w:rsid w:val="75A62599"/>
    <w:rsid w:val="75C718AC"/>
    <w:rsid w:val="75E5168E"/>
    <w:rsid w:val="75E65018"/>
    <w:rsid w:val="75FD7923"/>
    <w:rsid w:val="761D53B8"/>
    <w:rsid w:val="764536B8"/>
    <w:rsid w:val="764C1E95"/>
    <w:rsid w:val="765340BE"/>
    <w:rsid w:val="76600B0B"/>
    <w:rsid w:val="76EC025F"/>
    <w:rsid w:val="77012C6A"/>
    <w:rsid w:val="77104195"/>
    <w:rsid w:val="77532B5B"/>
    <w:rsid w:val="77A17320"/>
    <w:rsid w:val="77A72B49"/>
    <w:rsid w:val="77BA48A1"/>
    <w:rsid w:val="77EA45C3"/>
    <w:rsid w:val="77F3515D"/>
    <w:rsid w:val="77F537AF"/>
    <w:rsid w:val="78427D95"/>
    <w:rsid w:val="78524A22"/>
    <w:rsid w:val="78CE3373"/>
    <w:rsid w:val="78EA06B1"/>
    <w:rsid w:val="79303653"/>
    <w:rsid w:val="79332894"/>
    <w:rsid w:val="79432FDA"/>
    <w:rsid w:val="794E031B"/>
    <w:rsid w:val="796340FE"/>
    <w:rsid w:val="79F651E3"/>
    <w:rsid w:val="7A4A0DFD"/>
    <w:rsid w:val="7A552236"/>
    <w:rsid w:val="7A735659"/>
    <w:rsid w:val="7A7E0068"/>
    <w:rsid w:val="7AB60141"/>
    <w:rsid w:val="7AB7745D"/>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3475DB"/>
    <w:rsid w:val="7D771F95"/>
    <w:rsid w:val="7D871FA7"/>
    <w:rsid w:val="7D942460"/>
    <w:rsid w:val="7DDD5D1F"/>
    <w:rsid w:val="7E0B3754"/>
    <w:rsid w:val="7E3C4D54"/>
    <w:rsid w:val="7E563F68"/>
    <w:rsid w:val="7EC40A24"/>
    <w:rsid w:val="7EDE28E1"/>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8"/>
    <w:qFormat/>
    <w:uiPriority w:val="0"/>
    <w:pPr>
      <w:keepNext/>
      <w:jc w:val="center"/>
      <w:outlineLvl w:val="0"/>
    </w:pPr>
    <w:rPr>
      <w:rFonts w:eastAsia="黑体"/>
      <w:b/>
      <w:sz w:val="32"/>
      <w:szCs w:val="20"/>
    </w:rPr>
  </w:style>
  <w:style w:type="paragraph" w:styleId="4">
    <w:name w:val="heading 2"/>
    <w:basedOn w:val="1"/>
    <w:next w:val="1"/>
    <w:link w:val="66"/>
    <w:qFormat/>
    <w:uiPriority w:val="0"/>
    <w:pPr>
      <w:keepNext/>
      <w:outlineLvl w:val="1"/>
    </w:pPr>
    <w:rPr>
      <w:rFonts w:ascii="仿宋_GB2312"/>
      <w:b/>
      <w:sz w:val="28"/>
      <w:szCs w:val="32"/>
    </w:rPr>
  </w:style>
  <w:style w:type="paragraph" w:styleId="5">
    <w:name w:val="heading 3"/>
    <w:basedOn w:val="1"/>
    <w:next w:val="1"/>
    <w:link w:val="151"/>
    <w:qFormat/>
    <w:uiPriority w:val="0"/>
    <w:pPr>
      <w:keepNext/>
      <w:keepLines/>
      <w:spacing w:line="540" w:lineRule="atLeast"/>
      <w:outlineLvl w:val="2"/>
    </w:pPr>
    <w:rPr>
      <w:rFonts w:eastAsia="黑体"/>
      <w:b/>
      <w:sz w:val="28"/>
      <w:szCs w:val="20"/>
    </w:rPr>
  </w:style>
  <w:style w:type="paragraph" w:styleId="6">
    <w:name w:val="heading 4"/>
    <w:basedOn w:val="1"/>
    <w:next w:val="1"/>
    <w:link w:val="148"/>
    <w:qFormat/>
    <w:uiPriority w:val="0"/>
    <w:pPr>
      <w:keepNext/>
      <w:keepLines/>
      <w:spacing w:line="540" w:lineRule="atLeast"/>
      <w:outlineLvl w:val="3"/>
    </w:pPr>
    <w:rPr>
      <w:sz w:val="28"/>
      <w:szCs w:val="28"/>
    </w:rPr>
  </w:style>
  <w:style w:type="paragraph" w:styleId="7">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qFormat/>
    <w:uiPriority w:val="0"/>
    <w:pPr>
      <w:keepNext/>
      <w:keepLines/>
      <w:spacing w:before="240" w:after="64" w:line="317" w:lineRule="auto"/>
      <w:outlineLvl w:val="6"/>
    </w:pPr>
    <w:rPr>
      <w:b/>
      <w:sz w:val="24"/>
      <w:szCs w:val="20"/>
    </w:rPr>
  </w:style>
  <w:style w:type="paragraph" w:styleId="11">
    <w:name w:val="heading 8"/>
    <w:basedOn w:val="1"/>
    <w:next w:val="9"/>
    <w:link w:val="17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0"/>
    <w:qFormat/>
    <w:uiPriority w:val="0"/>
    <w:pPr>
      <w:shd w:val="clear" w:color="auto" w:fill="000080"/>
    </w:pPr>
  </w:style>
  <w:style w:type="paragraph" w:styleId="18">
    <w:name w:val="annotation text"/>
    <w:basedOn w:val="1"/>
    <w:link w:val="90"/>
    <w:qFormat/>
    <w:uiPriority w:val="0"/>
    <w:pPr>
      <w:jc w:val="left"/>
    </w:pPr>
  </w:style>
  <w:style w:type="paragraph" w:styleId="19">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qFormat/>
    <w:uiPriority w:val="0"/>
    <w:pPr>
      <w:autoSpaceDE w:val="0"/>
      <w:autoSpaceDN w:val="0"/>
      <w:adjustRightInd w:val="0"/>
      <w:jc w:val="center"/>
    </w:pPr>
  </w:style>
  <w:style w:type="paragraph" w:styleId="21">
    <w:name w:val="Body Text"/>
    <w:basedOn w:val="1"/>
    <w:next w:val="22"/>
    <w:link w:val="163"/>
    <w:qFormat/>
    <w:uiPriority w:val="0"/>
    <w:pPr>
      <w:spacing w:after="120"/>
    </w:pPr>
    <w:rPr>
      <w:rFonts w:ascii="仿宋_GB2312"/>
      <w:b/>
    </w:rPr>
  </w:style>
  <w:style w:type="paragraph" w:styleId="22">
    <w:name w:val="Body Text First Indent"/>
    <w:basedOn w:val="21"/>
    <w:next w:val="23"/>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3"/>
    <w:qFormat/>
    <w:uiPriority w:val="0"/>
    <w:pPr>
      <w:ind w:left="480" w:hanging="480" w:hangingChars="200"/>
    </w:pPr>
    <w:rPr>
      <w:sz w:val="24"/>
    </w:rPr>
  </w:style>
  <w:style w:type="paragraph" w:styleId="25">
    <w:name w:val="Body Text First Indent 2"/>
    <w:basedOn w:val="24"/>
    <w:qFormat/>
    <w:uiPriority w:val="0"/>
    <w:pPr>
      <w:spacing w:after="120"/>
      <w:ind w:left="420" w:leftChars="200" w:firstLine="420"/>
    </w:pPr>
    <w:rPr>
      <w:rFonts w:cs="宋体"/>
      <w:sz w:val="21"/>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2"/>
    <w:qFormat/>
    <w:uiPriority w:val="0"/>
    <w:pPr>
      <w:ind w:left="100" w:leftChars="2500"/>
    </w:pPr>
  </w:style>
  <w:style w:type="paragraph" w:styleId="35">
    <w:name w:val="Body Text Indent 2"/>
    <w:basedOn w:val="1"/>
    <w:link w:val="177"/>
    <w:qFormat/>
    <w:uiPriority w:val="0"/>
    <w:pPr>
      <w:spacing w:line="500" w:lineRule="exact"/>
      <w:ind w:firstLine="511" w:firstLineChars="213"/>
    </w:pPr>
    <w:rPr>
      <w:sz w:val="24"/>
    </w:rPr>
  </w:style>
  <w:style w:type="paragraph" w:styleId="36">
    <w:name w:val="Balloon Text"/>
    <w:basedOn w:val="1"/>
    <w:link w:val="150"/>
    <w:qFormat/>
    <w:uiPriority w:val="0"/>
    <w:rPr>
      <w:sz w:val="18"/>
      <w:szCs w:val="18"/>
    </w:rPr>
  </w:style>
  <w:style w:type="paragraph" w:styleId="37">
    <w:name w:val="footer"/>
    <w:basedOn w:val="1"/>
    <w:link w:val="119"/>
    <w:qFormat/>
    <w:uiPriority w:val="0"/>
    <w:pPr>
      <w:tabs>
        <w:tab w:val="center" w:pos="4153"/>
        <w:tab w:val="right" w:pos="8306"/>
      </w:tabs>
      <w:snapToGrid w:val="0"/>
      <w:jc w:val="left"/>
    </w:pPr>
    <w:rPr>
      <w:sz w:val="18"/>
      <w:szCs w:val="18"/>
    </w:rPr>
  </w:style>
  <w:style w:type="paragraph" w:styleId="38">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5"/>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7"/>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0"/>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5"/>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Char3 Char Char Char"/>
    <w:basedOn w:val="1"/>
    <w:qFormat/>
    <w:uiPriority w:val="0"/>
  </w:style>
  <w:style w:type="character" w:customStyle="1" w:styleId="64">
    <w:name w:val="不明显参考1"/>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Char"/>
    <w:link w:val="4"/>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Char"/>
    <w:link w:val="10"/>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书籍标题1"/>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Char"/>
    <w:link w:val="19"/>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明显强调1"/>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5"/>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明显参考2"/>
    <w:qFormat/>
    <w:uiPriority w:val="0"/>
    <w:rPr>
      <w:b/>
      <w:bCs/>
      <w:smallCaps/>
      <w:color w:val="C0504D"/>
      <w:spacing w:val="5"/>
      <w:u w:val="single"/>
    </w:rPr>
  </w:style>
  <w:style w:type="character" w:customStyle="1" w:styleId="90">
    <w:name w:val="批注文字 Char"/>
    <w:link w:val="18"/>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qFormat/>
    <w:uiPriority w:val="0"/>
  </w:style>
  <w:style w:type="character" w:customStyle="1" w:styleId="95">
    <w:name w:val="批注主题 Char"/>
    <w:link w:val="51"/>
    <w:qFormat/>
    <w:uiPriority w:val="0"/>
    <w:rPr>
      <w:rFonts w:eastAsia="宋体"/>
      <w:b/>
      <w:bCs/>
      <w:kern w:val="2"/>
      <w:sz w:val="21"/>
      <w:szCs w:val="24"/>
      <w:lang w:val="en-US" w:eastAsia="zh-CN" w:bidi="ar-SA"/>
    </w:rPr>
  </w:style>
  <w:style w:type="character" w:customStyle="1" w:styleId="96">
    <w:name w:val="不明显参考1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4"/>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Char"/>
    <w:link w:val="50"/>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Char"/>
    <w:link w:val="3"/>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Char"/>
    <w:link w:val="37"/>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Char"/>
    <w:link w:val="2"/>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Char"/>
    <w:link w:val="17"/>
    <w:qFormat/>
    <w:uiPriority w:val="0"/>
    <w:rPr>
      <w:rFonts w:eastAsia="宋体"/>
      <w:kern w:val="2"/>
      <w:sz w:val="21"/>
      <w:szCs w:val="24"/>
      <w:lang w:val="en-US" w:eastAsia="zh-CN" w:bidi="ar-SA"/>
    </w:rPr>
  </w:style>
  <w:style w:type="character" w:customStyle="1" w:styleId="131">
    <w:name w:val="标题 5 Char"/>
    <w:link w:val="7"/>
    <w:qFormat/>
    <w:uiPriority w:val="0"/>
    <w:rPr>
      <w:rFonts w:eastAsia="宋体"/>
      <w:b/>
      <w:bCs/>
      <w:sz w:val="28"/>
      <w:szCs w:val="28"/>
      <w:lang w:bidi="ar-SA"/>
    </w:rPr>
  </w:style>
  <w:style w:type="character" w:customStyle="1" w:styleId="132">
    <w:name w:val="日期 Char"/>
    <w:link w:val="34"/>
    <w:qFormat/>
    <w:uiPriority w:val="0"/>
    <w:rPr>
      <w:rFonts w:eastAsia="宋体"/>
      <w:kern w:val="2"/>
      <w:sz w:val="21"/>
      <w:szCs w:val="24"/>
      <w:lang w:val="en-US" w:eastAsia="zh-CN" w:bidi="ar-SA"/>
    </w:rPr>
  </w:style>
  <w:style w:type="character" w:customStyle="1" w:styleId="133">
    <w:name w:val="副标题 Char"/>
    <w:link w:val="42"/>
    <w:qFormat/>
    <w:uiPriority w:val="0"/>
    <w:rPr>
      <w:rFonts w:ascii="Cambria" w:hAnsi="Cambria" w:eastAsia="宋体"/>
      <w:b/>
      <w:bCs/>
      <w:kern w:val="28"/>
      <w:sz w:val="32"/>
      <w:szCs w:val="32"/>
      <w:lang w:val="en-US" w:eastAsia="zh-CN" w:bidi="ar-SA"/>
    </w:rPr>
  </w:style>
  <w:style w:type="character" w:customStyle="1" w:styleId="134">
    <w:name w:val="页眉 Char"/>
    <w:link w:val="38"/>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Char"/>
    <w:link w:val="24"/>
    <w:qFormat/>
    <w:uiPriority w:val="0"/>
    <w:rPr>
      <w:rFonts w:eastAsia="宋体"/>
      <w:kern w:val="2"/>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正文文本缩进 3 Char"/>
    <w:link w:val="45"/>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Char"/>
    <w:link w:val="6"/>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Char"/>
    <w:link w:val="36"/>
    <w:qFormat/>
    <w:uiPriority w:val="0"/>
    <w:rPr>
      <w:rFonts w:eastAsia="宋体"/>
      <w:kern w:val="2"/>
      <w:sz w:val="18"/>
      <w:szCs w:val="18"/>
      <w:lang w:val="en-US" w:eastAsia="zh-CN" w:bidi="ar-SA"/>
    </w:rPr>
  </w:style>
  <w:style w:type="character" w:customStyle="1" w:styleId="151">
    <w:name w:val="标题 3 Char"/>
    <w:link w:val="5"/>
    <w:qFormat/>
    <w:uiPriority w:val="0"/>
    <w:rPr>
      <w:rFonts w:eastAsia="黑体"/>
      <w:b/>
      <w:kern w:val="2"/>
      <w:sz w:val="28"/>
      <w:lang w:val="en-US" w:eastAsia="zh-CN" w:bidi="ar-SA"/>
    </w:rPr>
  </w:style>
  <w:style w:type="character" w:customStyle="1" w:styleId="152">
    <w:name w:val="明显强调11"/>
    <w:qFormat/>
    <w:uiPriority w:val="0"/>
    <w:rPr>
      <w:b/>
      <w:bCs/>
      <w:i/>
      <w:iCs/>
      <w:color w:val="4F81BD"/>
    </w:rPr>
  </w:style>
  <w:style w:type="character" w:customStyle="1" w:styleId="153">
    <w:name w:val="签名 Char"/>
    <w:link w:val="39"/>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1"/>
    <w:qFormat/>
    <w:uiPriority w:val="0"/>
    <w:rPr>
      <w:i/>
      <w:iCs/>
      <w:color w:val="808080"/>
    </w:rPr>
  </w:style>
  <w:style w:type="character" w:customStyle="1" w:styleId="162">
    <w:name w:val="标题 9 Char"/>
    <w:link w:val="12"/>
    <w:qFormat/>
    <w:uiPriority w:val="0"/>
    <w:rPr>
      <w:rFonts w:ascii="Arial" w:hAnsi="Arial" w:eastAsia="黑体"/>
      <w:kern w:val="2"/>
      <w:sz w:val="21"/>
      <w:lang w:val="en-US" w:eastAsia="zh-CN" w:bidi="ar-SA"/>
    </w:rPr>
  </w:style>
  <w:style w:type="character" w:customStyle="1" w:styleId="163">
    <w:name w:val="正文文本 Char"/>
    <w:link w:val="21"/>
    <w:qFormat/>
    <w:uiPriority w:val="0"/>
    <w:rPr>
      <w:rFonts w:ascii="仿宋_GB2312" w:eastAsia="宋体"/>
      <w:b/>
      <w:kern w:val="2"/>
      <w:sz w:val="21"/>
      <w:szCs w:val="24"/>
      <w:lang w:val="en-US" w:eastAsia="zh-CN" w:bidi="ar-SA"/>
    </w:rPr>
  </w:style>
  <w:style w:type="character" w:customStyle="1" w:styleId="164">
    <w:name w:val="明显引用 Char"/>
    <w:link w:val="165"/>
    <w:qFormat/>
    <w:uiPriority w:val="0"/>
    <w:rPr>
      <w:rFonts w:ascii="Calibri" w:hAnsi="Calibri" w:eastAsia="宋体"/>
      <w:b/>
      <w:bCs/>
      <w:i/>
      <w:iCs/>
      <w:color w:val="4F81BD"/>
      <w:lang w:val="en-US" w:eastAsia="zh-CN" w:bidi="ar-SA"/>
    </w:rPr>
  </w:style>
  <w:style w:type="paragraph" w:styleId="165">
    <w:name w:val="Intense Quote"/>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Char"/>
    <w:link w:val="8"/>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Char"/>
    <w:link w:val="11"/>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Char"/>
    <w:link w:val="35"/>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Char"/>
    <w:link w:val="190"/>
    <w:qFormat/>
    <w:uiPriority w:val="0"/>
    <w:rPr>
      <w:rFonts w:ascii="Calibri" w:hAnsi="Calibri" w:eastAsia="宋体"/>
      <w:i/>
      <w:iCs/>
      <w:color w:val="000000"/>
      <w:lang w:val="en-US" w:eastAsia="zh-CN" w:bidi="ar-SA"/>
    </w:rPr>
  </w:style>
  <w:style w:type="paragraph" w:styleId="190">
    <w:name w:val="Quote"/>
    <w:basedOn w:val="1"/>
    <w:next w:val="1"/>
    <w:link w:val="189"/>
    <w:qFormat/>
    <w:uiPriority w:val="0"/>
    <w:rPr>
      <w:rFonts w:ascii="Calibri" w:hAnsi="Calibri"/>
      <w:i/>
      <w:iCs/>
      <w:color w:val="000000"/>
      <w:kern w:val="0"/>
      <w:sz w:val="20"/>
      <w:szCs w:val="20"/>
    </w:rPr>
  </w:style>
  <w:style w:type="character" w:customStyle="1" w:styleId="191">
    <w:name w:val="纯文本 Char"/>
    <w:link w:val="31"/>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首行缩进 Char"/>
    <w:link w:val="22"/>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Char"/>
    <w:basedOn w:val="54"/>
    <w:link w:val="48"/>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9"/>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2"/>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2"/>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2"/>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4"/>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1"/>
    <w:qFormat/>
    <w:uiPriority w:val="0"/>
    <w:pPr>
      <w:adjustRightInd w:val="0"/>
      <w:spacing w:line="420" w:lineRule="atLeast"/>
      <w:jc w:val="left"/>
      <w:textAlignment w:val="baseline"/>
    </w:pPr>
    <w:rPr>
      <w:kern w:val="0"/>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 w:type="paragraph" w:customStyle="1" w:styleId="340">
    <w:name w:val="01 正文-首行缩进2字符"/>
    <w:basedOn w:val="1"/>
    <w:qFormat/>
    <w:uiPriority w:val="0"/>
    <w:pPr>
      <w:spacing w:before="50" w:beforeLines="50" w:after="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58</Pages>
  <Words>30396</Words>
  <Characters>31699</Characters>
  <Lines>322</Lines>
  <Paragraphs>90</Paragraphs>
  <TotalTime>0</TotalTime>
  <ScaleCrop>false</ScaleCrop>
  <LinksUpToDate>false</LinksUpToDate>
  <CharactersWithSpaces>33519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admin</cp:lastModifiedBy>
  <cp:lastPrinted>2021-03-22T07:00:00Z</cp:lastPrinted>
  <dcterms:modified xsi:type="dcterms:W3CDTF">2023-04-20T08:17:17Z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BC1BA64C697642BF92F420CC9F67FF35</vt:lpwstr>
  </property>
</Properties>
</file>