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distribute"/>
        <w:rPr>
          <w:rFonts w:hint="eastAsia" w:ascii="宋体" w:hAnsi="宋体" w:eastAsia="宋体" w:cs="宋体"/>
          <w:b/>
          <w:bCs/>
          <w:color w:val="auto"/>
          <w:sz w:val="52"/>
          <w:szCs w:val="52"/>
          <w:highlight w:val="none"/>
          <w:lang w:eastAsia="zh-CN"/>
        </w:rPr>
      </w:pPr>
      <w:r>
        <w:rPr>
          <w:rFonts w:hint="eastAsia" w:ascii="宋体" w:hAnsi="宋体" w:cs="宋体"/>
          <w:color w:val="auto"/>
          <w:spacing w:val="20"/>
          <w:sz w:val="84"/>
          <w:highlight w:val="none"/>
          <w:lang w:eastAsia="zh-CN"/>
        </w:rPr>
        <w:t>温州市中医院</w:t>
      </w:r>
    </w:p>
    <w:p>
      <w:pPr>
        <w:jc w:val="center"/>
        <w:rPr>
          <w:rFonts w:hint="eastAsia" w:ascii="宋体" w:hAnsi="宋体" w:eastAsia="宋体" w:cs="宋体"/>
          <w:b/>
          <w:bCs/>
          <w:color w:val="auto"/>
          <w:spacing w:val="26"/>
          <w:sz w:val="52"/>
          <w:highlight w:val="none"/>
        </w:rPr>
      </w:pPr>
    </w:p>
    <w:p>
      <w:pPr>
        <w:ind w:firstLine="2357" w:firstLineChars="235"/>
        <w:rPr>
          <w:rFonts w:hint="eastAsia" w:ascii="宋体" w:hAnsi="宋体" w:eastAsia="宋体" w:cs="宋体"/>
          <w:b/>
          <w:bCs/>
          <w:color w:val="auto"/>
          <w:spacing w:val="140"/>
          <w:sz w:val="72"/>
          <w:highlight w:val="none"/>
        </w:rPr>
      </w:pPr>
    </w:p>
    <w:p>
      <w:pPr>
        <w:adjustRightInd w:val="0"/>
        <w:snapToGrid w:val="0"/>
        <w:spacing w:line="480" w:lineRule="auto"/>
        <w:ind w:right="361"/>
        <w:jc w:val="center"/>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招 标 文 件</w:t>
      </w:r>
    </w:p>
    <w:tbl>
      <w:tblPr>
        <w:tblStyle w:val="54"/>
        <w:tblW w:w="8585" w:type="dxa"/>
        <w:tblInd w:w="3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92"/>
        <w:gridCol w:w="57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92"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编 号</w:t>
            </w:r>
            <w:r>
              <w:rPr>
                <w:rFonts w:hint="eastAsia" w:ascii="宋体" w:hAnsi="宋体" w:eastAsia="宋体" w:cs="宋体"/>
                <w:b w:val="0"/>
                <w:bCs w:val="0"/>
                <w:color w:val="auto"/>
                <w:spacing w:val="40"/>
                <w:sz w:val="28"/>
                <w:highlight w:val="none"/>
              </w:rPr>
              <w:t>：</w:t>
            </w:r>
          </w:p>
        </w:tc>
        <w:tc>
          <w:tcPr>
            <w:tcW w:w="5793" w:type="dxa"/>
            <w:vAlign w:val="center"/>
          </w:tcPr>
          <w:p>
            <w:pPr>
              <w:spacing w:line="700" w:lineRule="exact"/>
              <w:jc w:val="center"/>
              <w:rPr>
                <w:rFonts w:hint="eastAsia" w:ascii="宋体" w:hAnsi="宋体" w:eastAsia="宋体" w:cs="宋体"/>
                <w:b w:val="0"/>
                <w:bCs w:val="0"/>
                <w:color w:val="auto"/>
                <w:sz w:val="24"/>
                <w:highlight w:val="none"/>
                <w:vertAlign w:val="baseline"/>
                <w:lang w:eastAsia="zh-CN"/>
              </w:rPr>
            </w:pPr>
            <w:r>
              <w:rPr>
                <w:rFonts w:hint="eastAsia" w:ascii="宋体" w:hAnsi="宋体" w:cs="宋体"/>
                <w:b w:val="0"/>
                <w:bCs w:val="0"/>
                <w:color w:val="auto"/>
                <w:sz w:val="30"/>
                <w:szCs w:val="30"/>
                <w:highlight w:val="none"/>
                <w:lang w:eastAsia="zh-CN"/>
              </w:rPr>
              <w:t>WZLCZB（W）-2023-04174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92"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名 称：</w:t>
            </w:r>
          </w:p>
        </w:tc>
        <w:tc>
          <w:tcPr>
            <w:tcW w:w="5793"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cs="宋体"/>
                <w:b w:val="0"/>
                <w:bCs w:val="0"/>
                <w:color w:val="auto"/>
                <w:sz w:val="30"/>
                <w:szCs w:val="30"/>
                <w:highlight w:val="none"/>
                <w:lang w:eastAsia="zh-CN"/>
              </w:rPr>
              <w:t>全自动血型仪检测系统耗材（试剂）及配套设备租赁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92"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采 购 方 式：</w:t>
            </w:r>
          </w:p>
        </w:tc>
        <w:tc>
          <w:tcPr>
            <w:tcW w:w="5793"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92"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评 审 方 式：</w:t>
            </w:r>
          </w:p>
        </w:tc>
        <w:tc>
          <w:tcPr>
            <w:tcW w:w="5793"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线上电子招投标</w:t>
            </w:r>
          </w:p>
        </w:tc>
      </w:tr>
    </w:tbl>
    <w:p>
      <w:pPr>
        <w:spacing w:line="700" w:lineRule="exact"/>
        <w:ind w:firstLine="723" w:firstLineChars="300"/>
        <w:jc w:val="left"/>
        <w:rPr>
          <w:rFonts w:hint="eastAsia" w:ascii="宋体" w:hAnsi="宋体" w:eastAsia="宋体" w:cs="宋体"/>
          <w:b/>
          <w:bCs/>
          <w:color w:val="auto"/>
          <w:sz w:val="24"/>
          <w:highlight w:val="none"/>
        </w:rPr>
      </w:pPr>
    </w:p>
    <w:p>
      <w:pPr>
        <w:spacing w:line="700" w:lineRule="exact"/>
        <w:ind w:firstLine="904" w:firstLineChars="300"/>
        <w:jc w:val="left"/>
        <w:rPr>
          <w:rFonts w:hint="eastAsia" w:ascii="宋体" w:hAnsi="宋体" w:eastAsia="宋体" w:cs="宋体"/>
          <w:b/>
          <w:color w:val="auto"/>
          <w:spacing w:val="40"/>
          <w:sz w:val="30"/>
          <w:szCs w:val="30"/>
          <w:highlight w:val="none"/>
        </w:rPr>
      </w:pP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rPr>
        <w:t xml:space="preserve">  </w:t>
      </w:r>
    </w:p>
    <w:p>
      <w:pPr>
        <w:spacing w:line="700" w:lineRule="exact"/>
        <w:ind w:left="3802" w:leftChars="540" w:hanging="2668" w:hangingChars="700"/>
        <w:rPr>
          <w:rFonts w:hint="eastAsia" w:ascii="宋体" w:hAnsi="宋体" w:eastAsia="宋体" w:cs="宋体"/>
          <w:b/>
          <w:color w:val="auto"/>
          <w:spacing w:val="40"/>
          <w:sz w:val="30"/>
          <w:szCs w:val="30"/>
          <w:highlight w:val="none"/>
        </w:rPr>
      </w:pPr>
    </w:p>
    <w:p>
      <w:pPr>
        <w:keepNext/>
        <w:spacing w:line="700" w:lineRule="exact"/>
        <w:rPr>
          <w:rFonts w:hint="eastAsia" w:ascii="宋体" w:hAnsi="宋体" w:eastAsia="宋体" w:cs="宋体"/>
          <w:b/>
          <w:color w:val="auto"/>
          <w:spacing w:val="40"/>
          <w:sz w:val="30"/>
          <w:szCs w:val="30"/>
          <w:highlight w:val="none"/>
        </w:rPr>
      </w:pPr>
      <w:r>
        <w:rPr>
          <w:rFonts w:hint="eastAsia" w:ascii="宋体" w:hAnsi="宋体" w:eastAsia="宋体" w:cs="宋体"/>
          <w:b/>
          <w:color w:val="auto"/>
          <w:spacing w:val="40"/>
          <w:sz w:val="30"/>
          <w:szCs w:val="30"/>
          <w:highlight w:val="none"/>
        </w:rPr>
        <w:t xml:space="preserve">    </w:t>
      </w:r>
    </w:p>
    <w:p>
      <w:pPr>
        <w:pStyle w:val="7"/>
        <w:rPr>
          <w:rFonts w:hint="eastAsia" w:ascii="宋体" w:hAnsi="宋体" w:eastAsia="宋体" w:cs="宋体"/>
          <w:b/>
          <w:color w:val="auto"/>
          <w:spacing w:val="40"/>
          <w:sz w:val="30"/>
          <w:szCs w:val="30"/>
          <w:highlight w:val="none"/>
        </w:rPr>
      </w:pPr>
    </w:p>
    <w:p>
      <w:pPr>
        <w:pStyle w:val="2"/>
        <w:ind w:left="0" w:leftChars="0" w:firstLine="0" w:firstLineChars="0"/>
        <w:rPr>
          <w:rFonts w:hint="eastAsia"/>
        </w:rPr>
      </w:pPr>
    </w:p>
    <w:p>
      <w:pPr>
        <w:spacing w:line="600" w:lineRule="exact"/>
        <w:jc w:val="center"/>
        <w:rPr>
          <w:rFonts w:hint="eastAsia" w:ascii="宋体" w:hAnsi="宋体" w:eastAsia="宋体" w:cs="宋体"/>
          <w:color w:val="auto"/>
          <w:spacing w:val="30"/>
          <w:sz w:val="30"/>
          <w:highlight w:val="none"/>
          <w:lang w:eastAsia="zh-CN"/>
        </w:rPr>
      </w:pPr>
      <w:r>
        <w:rPr>
          <w:rFonts w:hint="eastAsia" w:ascii="宋体" w:hAnsi="宋体" w:eastAsia="宋体" w:cs="宋体"/>
          <w:color w:val="auto"/>
          <w:spacing w:val="30"/>
          <w:sz w:val="30"/>
          <w:highlight w:val="none"/>
        </w:rPr>
        <w:t>招 标 人:</w:t>
      </w:r>
      <w:r>
        <w:rPr>
          <w:rFonts w:hint="eastAsia" w:ascii="宋体" w:hAnsi="宋体" w:cs="宋体"/>
          <w:color w:val="auto"/>
          <w:spacing w:val="30"/>
          <w:sz w:val="30"/>
          <w:highlight w:val="none"/>
          <w:lang w:eastAsia="zh-CN"/>
        </w:rPr>
        <w:t>温州市中医院</w:t>
      </w:r>
    </w:p>
    <w:p>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招标代理机构：温州历程招标有限公司</w:t>
      </w:r>
    </w:p>
    <w:p>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二0二</w:t>
      </w:r>
      <w:r>
        <w:rPr>
          <w:rFonts w:hint="eastAsia" w:ascii="宋体" w:hAnsi="宋体" w:cs="宋体"/>
          <w:color w:val="auto"/>
          <w:spacing w:val="30"/>
          <w:sz w:val="30"/>
          <w:highlight w:val="none"/>
          <w:lang w:val="en-US" w:eastAsia="zh-CN"/>
        </w:rPr>
        <w:t>三</w:t>
      </w:r>
      <w:r>
        <w:rPr>
          <w:rFonts w:hint="eastAsia" w:ascii="宋体" w:hAnsi="宋体" w:eastAsia="宋体" w:cs="宋体"/>
          <w:color w:val="auto"/>
          <w:spacing w:val="30"/>
          <w:sz w:val="30"/>
          <w:highlight w:val="none"/>
        </w:rPr>
        <w:t>年</w:t>
      </w:r>
    </w:p>
    <w:p>
      <w:pPr>
        <w:rPr>
          <w:rFonts w:hint="eastAsia"/>
        </w:rPr>
      </w:pPr>
      <w:r>
        <w:rPr>
          <w:rFonts w:hint="eastAsia" w:ascii="宋体" w:hAnsi="宋体" w:eastAsia="宋体" w:cs="宋体"/>
          <w:b/>
          <w:color w:val="auto"/>
          <w:sz w:val="36"/>
          <w:szCs w:val="36"/>
          <w:highlight w:val="none"/>
        </w:rPr>
        <w:br w:type="page"/>
      </w:r>
    </w:p>
    <w:sdt>
      <w:sdtPr>
        <w:rPr>
          <w:rFonts w:hint="eastAsia" w:ascii="宋体" w:hAnsi="宋体" w:eastAsia="宋体" w:cs="宋体"/>
          <w:kern w:val="2"/>
          <w:sz w:val="21"/>
          <w:szCs w:val="24"/>
          <w:lang w:val="en-US" w:eastAsia="zh-CN" w:bidi="ar-SA"/>
        </w:rPr>
        <w:id w:val="147459729"/>
        <w15:color w:val="DBDBDB"/>
        <w:docPartObj>
          <w:docPartGallery w:val="Table of Contents"/>
          <w:docPartUnique/>
        </w:docPartObj>
      </w:sdtPr>
      <w:sdtEndPr>
        <w:rPr>
          <w:rFonts w:hint="eastAsia" w:ascii="宋体" w:hAnsi="宋体" w:eastAsia="宋体" w:cs="宋体"/>
          <w:color w:val="auto"/>
          <w:kern w:val="2"/>
          <w:sz w:val="21"/>
          <w:szCs w:val="36"/>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rPr>
          </w:pPr>
        </w:p>
        <w:p>
          <w:pPr>
            <w:pStyle w:val="39"/>
            <w:tabs>
              <w:tab w:val="right" w:leader="dot" w:pos="9638"/>
            </w:tabs>
            <w:spacing w:line="360"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目  录</w:t>
          </w:r>
        </w:p>
        <w:p>
          <w:pPr>
            <w:pStyle w:val="39"/>
            <w:tabs>
              <w:tab w:val="right" w:leader="dot" w:pos="9638"/>
            </w:tabs>
            <w:spacing w:line="360" w:lineRule="auto"/>
            <w:rPr>
              <w:sz w:val="22"/>
              <w:szCs w:val="28"/>
            </w:rPr>
          </w:pPr>
          <w:r>
            <w:rPr>
              <w:rFonts w:hint="eastAsia" w:ascii="宋体" w:hAnsi="宋体" w:eastAsia="宋体" w:cs="宋体"/>
              <w:b/>
              <w:color w:val="auto"/>
              <w:sz w:val="40"/>
              <w:szCs w:val="40"/>
              <w:highlight w:val="none"/>
            </w:rPr>
            <w:fldChar w:fldCharType="begin"/>
          </w:r>
          <w:r>
            <w:rPr>
              <w:rFonts w:hint="eastAsia" w:ascii="宋体" w:hAnsi="宋体" w:eastAsia="宋体" w:cs="宋体"/>
              <w:b/>
              <w:color w:val="auto"/>
              <w:sz w:val="40"/>
              <w:szCs w:val="40"/>
              <w:highlight w:val="none"/>
            </w:rPr>
            <w:instrText xml:space="preserve">TOC \o "1-3" \h \u </w:instrText>
          </w:r>
          <w:r>
            <w:rPr>
              <w:rFonts w:hint="eastAsia" w:ascii="宋体" w:hAnsi="宋体" w:eastAsia="宋体" w:cs="宋体"/>
              <w:b/>
              <w:color w:val="auto"/>
              <w:sz w:val="40"/>
              <w:szCs w:val="40"/>
              <w:highlight w:val="none"/>
            </w:rPr>
            <w:fldChar w:fldCharType="separate"/>
          </w: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_Toc6599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招</w:t>
          </w:r>
          <w:r>
            <w:rPr>
              <w:rFonts w:hint="eastAsia" w:ascii="宋体" w:hAnsi="宋体" w:eastAsia="宋体" w:cs="宋体"/>
              <w:sz w:val="22"/>
              <w:szCs w:val="28"/>
              <w:lang w:val="en-US" w:eastAsia="zh-CN"/>
            </w:rPr>
            <w:t xml:space="preserve"> </w:t>
          </w:r>
          <w:r>
            <w:rPr>
              <w:rFonts w:hint="eastAsia" w:ascii="宋体" w:hAnsi="宋体" w:eastAsia="宋体" w:cs="宋体"/>
              <w:sz w:val="22"/>
              <w:szCs w:val="28"/>
            </w:rPr>
            <w:t>标</w:t>
          </w:r>
          <w:r>
            <w:rPr>
              <w:rFonts w:hint="eastAsia" w:ascii="宋体" w:hAnsi="宋体" w:eastAsia="宋体" w:cs="宋体"/>
              <w:sz w:val="22"/>
              <w:szCs w:val="28"/>
              <w:lang w:val="en-US" w:eastAsia="zh-CN"/>
            </w:rPr>
            <w:t xml:space="preserve"> </w:t>
          </w:r>
          <w:r>
            <w:rPr>
              <w:rFonts w:hint="eastAsia" w:ascii="宋体" w:hAnsi="宋体" w:eastAsia="宋体" w:cs="宋体"/>
              <w:sz w:val="22"/>
              <w:szCs w:val="28"/>
            </w:rPr>
            <w:t>公</w:t>
          </w:r>
          <w:r>
            <w:rPr>
              <w:rFonts w:hint="eastAsia" w:ascii="宋体" w:hAnsi="宋体" w:eastAsia="宋体" w:cs="宋体"/>
              <w:sz w:val="22"/>
              <w:szCs w:val="28"/>
              <w:lang w:val="en-US" w:eastAsia="zh-CN"/>
            </w:rPr>
            <w:t xml:space="preserve"> </w:t>
          </w:r>
          <w:r>
            <w:rPr>
              <w:rFonts w:hint="eastAsia" w:ascii="宋体" w:hAnsi="宋体" w:eastAsia="宋体" w:cs="宋体"/>
              <w:sz w:val="22"/>
              <w:szCs w:val="28"/>
            </w:rPr>
            <w:t>告</w:t>
          </w:r>
          <w:r>
            <w:rPr>
              <w:sz w:val="22"/>
              <w:szCs w:val="28"/>
            </w:rPr>
            <w:tab/>
          </w:r>
          <w:r>
            <w:rPr>
              <w:sz w:val="22"/>
              <w:szCs w:val="28"/>
            </w:rPr>
            <w:fldChar w:fldCharType="begin"/>
          </w:r>
          <w:r>
            <w:rPr>
              <w:sz w:val="22"/>
              <w:szCs w:val="28"/>
            </w:rPr>
            <w:instrText xml:space="preserve"> PAGEREF _Toc6599 \h </w:instrText>
          </w:r>
          <w:r>
            <w:rPr>
              <w:sz w:val="22"/>
              <w:szCs w:val="28"/>
            </w:rPr>
            <w:fldChar w:fldCharType="separate"/>
          </w:r>
          <w:r>
            <w:rPr>
              <w:sz w:val="22"/>
              <w:szCs w:val="28"/>
            </w:rPr>
            <w:t>3</w:t>
          </w:r>
          <w:r>
            <w:rPr>
              <w:sz w:val="22"/>
              <w:szCs w:val="28"/>
            </w:rPr>
            <w:fldChar w:fldCharType="end"/>
          </w:r>
          <w:r>
            <w:rPr>
              <w:rFonts w:hint="eastAsia" w:ascii="宋体" w:hAnsi="宋体" w:eastAsia="宋体" w:cs="宋体"/>
              <w:color w:val="auto"/>
              <w:sz w:val="22"/>
              <w:szCs w:val="40"/>
              <w:highlight w:val="none"/>
            </w:rPr>
            <w:fldChar w:fldCharType="end"/>
          </w:r>
        </w:p>
        <w:p>
          <w:pPr>
            <w:pStyle w:val="39"/>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_Toc10401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第一部分  投标人须知</w:t>
          </w:r>
          <w:r>
            <w:rPr>
              <w:sz w:val="22"/>
              <w:szCs w:val="28"/>
            </w:rPr>
            <w:tab/>
          </w:r>
          <w:r>
            <w:rPr>
              <w:sz w:val="22"/>
              <w:szCs w:val="28"/>
            </w:rPr>
            <w:fldChar w:fldCharType="begin"/>
          </w:r>
          <w:r>
            <w:rPr>
              <w:sz w:val="22"/>
              <w:szCs w:val="28"/>
            </w:rPr>
            <w:instrText xml:space="preserve"> PAGEREF _Toc10401 \h </w:instrText>
          </w:r>
          <w:r>
            <w:rPr>
              <w:sz w:val="22"/>
              <w:szCs w:val="28"/>
            </w:rPr>
            <w:fldChar w:fldCharType="separate"/>
          </w:r>
          <w:r>
            <w:rPr>
              <w:sz w:val="22"/>
              <w:szCs w:val="28"/>
            </w:rPr>
            <w:t>6</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_Toc6224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前 附 表</w:t>
          </w:r>
          <w:r>
            <w:rPr>
              <w:sz w:val="22"/>
              <w:szCs w:val="28"/>
            </w:rPr>
            <w:tab/>
          </w:r>
          <w:r>
            <w:rPr>
              <w:sz w:val="22"/>
              <w:szCs w:val="28"/>
            </w:rPr>
            <w:fldChar w:fldCharType="begin"/>
          </w:r>
          <w:r>
            <w:rPr>
              <w:sz w:val="22"/>
              <w:szCs w:val="28"/>
            </w:rPr>
            <w:instrText xml:space="preserve"> PAGEREF _Toc6224 \h </w:instrText>
          </w:r>
          <w:r>
            <w:rPr>
              <w:sz w:val="22"/>
              <w:szCs w:val="28"/>
            </w:rPr>
            <w:fldChar w:fldCharType="separate"/>
          </w:r>
          <w:r>
            <w:rPr>
              <w:sz w:val="22"/>
              <w:szCs w:val="28"/>
            </w:rPr>
            <w:t>6</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_Toc19070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一、 说   明</w:t>
          </w:r>
          <w:r>
            <w:rPr>
              <w:sz w:val="22"/>
              <w:szCs w:val="28"/>
            </w:rPr>
            <w:tab/>
          </w:r>
          <w:r>
            <w:rPr>
              <w:sz w:val="22"/>
              <w:szCs w:val="28"/>
            </w:rPr>
            <w:fldChar w:fldCharType="begin"/>
          </w:r>
          <w:r>
            <w:rPr>
              <w:sz w:val="22"/>
              <w:szCs w:val="28"/>
            </w:rPr>
            <w:instrText xml:space="preserve"> PAGEREF _Toc19070 \h </w:instrText>
          </w:r>
          <w:r>
            <w:rPr>
              <w:sz w:val="22"/>
              <w:szCs w:val="28"/>
            </w:rPr>
            <w:fldChar w:fldCharType="separate"/>
          </w:r>
          <w:r>
            <w:rPr>
              <w:sz w:val="22"/>
              <w:szCs w:val="28"/>
            </w:rPr>
            <w:t>10</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_Toc28278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二、 招标文件</w:t>
          </w:r>
          <w:r>
            <w:rPr>
              <w:sz w:val="22"/>
              <w:szCs w:val="28"/>
            </w:rPr>
            <w:tab/>
          </w:r>
          <w:r>
            <w:rPr>
              <w:sz w:val="22"/>
              <w:szCs w:val="28"/>
            </w:rPr>
            <w:fldChar w:fldCharType="begin"/>
          </w:r>
          <w:r>
            <w:rPr>
              <w:sz w:val="22"/>
              <w:szCs w:val="28"/>
            </w:rPr>
            <w:instrText xml:space="preserve"> PAGEREF _Toc28278 \h </w:instrText>
          </w:r>
          <w:r>
            <w:rPr>
              <w:sz w:val="22"/>
              <w:szCs w:val="28"/>
            </w:rPr>
            <w:fldChar w:fldCharType="separate"/>
          </w:r>
          <w:r>
            <w:rPr>
              <w:sz w:val="22"/>
              <w:szCs w:val="28"/>
            </w:rPr>
            <w:t>10</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_Toc22646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三、 投标文件的编制</w:t>
          </w:r>
          <w:r>
            <w:rPr>
              <w:sz w:val="22"/>
              <w:szCs w:val="28"/>
            </w:rPr>
            <w:tab/>
          </w:r>
          <w:r>
            <w:rPr>
              <w:sz w:val="22"/>
              <w:szCs w:val="28"/>
            </w:rPr>
            <w:fldChar w:fldCharType="begin"/>
          </w:r>
          <w:r>
            <w:rPr>
              <w:sz w:val="22"/>
              <w:szCs w:val="28"/>
            </w:rPr>
            <w:instrText xml:space="preserve"> PAGEREF _Toc22646 \h </w:instrText>
          </w:r>
          <w:r>
            <w:rPr>
              <w:sz w:val="22"/>
              <w:szCs w:val="28"/>
            </w:rPr>
            <w:fldChar w:fldCharType="separate"/>
          </w:r>
          <w:r>
            <w:rPr>
              <w:sz w:val="22"/>
              <w:szCs w:val="28"/>
            </w:rPr>
            <w:t>11</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_Toc18542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四、 投标文件的递交</w:t>
          </w:r>
          <w:r>
            <w:rPr>
              <w:sz w:val="22"/>
              <w:szCs w:val="28"/>
            </w:rPr>
            <w:tab/>
          </w:r>
          <w:r>
            <w:rPr>
              <w:sz w:val="22"/>
              <w:szCs w:val="28"/>
            </w:rPr>
            <w:fldChar w:fldCharType="begin"/>
          </w:r>
          <w:r>
            <w:rPr>
              <w:sz w:val="22"/>
              <w:szCs w:val="28"/>
            </w:rPr>
            <w:instrText xml:space="preserve"> PAGEREF _Toc18542 \h </w:instrText>
          </w:r>
          <w:r>
            <w:rPr>
              <w:sz w:val="22"/>
              <w:szCs w:val="28"/>
            </w:rPr>
            <w:fldChar w:fldCharType="separate"/>
          </w:r>
          <w:r>
            <w:rPr>
              <w:sz w:val="22"/>
              <w:szCs w:val="28"/>
            </w:rPr>
            <w:t>14</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_Toc8079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五、 开标和评标</w:t>
          </w:r>
          <w:r>
            <w:rPr>
              <w:sz w:val="22"/>
              <w:szCs w:val="28"/>
            </w:rPr>
            <w:tab/>
          </w:r>
          <w:r>
            <w:rPr>
              <w:sz w:val="22"/>
              <w:szCs w:val="28"/>
            </w:rPr>
            <w:fldChar w:fldCharType="begin"/>
          </w:r>
          <w:r>
            <w:rPr>
              <w:sz w:val="22"/>
              <w:szCs w:val="28"/>
            </w:rPr>
            <w:instrText xml:space="preserve"> PAGEREF _Toc8079 \h </w:instrText>
          </w:r>
          <w:r>
            <w:rPr>
              <w:sz w:val="22"/>
              <w:szCs w:val="28"/>
            </w:rPr>
            <w:fldChar w:fldCharType="separate"/>
          </w:r>
          <w:r>
            <w:rPr>
              <w:sz w:val="22"/>
              <w:szCs w:val="28"/>
            </w:rPr>
            <w:t>15</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_Toc21056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六、 授予合同</w:t>
          </w:r>
          <w:r>
            <w:rPr>
              <w:sz w:val="22"/>
              <w:szCs w:val="28"/>
            </w:rPr>
            <w:tab/>
          </w:r>
          <w:r>
            <w:rPr>
              <w:sz w:val="22"/>
              <w:szCs w:val="28"/>
            </w:rPr>
            <w:fldChar w:fldCharType="begin"/>
          </w:r>
          <w:r>
            <w:rPr>
              <w:sz w:val="22"/>
              <w:szCs w:val="28"/>
            </w:rPr>
            <w:instrText xml:space="preserve"> PAGEREF _Toc21056 \h </w:instrText>
          </w:r>
          <w:r>
            <w:rPr>
              <w:sz w:val="22"/>
              <w:szCs w:val="28"/>
            </w:rPr>
            <w:fldChar w:fldCharType="separate"/>
          </w:r>
          <w:r>
            <w:rPr>
              <w:sz w:val="22"/>
              <w:szCs w:val="28"/>
            </w:rPr>
            <w:t>19</w:t>
          </w:r>
          <w:r>
            <w:rPr>
              <w:sz w:val="22"/>
              <w:szCs w:val="28"/>
            </w:rPr>
            <w:fldChar w:fldCharType="end"/>
          </w:r>
          <w:r>
            <w:rPr>
              <w:rFonts w:hint="eastAsia" w:ascii="宋体" w:hAnsi="宋体" w:eastAsia="宋体" w:cs="宋体"/>
              <w:color w:val="auto"/>
              <w:sz w:val="22"/>
              <w:szCs w:val="40"/>
              <w:highlight w:val="none"/>
            </w:rPr>
            <w:fldChar w:fldCharType="end"/>
          </w:r>
        </w:p>
        <w:p>
          <w:pPr>
            <w:pStyle w:val="39"/>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_Toc19043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第二部分  合同主要条款</w:t>
          </w:r>
          <w:r>
            <w:rPr>
              <w:sz w:val="22"/>
              <w:szCs w:val="28"/>
            </w:rPr>
            <w:tab/>
          </w:r>
          <w:r>
            <w:rPr>
              <w:sz w:val="22"/>
              <w:szCs w:val="28"/>
            </w:rPr>
            <w:fldChar w:fldCharType="begin"/>
          </w:r>
          <w:r>
            <w:rPr>
              <w:sz w:val="22"/>
              <w:szCs w:val="28"/>
            </w:rPr>
            <w:instrText xml:space="preserve"> PAGEREF _Toc19043 \h </w:instrText>
          </w:r>
          <w:r>
            <w:rPr>
              <w:sz w:val="22"/>
              <w:szCs w:val="28"/>
            </w:rPr>
            <w:fldChar w:fldCharType="separate"/>
          </w:r>
          <w:r>
            <w:rPr>
              <w:sz w:val="22"/>
              <w:szCs w:val="28"/>
            </w:rPr>
            <w:t>21</w:t>
          </w:r>
          <w:r>
            <w:rPr>
              <w:sz w:val="22"/>
              <w:szCs w:val="28"/>
            </w:rPr>
            <w:fldChar w:fldCharType="end"/>
          </w:r>
          <w:r>
            <w:rPr>
              <w:rFonts w:hint="eastAsia" w:ascii="宋体" w:hAnsi="宋体" w:eastAsia="宋体" w:cs="宋体"/>
              <w:color w:val="auto"/>
              <w:sz w:val="22"/>
              <w:szCs w:val="40"/>
              <w:highlight w:val="none"/>
            </w:rPr>
            <w:fldChar w:fldCharType="end"/>
          </w:r>
        </w:p>
        <w:p>
          <w:pPr>
            <w:pStyle w:val="39"/>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_Toc18439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第三部分  附件</w:t>
          </w:r>
          <w:r>
            <w:rPr>
              <w:sz w:val="22"/>
              <w:szCs w:val="28"/>
            </w:rPr>
            <w:tab/>
          </w:r>
          <w:r>
            <w:rPr>
              <w:sz w:val="22"/>
              <w:szCs w:val="28"/>
            </w:rPr>
            <w:fldChar w:fldCharType="begin"/>
          </w:r>
          <w:r>
            <w:rPr>
              <w:sz w:val="22"/>
              <w:szCs w:val="28"/>
            </w:rPr>
            <w:instrText xml:space="preserve"> PAGEREF _Toc18439 \h </w:instrText>
          </w:r>
          <w:r>
            <w:rPr>
              <w:sz w:val="22"/>
              <w:szCs w:val="28"/>
            </w:rPr>
            <w:fldChar w:fldCharType="separate"/>
          </w:r>
          <w:r>
            <w:rPr>
              <w:sz w:val="22"/>
              <w:szCs w:val="28"/>
            </w:rPr>
            <w:t>25</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_Toc6368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highlight w:val="none"/>
            </w:rPr>
            <w:t>附件一</w:t>
          </w:r>
          <w:r>
            <w:rPr>
              <w:sz w:val="22"/>
              <w:szCs w:val="28"/>
            </w:rPr>
            <w:tab/>
          </w:r>
          <w:r>
            <w:rPr>
              <w:sz w:val="22"/>
              <w:szCs w:val="28"/>
            </w:rPr>
            <w:fldChar w:fldCharType="begin"/>
          </w:r>
          <w:r>
            <w:rPr>
              <w:sz w:val="22"/>
              <w:szCs w:val="28"/>
            </w:rPr>
            <w:instrText xml:space="preserve"> PAGEREF _Toc6368 \h </w:instrText>
          </w:r>
          <w:r>
            <w:rPr>
              <w:sz w:val="22"/>
              <w:szCs w:val="28"/>
            </w:rPr>
            <w:fldChar w:fldCharType="separate"/>
          </w:r>
          <w:r>
            <w:rPr>
              <w:sz w:val="22"/>
              <w:szCs w:val="28"/>
            </w:rPr>
            <w:t>25</w:t>
          </w:r>
          <w:r>
            <w:rPr>
              <w:sz w:val="22"/>
              <w:szCs w:val="28"/>
            </w:rPr>
            <w:fldChar w:fldCharType="end"/>
          </w:r>
          <w:r>
            <w:rPr>
              <w:rFonts w:hint="eastAsia" w:ascii="宋体" w:hAnsi="宋体" w:eastAsia="宋体" w:cs="宋体"/>
              <w:color w:val="auto"/>
              <w:sz w:val="22"/>
              <w:szCs w:val="40"/>
              <w:highlight w:val="none"/>
            </w:rPr>
            <w:fldChar w:fldCharType="end"/>
          </w:r>
        </w:p>
        <w:p>
          <w:pPr>
            <w:pStyle w:val="29"/>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_Toc5430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32"/>
              <w:highlight w:val="none"/>
            </w:rPr>
            <w:t>报价文件</w:t>
          </w:r>
          <w:r>
            <w:rPr>
              <w:sz w:val="22"/>
              <w:szCs w:val="28"/>
            </w:rPr>
            <w:tab/>
          </w:r>
          <w:r>
            <w:rPr>
              <w:sz w:val="22"/>
              <w:szCs w:val="28"/>
            </w:rPr>
            <w:fldChar w:fldCharType="begin"/>
          </w:r>
          <w:r>
            <w:rPr>
              <w:sz w:val="22"/>
              <w:szCs w:val="28"/>
            </w:rPr>
            <w:instrText xml:space="preserve"> PAGEREF _Toc5430 \h </w:instrText>
          </w:r>
          <w:r>
            <w:rPr>
              <w:sz w:val="22"/>
              <w:szCs w:val="28"/>
            </w:rPr>
            <w:fldChar w:fldCharType="separate"/>
          </w:r>
          <w:r>
            <w:rPr>
              <w:sz w:val="22"/>
              <w:szCs w:val="28"/>
            </w:rPr>
            <w:t>25</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_Toc12035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附件二</w:t>
          </w:r>
          <w:r>
            <w:rPr>
              <w:sz w:val="22"/>
              <w:szCs w:val="28"/>
            </w:rPr>
            <w:tab/>
          </w:r>
          <w:r>
            <w:rPr>
              <w:sz w:val="22"/>
              <w:szCs w:val="28"/>
            </w:rPr>
            <w:fldChar w:fldCharType="begin"/>
          </w:r>
          <w:r>
            <w:rPr>
              <w:sz w:val="22"/>
              <w:szCs w:val="28"/>
            </w:rPr>
            <w:instrText xml:space="preserve"> PAGEREF _Toc12035 \h </w:instrText>
          </w:r>
          <w:r>
            <w:rPr>
              <w:sz w:val="22"/>
              <w:szCs w:val="28"/>
            </w:rPr>
            <w:fldChar w:fldCharType="separate"/>
          </w:r>
          <w:r>
            <w:rPr>
              <w:sz w:val="22"/>
              <w:szCs w:val="28"/>
            </w:rPr>
            <w:t>33</w:t>
          </w:r>
          <w:r>
            <w:rPr>
              <w:sz w:val="22"/>
              <w:szCs w:val="28"/>
            </w:rPr>
            <w:fldChar w:fldCharType="end"/>
          </w:r>
          <w:r>
            <w:rPr>
              <w:rFonts w:hint="eastAsia" w:ascii="宋体" w:hAnsi="宋体" w:eastAsia="宋体" w:cs="宋体"/>
              <w:color w:val="auto"/>
              <w:sz w:val="22"/>
              <w:szCs w:val="40"/>
              <w:highlight w:val="none"/>
            </w:rPr>
            <w:fldChar w:fldCharType="end"/>
          </w:r>
        </w:p>
        <w:p>
          <w:pPr>
            <w:pStyle w:val="29"/>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_Toc25309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32"/>
              <w:highlight w:val="none"/>
            </w:rPr>
            <w:t>资格证明文件</w:t>
          </w:r>
          <w:r>
            <w:rPr>
              <w:sz w:val="22"/>
              <w:szCs w:val="28"/>
            </w:rPr>
            <w:tab/>
          </w:r>
          <w:r>
            <w:rPr>
              <w:sz w:val="22"/>
              <w:szCs w:val="28"/>
            </w:rPr>
            <w:fldChar w:fldCharType="begin"/>
          </w:r>
          <w:r>
            <w:rPr>
              <w:sz w:val="22"/>
              <w:szCs w:val="28"/>
            </w:rPr>
            <w:instrText xml:space="preserve"> PAGEREF _Toc25309 \h </w:instrText>
          </w:r>
          <w:r>
            <w:rPr>
              <w:sz w:val="22"/>
              <w:szCs w:val="28"/>
            </w:rPr>
            <w:fldChar w:fldCharType="separate"/>
          </w:r>
          <w:r>
            <w:rPr>
              <w:sz w:val="22"/>
              <w:szCs w:val="28"/>
            </w:rPr>
            <w:t>33</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_Toc31356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附件三</w:t>
          </w:r>
          <w:r>
            <w:rPr>
              <w:sz w:val="22"/>
              <w:szCs w:val="28"/>
            </w:rPr>
            <w:tab/>
          </w:r>
          <w:r>
            <w:rPr>
              <w:sz w:val="22"/>
              <w:szCs w:val="28"/>
            </w:rPr>
            <w:fldChar w:fldCharType="begin"/>
          </w:r>
          <w:r>
            <w:rPr>
              <w:sz w:val="22"/>
              <w:szCs w:val="28"/>
            </w:rPr>
            <w:instrText xml:space="preserve"> PAGEREF _Toc31356 \h </w:instrText>
          </w:r>
          <w:r>
            <w:rPr>
              <w:sz w:val="22"/>
              <w:szCs w:val="28"/>
            </w:rPr>
            <w:fldChar w:fldCharType="separate"/>
          </w:r>
          <w:r>
            <w:rPr>
              <w:sz w:val="22"/>
              <w:szCs w:val="28"/>
            </w:rPr>
            <w:t>38</w:t>
          </w:r>
          <w:r>
            <w:rPr>
              <w:sz w:val="22"/>
              <w:szCs w:val="28"/>
            </w:rPr>
            <w:fldChar w:fldCharType="end"/>
          </w:r>
          <w:r>
            <w:rPr>
              <w:rFonts w:hint="eastAsia" w:ascii="宋体" w:hAnsi="宋体" w:eastAsia="宋体" w:cs="宋体"/>
              <w:color w:val="auto"/>
              <w:sz w:val="22"/>
              <w:szCs w:val="40"/>
              <w:highlight w:val="none"/>
            </w:rPr>
            <w:fldChar w:fldCharType="end"/>
          </w:r>
        </w:p>
        <w:p>
          <w:pPr>
            <w:pStyle w:val="29"/>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_Toc13639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32"/>
              <w:highlight w:val="none"/>
              <w:lang w:val="zh-CN"/>
            </w:rPr>
            <w:t>商务技术文件</w:t>
          </w:r>
          <w:r>
            <w:rPr>
              <w:sz w:val="22"/>
              <w:szCs w:val="28"/>
            </w:rPr>
            <w:tab/>
          </w:r>
          <w:r>
            <w:rPr>
              <w:sz w:val="22"/>
              <w:szCs w:val="28"/>
            </w:rPr>
            <w:fldChar w:fldCharType="begin"/>
          </w:r>
          <w:r>
            <w:rPr>
              <w:sz w:val="22"/>
              <w:szCs w:val="28"/>
            </w:rPr>
            <w:instrText xml:space="preserve"> PAGEREF _Toc13639 \h </w:instrText>
          </w:r>
          <w:r>
            <w:rPr>
              <w:sz w:val="22"/>
              <w:szCs w:val="28"/>
            </w:rPr>
            <w:fldChar w:fldCharType="separate"/>
          </w:r>
          <w:r>
            <w:rPr>
              <w:sz w:val="22"/>
              <w:szCs w:val="28"/>
            </w:rPr>
            <w:t>38</w:t>
          </w:r>
          <w:r>
            <w:rPr>
              <w:sz w:val="22"/>
              <w:szCs w:val="28"/>
            </w:rPr>
            <w:fldChar w:fldCharType="end"/>
          </w:r>
          <w:r>
            <w:rPr>
              <w:rFonts w:hint="eastAsia" w:ascii="宋体" w:hAnsi="宋体" w:eastAsia="宋体" w:cs="宋体"/>
              <w:color w:val="auto"/>
              <w:sz w:val="22"/>
              <w:szCs w:val="40"/>
              <w:highlight w:val="none"/>
            </w:rPr>
            <w:fldChar w:fldCharType="end"/>
          </w:r>
        </w:p>
        <w:p>
          <w:pPr>
            <w:pStyle w:val="39"/>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_Toc3381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第四部分 项目技术规范和服务要求</w:t>
          </w:r>
          <w:r>
            <w:rPr>
              <w:sz w:val="22"/>
              <w:szCs w:val="28"/>
            </w:rPr>
            <w:tab/>
          </w:r>
          <w:r>
            <w:rPr>
              <w:sz w:val="22"/>
              <w:szCs w:val="28"/>
            </w:rPr>
            <w:fldChar w:fldCharType="begin"/>
          </w:r>
          <w:r>
            <w:rPr>
              <w:sz w:val="22"/>
              <w:szCs w:val="28"/>
            </w:rPr>
            <w:instrText xml:space="preserve"> PAGEREF _Toc3381 \h </w:instrText>
          </w:r>
          <w:r>
            <w:rPr>
              <w:sz w:val="22"/>
              <w:szCs w:val="28"/>
            </w:rPr>
            <w:fldChar w:fldCharType="separate"/>
          </w:r>
          <w:r>
            <w:rPr>
              <w:sz w:val="22"/>
              <w:szCs w:val="28"/>
            </w:rPr>
            <w:t>51</w:t>
          </w:r>
          <w:r>
            <w:rPr>
              <w:sz w:val="22"/>
              <w:szCs w:val="28"/>
            </w:rPr>
            <w:fldChar w:fldCharType="end"/>
          </w:r>
          <w:r>
            <w:rPr>
              <w:rFonts w:hint="eastAsia" w:ascii="宋体" w:hAnsi="宋体" w:eastAsia="宋体" w:cs="宋体"/>
              <w:color w:val="auto"/>
              <w:sz w:val="22"/>
              <w:szCs w:val="40"/>
              <w:highlight w:val="none"/>
            </w:rPr>
            <w:fldChar w:fldCharType="end"/>
          </w:r>
        </w:p>
        <w:p>
          <w:pPr>
            <w:pStyle w:val="39"/>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_Toc18194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第五部分 评标原则及方法</w:t>
          </w:r>
          <w:r>
            <w:rPr>
              <w:sz w:val="22"/>
              <w:szCs w:val="28"/>
            </w:rPr>
            <w:tab/>
          </w:r>
          <w:r>
            <w:rPr>
              <w:sz w:val="22"/>
              <w:szCs w:val="28"/>
            </w:rPr>
            <w:fldChar w:fldCharType="begin"/>
          </w:r>
          <w:r>
            <w:rPr>
              <w:sz w:val="22"/>
              <w:szCs w:val="28"/>
            </w:rPr>
            <w:instrText xml:space="preserve"> PAGEREF _Toc18194 \h </w:instrText>
          </w:r>
          <w:r>
            <w:rPr>
              <w:sz w:val="22"/>
              <w:szCs w:val="28"/>
            </w:rPr>
            <w:fldChar w:fldCharType="separate"/>
          </w:r>
          <w:r>
            <w:rPr>
              <w:sz w:val="22"/>
              <w:szCs w:val="28"/>
            </w:rPr>
            <w:t>51</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_Toc15713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一、总 则</w:t>
          </w:r>
          <w:r>
            <w:rPr>
              <w:sz w:val="22"/>
              <w:szCs w:val="28"/>
            </w:rPr>
            <w:tab/>
          </w:r>
          <w:r>
            <w:rPr>
              <w:sz w:val="22"/>
              <w:szCs w:val="28"/>
            </w:rPr>
            <w:fldChar w:fldCharType="begin"/>
          </w:r>
          <w:r>
            <w:rPr>
              <w:sz w:val="22"/>
              <w:szCs w:val="28"/>
            </w:rPr>
            <w:instrText xml:space="preserve"> PAGEREF _Toc15713 \h </w:instrText>
          </w:r>
          <w:r>
            <w:rPr>
              <w:sz w:val="22"/>
              <w:szCs w:val="28"/>
            </w:rPr>
            <w:fldChar w:fldCharType="separate"/>
          </w:r>
          <w:r>
            <w:rPr>
              <w:sz w:val="22"/>
              <w:szCs w:val="28"/>
            </w:rPr>
            <w:t>54</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_Toc23152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二、评标组织</w:t>
          </w:r>
          <w:r>
            <w:rPr>
              <w:sz w:val="22"/>
              <w:szCs w:val="28"/>
            </w:rPr>
            <w:tab/>
          </w:r>
          <w:r>
            <w:rPr>
              <w:sz w:val="22"/>
              <w:szCs w:val="28"/>
            </w:rPr>
            <w:fldChar w:fldCharType="begin"/>
          </w:r>
          <w:r>
            <w:rPr>
              <w:sz w:val="22"/>
              <w:szCs w:val="28"/>
            </w:rPr>
            <w:instrText xml:space="preserve"> PAGEREF _Toc23152 \h </w:instrText>
          </w:r>
          <w:r>
            <w:rPr>
              <w:sz w:val="22"/>
              <w:szCs w:val="28"/>
            </w:rPr>
            <w:fldChar w:fldCharType="separate"/>
          </w:r>
          <w:r>
            <w:rPr>
              <w:sz w:val="22"/>
              <w:szCs w:val="28"/>
            </w:rPr>
            <w:t>54</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_Toc67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三、评标程序</w:t>
          </w:r>
          <w:r>
            <w:rPr>
              <w:sz w:val="22"/>
              <w:szCs w:val="28"/>
            </w:rPr>
            <w:tab/>
          </w:r>
          <w:r>
            <w:rPr>
              <w:sz w:val="22"/>
              <w:szCs w:val="28"/>
            </w:rPr>
            <w:fldChar w:fldCharType="begin"/>
          </w:r>
          <w:r>
            <w:rPr>
              <w:sz w:val="22"/>
              <w:szCs w:val="28"/>
            </w:rPr>
            <w:instrText xml:space="preserve"> PAGEREF _Toc67 \h </w:instrText>
          </w:r>
          <w:r>
            <w:rPr>
              <w:sz w:val="22"/>
              <w:szCs w:val="28"/>
            </w:rPr>
            <w:fldChar w:fldCharType="separate"/>
          </w:r>
          <w:r>
            <w:rPr>
              <w:sz w:val="22"/>
              <w:szCs w:val="28"/>
            </w:rPr>
            <w:t>54</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_Toc24825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四、评标办法</w:t>
          </w:r>
          <w:r>
            <w:rPr>
              <w:sz w:val="22"/>
              <w:szCs w:val="28"/>
            </w:rPr>
            <w:tab/>
          </w:r>
          <w:r>
            <w:rPr>
              <w:sz w:val="22"/>
              <w:szCs w:val="28"/>
            </w:rPr>
            <w:fldChar w:fldCharType="begin"/>
          </w:r>
          <w:r>
            <w:rPr>
              <w:sz w:val="22"/>
              <w:szCs w:val="28"/>
            </w:rPr>
            <w:instrText xml:space="preserve"> PAGEREF _Toc24825 \h </w:instrText>
          </w:r>
          <w:r>
            <w:rPr>
              <w:sz w:val="22"/>
              <w:szCs w:val="28"/>
            </w:rPr>
            <w:fldChar w:fldCharType="separate"/>
          </w:r>
          <w:r>
            <w:rPr>
              <w:sz w:val="22"/>
              <w:szCs w:val="28"/>
            </w:rPr>
            <w:t>54</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_Toc11450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rPr>
            <w:t xml:space="preserve">五、 </w:t>
          </w:r>
          <w:r>
            <w:rPr>
              <w:rFonts w:hint="eastAsia" w:ascii="宋体" w:hAnsi="宋体" w:eastAsia="宋体" w:cs="宋体"/>
              <w:sz w:val="22"/>
              <w:szCs w:val="24"/>
              <w:highlight w:val="none"/>
            </w:rPr>
            <w:t>评分细则</w:t>
          </w:r>
          <w:r>
            <w:rPr>
              <w:sz w:val="22"/>
              <w:szCs w:val="28"/>
            </w:rPr>
            <w:tab/>
          </w:r>
          <w:r>
            <w:rPr>
              <w:sz w:val="22"/>
              <w:szCs w:val="28"/>
            </w:rPr>
            <w:fldChar w:fldCharType="begin"/>
          </w:r>
          <w:r>
            <w:rPr>
              <w:sz w:val="22"/>
              <w:szCs w:val="28"/>
            </w:rPr>
            <w:instrText xml:space="preserve"> PAGEREF _Toc11450 \h </w:instrText>
          </w:r>
          <w:r>
            <w:rPr>
              <w:sz w:val="22"/>
              <w:szCs w:val="28"/>
            </w:rPr>
            <w:fldChar w:fldCharType="separate"/>
          </w:r>
          <w:r>
            <w:rPr>
              <w:sz w:val="22"/>
              <w:szCs w:val="28"/>
            </w:rPr>
            <w:t>54</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_Toc4727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六、定标办法</w:t>
          </w:r>
          <w:r>
            <w:rPr>
              <w:sz w:val="22"/>
              <w:szCs w:val="28"/>
            </w:rPr>
            <w:tab/>
          </w:r>
          <w:r>
            <w:rPr>
              <w:sz w:val="22"/>
              <w:szCs w:val="28"/>
            </w:rPr>
            <w:fldChar w:fldCharType="begin"/>
          </w:r>
          <w:r>
            <w:rPr>
              <w:sz w:val="22"/>
              <w:szCs w:val="28"/>
            </w:rPr>
            <w:instrText xml:space="preserve"> PAGEREF _Toc4727 \h </w:instrText>
          </w:r>
          <w:r>
            <w:rPr>
              <w:sz w:val="22"/>
              <w:szCs w:val="28"/>
            </w:rPr>
            <w:fldChar w:fldCharType="separate"/>
          </w:r>
          <w:r>
            <w:rPr>
              <w:sz w:val="22"/>
              <w:szCs w:val="28"/>
            </w:rPr>
            <w:t>56</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_Toc3629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七、投标人义务</w:t>
          </w:r>
          <w:r>
            <w:rPr>
              <w:sz w:val="22"/>
              <w:szCs w:val="28"/>
            </w:rPr>
            <w:tab/>
          </w:r>
          <w:r>
            <w:rPr>
              <w:sz w:val="22"/>
              <w:szCs w:val="28"/>
            </w:rPr>
            <w:fldChar w:fldCharType="begin"/>
          </w:r>
          <w:r>
            <w:rPr>
              <w:sz w:val="22"/>
              <w:szCs w:val="28"/>
            </w:rPr>
            <w:instrText xml:space="preserve"> PAGEREF _Toc3629 \h </w:instrText>
          </w:r>
          <w:r>
            <w:rPr>
              <w:sz w:val="22"/>
              <w:szCs w:val="28"/>
            </w:rPr>
            <w:fldChar w:fldCharType="separate"/>
          </w:r>
          <w:r>
            <w:rPr>
              <w:sz w:val="22"/>
              <w:szCs w:val="28"/>
            </w:rPr>
            <w:t>56</w:t>
          </w:r>
          <w:r>
            <w:rPr>
              <w:sz w:val="22"/>
              <w:szCs w:val="28"/>
            </w:rPr>
            <w:fldChar w:fldCharType="end"/>
          </w:r>
          <w:r>
            <w:rPr>
              <w:rFonts w:hint="eastAsia" w:ascii="宋体" w:hAnsi="宋体" w:eastAsia="宋体" w:cs="宋体"/>
              <w:color w:val="auto"/>
              <w:sz w:val="22"/>
              <w:szCs w:val="40"/>
              <w:highlight w:val="none"/>
            </w:rPr>
            <w:fldChar w:fldCharType="end"/>
          </w:r>
        </w:p>
        <w:p>
          <w:pPr>
            <w:spacing w:line="360" w:lineRule="auto"/>
            <w:ind w:firstLine="1870" w:firstLineChars="850"/>
            <w:rPr>
              <w:rFonts w:hint="eastAsia" w:ascii="宋体" w:hAnsi="宋体" w:eastAsia="宋体" w:cs="宋体"/>
              <w:b/>
              <w:color w:val="auto"/>
              <w:sz w:val="36"/>
              <w:szCs w:val="36"/>
              <w:highlight w:val="none"/>
            </w:rPr>
          </w:pPr>
          <w:r>
            <w:rPr>
              <w:rFonts w:hint="eastAsia" w:ascii="宋体" w:hAnsi="宋体" w:eastAsia="宋体" w:cs="宋体"/>
              <w:color w:val="auto"/>
              <w:sz w:val="22"/>
              <w:szCs w:val="40"/>
              <w:highlight w:val="none"/>
            </w:rPr>
            <w:fldChar w:fldCharType="end"/>
          </w:r>
        </w:p>
      </w:sdtContent>
    </w:sdt>
    <w:p>
      <w:pPr>
        <w:spacing w:line="360" w:lineRule="auto"/>
        <w:jc w:val="center"/>
        <w:rPr>
          <w:rFonts w:hint="eastAsia" w:ascii="宋体" w:hAnsi="宋体" w:eastAsia="宋体" w:cs="宋体"/>
          <w:b/>
          <w:color w:val="auto"/>
          <w:sz w:val="22"/>
          <w:szCs w:val="22"/>
          <w:highlight w:val="none"/>
        </w:rPr>
      </w:pPr>
    </w:p>
    <w:p>
      <w:pPr>
        <w:pStyle w:val="4"/>
        <w:bidi w:val="0"/>
        <w:rPr>
          <w:rFonts w:hint="eastAsia" w:ascii="宋体" w:hAnsi="宋体" w:eastAsia="宋体" w:cs="宋体"/>
          <w:b/>
          <w:color w:val="auto"/>
          <w:highlight w:val="none"/>
        </w:rPr>
      </w:pPr>
      <w:bookmarkStart w:id="0" w:name="_Toc32649"/>
      <w:bookmarkStart w:id="1" w:name="_Toc6599"/>
      <w:r>
        <w:rPr>
          <w:rFonts w:hint="eastAsia" w:ascii="宋体" w:hAnsi="宋体" w:eastAsia="宋体" w:cs="宋体"/>
        </w:rPr>
        <w:t>招</w:t>
      </w:r>
      <w:r>
        <w:rPr>
          <w:rFonts w:hint="eastAsia" w:ascii="宋体" w:hAnsi="宋体" w:eastAsia="宋体" w:cs="宋体"/>
          <w:lang w:val="en-US" w:eastAsia="zh-CN"/>
        </w:rPr>
        <w:t xml:space="preserve"> </w:t>
      </w:r>
      <w:r>
        <w:rPr>
          <w:rFonts w:hint="eastAsia" w:ascii="宋体" w:hAnsi="宋体" w:eastAsia="宋体" w:cs="宋体"/>
        </w:rPr>
        <w:t>标</w:t>
      </w:r>
      <w:r>
        <w:rPr>
          <w:rFonts w:hint="eastAsia" w:ascii="宋体" w:hAnsi="宋体" w:eastAsia="宋体" w:cs="宋体"/>
          <w:lang w:val="en-US" w:eastAsia="zh-CN"/>
        </w:rPr>
        <w:t xml:space="preserve"> </w:t>
      </w:r>
      <w:r>
        <w:rPr>
          <w:rFonts w:hint="eastAsia" w:ascii="宋体" w:hAnsi="宋体" w:eastAsia="宋体" w:cs="宋体"/>
        </w:rPr>
        <w:t>公</w:t>
      </w:r>
      <w:r>
        <w:rPr>
          <w:rFonts w:hint="eastAsia" w:ascii="宋体" w:hAnsi="宋体" w:eastAsia="宋体" w:cs="宋体"/>
          <w:lang w:val="en-US" w:eastAsia="zh-CN"/>
        </w:rPr>
        <w:t xml:space="preserve"> </w:t>
      </w:r>
      <w:r>
        <w:rPr>
          <w:rFonts w:hint="eastAsia" w:ascii="宋体" w:hAnsi="宋体" w:eastAsia="宋体" w:cs="宋体"/>
        </w:rPr>
        <w:t>告</w:t>
      </w:r>
      <w:bookmarkEnd w:id="0"/>
      <w:bookmarkEnd w:id="1"/>
    </w:p>
    <w:p>
      <w:pPr>
        <w:tabs>
          <w:tab w:val="left" w:pos="360"/>
        </w:tabs>
        <w:spacing w:line="4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项目概况</w:t>
      </w:r>
    </w:p>
    <w:p>
      <w:pPr>
        <w:tabs>
          <w:tab w:val="left" w:pos="360"/>
        </w:tabs>
        <w:spacing w:line="460" w:lineRule="exact"/>
        <w:ind w:firstLine="550" w:firstLineChars="250"/>
        <w:rPr>
          <w:rFonts w:hint="eastAsia"/>
          <w:b/>
          <w:bCs/>
          <w:sz w:val="22"/>
          <w:szCs w:val="22"/>
          <w:u w:val="none"/>
        </w:rPr>
      </w:pPr>
      <w:r>
        <w:rPr>
          <w:rFonts w:hint="eastAsia" w:ascii="宋体" w:hAnsi="宋体" w:cs="宋体"/>
          <w:color w:val="auto"/>
          <w:sz w:val="22"/>
          <w:highlight w:val="none"/>
          <w:lang w:eastAsia="zh-CN"/>
        </w:rPr>
        <w:t>全自动血型仪检测系统耗材（试剂）及配套设备租赁</w:t>
      </w:r>
      <w:r>
        <w:rPr>
          <w:rFonts w:hint="eastAsia" w:ascii="宋体" w:hAnsi="宋体" w:eastAsia="宋体" w:cs="宋体"/>
          <w:color w:val="auto"/>
          <w:sz w:val="22"/>
          <w:highlight w:val="none"/>
        </w:rPr>
        <w:t>招标项目的潜在投标人应在浙江政府采购网获取（下载）招标文件，</w:t>
      </w:r>
      <w:r>
        <w:rPr>
          <w:rFonts w:hint="eastAsia" w:ascii="宋体" w:hAnsi="宋体" w:eastAsia="宋体" w:cs="宋体"/>
          <w:color w:val="000000" w:themeColor="text1"/>
          <w:sz w:val="22"/>
          <w:highlight w:val="none"/>
          <w14:textFill>
            <w14:solidFill>
              <w14:schemeClr w14:val="tx1"/>
            </w14:solidFill>
          </w14:textFill>
        </w:rPr>
        <w:t>并于</w:t>
      </w:r>
      <w:r>
        <w:rPr>
          <w:rFonts w:hint="eastAsia" w:ascii="宋体" w:hAnsi="宋体" w:cs="宋体"/>
          <w:color w:val="000000" w:themeColor="text1"/>
          <w:sz w:val="22"/>
          <w:highlight w:val="none"/>
          <w:lang w:eastAsia="zh-CN"/>
          <w14:textFill>
            <w14:solidFill>
              <w14:schemeClr w14:val="tx1"/>
            </w14:solidFill>
          </w14:textFill>
        </w:rPr>
        <w:t>202</w:t>
      </w:r>
      <w:r>
        <w:rPr>
          <w:rFonts w:hint="eastAsia" w:ascii="宋体" w:hAnsi="宋体" w:cs="宋体"/>
          <w:color w:val="000000" w:themeColor="text1"/>
          <w:sz w:val="22"/>
          <w:highlight w:val="none"/>
          <w:lang w:val="en-US" w:eastAsia="zh-CN"/>
          <w14:textFill>
            <w14:solidFill>
              <w14:schemeClr w14:val="tx1"/>
            </w14:solidFill>
          </w14:textFill>
        </w:rPr>
        <w:t>3</w:t>
      </w:r>
      <w:r>
        <w:rPr>
          <w:rFonts w:hint="eastAsia" w:ascii="宋体" w:hAnsi="宋体" w:cs="宋体"/>
          <w:color w:val="000000" w:themeColor="text1"/>
          <w:sz w:val="22"/>
          <w:highlight w:val="none"/>
          <w:lang w:eastAsia="zh-CN"/>
          <w14:textFill>
            <w14:solidFill>
              <w14:schemeClr w14:val="tx1"/>
            </w14:solidFill>
          </w14:textFill>
        </w:rPr>
        <w:t>年</w:t>
      </w:r>
      <w:r>
        <w:rPr>
          <w:rFonts w:hint="eastAsia" w:ascii="宋体" w:hAnsi="宋体" w:cs="宋体"/>
          <w:color w:val="000000" w:themeColor="text1"/>
          <w:sz w:val="22"/>
          <w:highlight w:val="none"/>
          <w:lang w:val="en-US" w:eastAsia="zh-CN"/>
          <w14:textFill>
            <w14:solidFill>
              <w14:schemeClr w14:val="tx1"/>
            </w14:solidFill>
          </w14:textFill>
        </w:rPr>
        <w:t>05</w:t>
      </w:r>
      <w:r>
        <w:rPr>
          <w:rFonts w:hint="eastAsia" w:ascii="宋体" w:hAnsi="宋体" w:eastAsia="宋体" w:cs="宋体"/>
          <w:color w:val="000000" w:themeColor="text1"/>
          <w:sz w:val="22"/>
          <w:highlight w:val="none"/>
          <w14:textFill>
            <w14:solidFill>
              <w14:schemeClr w14:val="tx1"/>
            </w14:solidFill>
          </w14:textFill>
        </w:rPr>
        <w:t>月</w:t>
      </w:r>
      <w:r>
        <w:rPr>
          <w:rFonts w:hint="eastAsia" w:ascii="宋体" w:hAnsi="宋体" w:cs="宋体"/>
          <w:color w:val="000000" w:themeColor="text1"/>
          <w:sz w:val="22"/>
          <w:highlight w:val="none"/>
          <w:lang w:val="en-US" w:eastAsia="zh-CN"/>
          <w14:textFill>
            <w14:solidFill>
              <w14:schemeClr w14:val="tx1"/>
            </w14:solidFill>
          </w14:textFill>
        </w:rPr>
        <w:t>10</w:t>
      </w:r>
      <w:r>
        <w:rPr>
          <w:rFonts w:hint="eastAsia" w:ascii="宋体" w:hAnsi="宋体" w:eastAsia="宋体" w:cs="宋体"/>
          <w:color w:val="000000" w:themeColor="text1"/>
          <w:sz w:val="22"/>
          <w:highlight w:val="none"/>
          <w14:textFill>
            <w14:solidFill>
              <w14:schemeClr w14:val="tx1"/>
            </w14:solidFill>
          </w14:textFill>
        </w:rPr>
        <w:t>日</w:t>
      </w:r>
      <w:r>
        <w:rPr>
          <w:rFonts w:hint="eastAsia" w:ascii="宋体" w:hAnsi="宋体" w:cs="宋体"/>
          <w:color w:val="000000" w:themeColor="text1"/>
          <w:sz w:val="22"/>
          <w:highlight w:val="none"/>
          <w:lang w:val="en-US" w:eastAsia="zh-CN"/>
          <w14:textFill>
            <w14:solidFill>
              <w14:schemeClr w14:val="tx1"/>
            </w14:solidFill>
          </w14:textFill>
        </w:rPr>
        <w:t xml:space="preserve">09 </w:t>
      </w:r>
      <w:r>
        <w:rPr>
          <w:rFonts w:hint="eastAsia" w:ascii="宋体" w:hAnsi="宋体" w:eastAsia="宋体" w:cs="宋体"/>
          <w:color w:val="000000" w:themeColor="text1"/>
          <w:sz w:val="22"/>
          <w:highlight w:val="none"/>
          <w14:textFill>
            <w14:solidFill>
              <w14:schemeClr w14:val="tx1"/>
            </w14:solidFill>
          </w14:textFill>
        </w:rPr>
        <w:t>:30（北京时间）前递交（上传）投标文件。</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lang w:val="en-US" w:eastAsia="zh-CN"/>
        </w:rPr>
      </w:pPr>
      <w:r>
        <w:rPr>
          <w:rFonts w:hint="eastAsia"/>
          <w:b/>
          <w:bCs/>
          <w:sz w:val="22"/>
          <w:szCs w:val="22"/>
          <w:u w:val="none"/>
        </w:rPr>
        <w:t>一、项目基本情况</w:t>
      </w:r>
      <w:r>
        <w:rPr>
          <w:rFonts w:hint="eastAsia"/>
          <w:sz w:val="22"/>
          <w:szCs w:val="22"/>
          <w:u w:val="none"/>
          <w:lang w:val="en-US" w:eastAsia="zh-CN"/>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项目编号：</w:t>
      </w:r>
      <w:r>
        <w:rPr>
          <w:rFonts w:hint="eastAsia"/>
          <w:sz w:val="22"/>
          <w:szCs w:val="22"/>
          <w:u w:val="none"/>
          <w:lang w:eastAsia="zh-CN"/>
        </w:rPr>
        <w:t>WZLCZB（W）-2023-04174</w:t>
      </w:r>
      <w:r>
        <w:rPr>
          <w:rFonts w:hint="eastAsia"/>
          <w:sz w:val="22"/>
          <w:szCs w:val="22"/>
          <w:u w:val="none"/>
          <w:lang w:val="en-US" w:eastAsia="zh-CN"/>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eastAsia="zh-CN"/>
        </w:rPr>
      </w:pPr>
      <w:r>
        <w:rPr>
          <w:rFonts w:hint="eastAsia"/>
          <w:sz w:val="22"/>
          <w:szCs w:val="22"/>
          <w:u w:val="none"/>
          <w:lang w:val="en-US" w:eastAsia="zh-CN"/>
        </w:rPr>
        <w:t>项目名称：</w:t>
      </w:r>
      <w:r>
        <w:rPr>
          <w:rFonts w:hint="eastAsia"/>
          <w:sz w:val="22"/>
          <w:szCs w:val="22"/>
          <w:u w:val="none"/>
          <w:lang w:eastAsia="zh-CN"/>
        </w:rPr>
        <w:t>全自动血型仪检测系统耗材（试剂）及配套设备租赁</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ascii="新宋体" w:hAnsi="新宋体" w:eastAsia="新宋体" w:cs="新宋体"/>
          <w:color w:val="000000"/>
          <w:sz w:val="22"/>
          <w:highlight w:val="none"/>
        </w:rPr>
        <w:t>采购需求：</w:t>
      </w:r>
    </w:p>
    <w:tbl>
      <w:tblPr>
        <w:tblStyle w:val="53"/>
        <w:tblW w:w="9500" w:type="dxa"/>
        <w:tblInd w:w="5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4240"/>
        <w:gridCol w:w="946"/>
        <w:gridCol w:w="2066"/>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92" w:type="dxa"/>
            <w:noWrap w:val="0"/>
            <w:vAlign w:val="top"/>
          </w:tcPr>
          <w:p>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color w:val="000000" w:themeColor="text1"/>
                <w:sz w:val="22"/>
                <w:szCs w:val="22"/>
                <w:lang w:eastAsia="zh-CN"/>
                <w14:textFill>
                  <w14:solidFill>
                    <w14:schemeClr w14:val="tx1"/>
                  </w14:solidFill>
                </w14:textFill>
              </w:rPr>
            </w:pPr>
            <w:r>
              <w:rPr>
                <w:rFonts w:hint="eastAsia" w:ascii="新宋体" w:hAnsi="新宋体" w:eastAsia="新宋体" w:cs="新宋体"/>
                <w:b/>
                <w:color w:val="000000" w:themeColor="text1"/>
                <w:sz w:val="22"/>
                <w:szCs w:val="22"/>
                <w:lang w:val="en-US" w:eastAsia="zh-CN"/>
                <w14:textFill>
                  <w14:solidFill>
                    <w14:schemeClr w14:val="tx1"/>
                  </w14:solidFill>
                </w14:textFill>
              </w:rPr>
              <w:t>标项</w:t>
            </w:r>
          </w:p>
        </w:tc>
        <w:tc>
          <w:tcPr>
            <w:tcW w:w="4240" w:type="dxa"/>
            <w:noWrap w:val="0"/>
            <w:vAlign w:val="top"/>
          </w:tcPr>
          <w:p>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color w:val="000000" w:themeColor="text1"/>
                <w:sz w:val="22"/>
                <w:szCs w:val="22"/>
                <w:lang w:eastAsia="zh-CN"/>
                <w14:textFill>
                  <w14:solidFill>
                    <w14:schemeClr w14:val="tx1"/>
                  </w14:solidFill>
                </w14:textFill>
              </w:rPr>
            </w:pPr>
            <w:r>
              <w:rPr>
                <w:rFonts w:hint="eastAsia" w:ascii="新宋体" w:hAnsi="新宋体" w:eastAsia="新宋体" w:cs="新宋体"/>
                <w:b/>
                <w:color w:val="000000" w:themeColor="text1"/>
                <w:sz w:val="22"/>
                <w:szCs w:val="22"/>
                <w:lang w:val="en-US" w:eastAsia="zh-CN"/>
                <w14:textFill>
                  <w14:solidFill>
                    <w14:schemeClr w14:val="tx1"/>
                  </w14:solidFill>
                </w14:textFill>
              </w:rPr>
              <w:t>名称</w:t>
            </w:r>
          </w:p>
        </w:tc>
        <w:tc>
          <w:tcPr>
            <w:tcW w:w="946" w:type="dxa"/>
            <w:noWrap w:val="0"/>
            <w:vAlign w:val="top"/>
          </w:tcPr>
          <w:p>
            <w:pPr>
              <w:keepNext w:val="0"/>
              <w:keepLines w:val="0"/>
              <w:pageBreakBefore w:val="0"/>
              <w:tabs>
                <w:tab w:val="left" w:pos="360"/>
              </w:tabs>
              <w:kinsoku/>
              <w:wordWrap/>
              <w:topLinePunct w:val="0"/>
              <w:bidi w:val="0"/>
              <w:spacing w:line="460" w:lineRule="exact"/>
              <w:jc w:val="center"/>
              <w:rPr>
                <w:rFonts w:ascii="新宋体" w:hAnsi="新宋体" w:eastAsia="新宋体" w:cs="新宋体"/>
                <w:b/>
                <w:color w:val="000000" w:themeColor="text1"/>
                <w:sz w:val="22"/>
                <w:szCs w:val="22"/>
                <w14:textFill>
                  <w14:solidFill>
                    <w14:schemeClr w14:val="tx1"/>
                  </w14:solidFill>
                </w14:textFill>
              </w:rPr>
            </w:pPr>
            <w:r>
              <w:rPr>
                <w:rFonts w:hint="eastAsia" w:ascii="新宋体" w:hAnsi="新宋体" w:eastAsia="新宋体" w:cs="新宋体"/>
                <w:b/>
                <w:color w:val="000000" w:themeColor="text1"/>
                <w:sz w:val="22"/>
                <w:szCs w:val="22"/>
                <w14:textFill>
                  <w14:solidFill>
                    <w14:schemeClr w14:val="tx1"/>
                  </w14:solidFill>
                </w14:textFill>
              </w:rPr>
              <w:t>数量</w:t>
            </w:r>
          </w:p>
        </w:tc>
        <w:tc>
          <w:tcPr>
            <w:tcW w:w="2066" w:type="dxa"/>
            <w:noWrap w:val="0"/>
            <w:vAlign w:val="top"/>
          </w:tcPr>
          <w:p>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color w:val="000000" w:themeColor="text1"/>
                <w:sz w:val="22"/>
                <w:szCs w:val="22"/>
                <w:lang w:eastAsia="zh-CN"/>
                <w14:textFill>
                  <w14:solidFill>
                    <w14:schemeClr w14:val="tx1"/>
                  </w14:solidFill>
                </w14:textFill>
              </w:rPr>
            </w:pPr>
            <w:r>
              <w:rPr>
                <w:rFonts w:hint="eastAsia" w:ascii="新宋体" w:hAnsi="新宋体" w:eastAsia="新宋体" w:cs="新宋体"/>
                <w:b/>
                <w:color w:val="000000" w:themeColor="text1"/>
                <w:sz w:val="22"/>
                <w:szCs w:val="22"/>
                <w:lang w:val="en-US" w:eastAsia="zh-CN"/>
                <w14:textFill>
                  <w14:solidFill>
                    <w14:schemeClr w14:val="tx1"/>
                  </w14:solidFill>
                </w14:textFill>
              </w:rPr>
              <w:t>预算金额</w:t>
            </w:r>
          </w:p>
        </w:tc>
        <w:tc>
          <w:tcPr>
            <w:tcW w:w="1456" w:type="dxa"/>
            <w:noWrap w:val="0"/>
            <w:vAlign w:val="top"/>
          </w:tcPr>
          <w:p>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color w:val="000000" w:themeColor="text1"/>
                <w:sz w:val="22"/>
                <w:szCs w:val="22"/>
                <w:lang w:val="en-US" w:eastAsia="zh-CN"/>
                <w14:textFill>
                  <w14:solidFill>
                    <w14:schemeClr w14:val="tx1"/>
                  </w14:solidFill>
                </w14:textFill>
              </w:rPr>
            </w:pPr>
            <w:r>
              <w:rPr>
                <w:rFonts w:hint="eastAsia" w:ascii="新宋体" w:hAnsi="新宋体" w:eastAsia="新宋体" w:cs="新宋体"/>
                <w:b/>
                <w:color w:val="000000" w:themeColor="text1"/>
                <w:sz w:val="22"/>
                <w:szCs w:val="22"/>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92" w:type="dxa"/>
            <w:vMerge w:val="restart"/>
            <w:noWrap w:val="0"/>
            <w:vAlign w:val="center"/>
          </w:tcPr>
          <w:p>
            <w:pPr>
              <w:keepNext w:val="0"/>
              <w:keepLines w:val="0"/>
              <w:pageBreakBefore w:val="0"/>
              <w:tabs>
                <w:tab w:val="left" w:pos="360"/>
              </w:tabs>
              <w:kinsoku/>
              <w:wordWrap/>
              <w:topLinePunct w:val="0"/>
              <w:bidi w:val="0"/>
              <w:spacing w:line="460" w:lineRule="exact"/>
              <w:jc w:val="center"/>
              <w:rPr>
                <w:rFonts w:ascii="新宋体" w:hAnsi="新宋体" w:eastAsia="新宋体" w:cs="新宋体"/>
                <w:b w:val="0"/>
                <w:bCs/>
                <w:color w:val="000000" w:themeColor="text1"/>
                <w:sz w:val="22"/>
                <w:szCs w:val="22"/>
                <w14:textFill>
                  <w14:solidFill>
                    <w14:schemeClr w14:val="tx1"/>
                  </w14:solidFill>
                </w14:textFill>
              </w:rPr>
            </w:pPr>
            <w:r>
              <w:rPr>
                <w:rFonts w:hint="eastAsia" w:ascii="新宋体" w:hAnsi="新宋体" w:eastAsia="新宋体" w:cs="新宋体"/>
                <w:b w:val="0"/>
                <w:bCs/>
                <w:color w:val="000000" w:themeColor="text1"/>
                <w:sz w:val="22"/>
                <w:szCs w:val="22"/>
                <w14:textFill>
                  <w14:solidFill>
                    <w14:schemeClr w14:val="tx1"/>
                  </w14:solidFill>
                </w14:textFill>
              </w:rPr>
              <w:t>1</w:t>
            </w:r>
          </w:p>
        </w:tc>
        <w:tc>
          <w:tcPr>
            <w:tcW w:w="4240" w:type="dxa"/>
            <w:noWrap w:val="0"/>
            <w:vAlign w:val="center"/>
          </w:tcPr>
          <w:p>
            <w:pPr>
              <w:pStyle w:val="30"/>
              <w:keepNext w:val="0"/>
              <w:keepLines w:val="0"/>
              <w:pageBreakBefore w:val="0"/>
              <w:kinsoku/>
              <w:wordWrap/>
              <w:topLinePunct w:val="0"/>
              <w:bidi w:val="0"/>
              <w:snapToGrid w:val="0"/>
              <w:spacing w:line="460" w:lineRule="exact"/>
              <w:jc w:val="center"/>
              <w:rPr>
                <w:rFonts w:hint="eastAsia" w:ascii="新宋体" w:hAnsi="新宋体" w:eastAsia="新宋体" w:cs="新宋体"/>
                <w:b w:val="0"/>
                <w:bCs/>
                <w:color w:val="000000" w:themeColor="text1"/>
                <w:sz w:val="22"/>
                <w:szCs w:val="22"/>
                <w:highlight w:val="none"/>
                <w14:textFill>
                  <w14:solidFill>
                    <w14:schemeClr w14:val="tx1"/>
                  </w14:solidFill>
                </w14:textFill>
              </w:rPr>
            </w:pPr>
            <w:r>
              <w:rPr>
                <w:rFonts w:hint="eastAsia" w:ascii="新宋体" w:hAnsi="新宋体" w:eastAsia="新宋体"/>
                <w:b w:val="0"/>
                <w:bCs/>
                <w:kern w:val="2"/>
                <w:sz w:val="22"/>
                <w:szCs w:val="22"/>
              </w:rPr>
              <w:t>全自动血型仪检测系统耗材（试剂）及配套设备租赁</w:t>
            </w:r>
          </w:p>
        </w:tc>
        <w:tc>
          <w:tcPr>
            <w:tcW w:w="946" w:type="dxa"/>
            <w:noWrap w:val="0"/>
            <w:vAlign w:val="center"/>
          </w:tcPr>
          <w:p>
            <w:pPr>
              <w:pStyle w:val="30"/>
              <w:keepNext w:val="0"/>
              <w:keepLines w:val="0"/>
              <w:pageBreakBefore w:val="0"/>
              <w:kinsoku/>
              <w:wordWrap/>
              <w:topLinePunct w:val="0"/>
              <w:bidi w:val="0"/>
              <w:snapToGrid w:val="0"/>
              <w:spacing w:line="460" w:lineRule="exact"/>
              <w:jc w:val="center"/>
              <w:rPr>
                <w:rFonts w:ascii="新宋体" w:hAnsi="新宋体" w:eastAsia="新宋体" w:cs="新宋体"/>
                <w:b w:val="0"/>
                <w:bCs/>
                <w:color w:val="000000" w:themeColor="text1"/>
                <w:sz w:val="22"/>
                <w:szCs w:val="22"/>
                <w:highlight w:val="none"/>
                <w14:textFill>
                  <w14:solidFill>
                    <w14:schemeClr w14:val="tx1"/>
                  </w14:solidFill>
                </w14:textFill>
              </w:rPr>
            </w:pPr>
            <w:r>
              <w:rPr>
                <w:rFonts w:hint="eastAsia" w:ascii="新宋体" w:hAnsi="新宋体" w:eastAsia="新宋体"/>
                <w:b w:val="0"/>
                <w:bCs/>
                <w:kern w:val="2"/>
                <w:sz w:val="22"/>
                <w:szCs w:val="22"/>
                <w:lang w:val="en-US" w:eastAsia="zh-CN"/>
              </w:rPr>
              <w:t>1</w:t>
            </w:r>
            <w:r>
              <w:rPr>
                <w:rFonts w:hint="eastAsia" w:ascii="新宋体" w:hAnsi="新宋体" w:eastAsia="新宋体"/>
                <w:b w:val="0"/>
                <w:bCs/>
                <w:kern w:val="2"/>
                <w:sz w:val="22"/>
                <w:szCs w:val="22"/>
              </w:rPr>
              <w:t>套</w:t>
            </w:r>
          </w:p>
        </w:tc>
        <w:tc>
          <w:tcPr>
            <w:tcW w:w="2066" w:type="dxa"/>
            <w:noWrap w:val="0"/>
            <w:vAlign w:val="center"/>
          </w:tcPr>
          <w:p>
            <w:pPr>
              <w:pStyle w:val="30"/>
              <w:keepNext w:val="0"/>
              <w:keepLines w:val="0"/>
              <w:pageBreakBefore w:val="0"/>
              <w:kinsoku/>
              <w:wordWrap/>
              <w:topLinePunct w:val="0"/>
              <w:bidi w:val="0"/>
              <w:snapToGrid w:val="0"/>
              <w:spacing w:line="460" w:lineRule="exact"/>
              <w:jc w:val="center"/>
              <w:rPr>
                <w:rFonts w:hint="eastAsia" w:ascii="新宋体" w:hAnsi="新宋体" w:eastAsia="新宋体" w:cs="新宋体"/>
                <w:b w:val="0"/>
                <w:bCs/>
                <w:color w:val="000000" w:themeColor="text1"/>
                <w:sz w:val="22"/>
                <w:szCs w:val="22"/>
                <w:highlight w:val="none"/>
                <w14:textFill>
                  <w14:solidFill>
                    <w14:schemeClr w14:val="tx1"/>
                  </w14:solidFill>
                </w14:textFill>
              </w:rPr>
            </w:pPr>
            <w:r>
              <w:rPr>
                <w:rFonts w:hint="eastAsia" w:ascii="新宋体" w:hAnsi="新宋体" w:eastAsia="新宋体"/>
                <w:b w:val="0"/>
                <w:bCs/>
                <w:kern w:val="2"/>
                <w:sz w:val="22"/>
                <w:szCs w:val="22"/>
                <w:lang w:val="en-US" w:eastAsia="zh-CN"/>
              </w:rPr>
              <w:t>400000</w:t>
            </w:r>
            <w:r>
              <w:rPr>
                <w:rFonts w:hint="eastAsia" w:ascii="新宋体" w:hAnsi="新宋体" w:eastAsia="新宋体"/>
                <w:b w:val="0"/>
                <w:bCs/>
                <w:kern w:val="2"/>
                <w:sz w:val="22"/>
                <w:szCs w:val="22"/>
              </w:rPr>
              <w:t>元</w:t>
            </w:r>
          </w:p>
        </w:tc>
        <w:tc>
          <w:tcPr>
            <w:tcW w:w="1456" w:type="dxa"/>
            <w:vMerge w:val="restart"/>
            <w:noWrap w:val="0"/>
            <w:vAlign w:val="center"/>
          </w:tcPr>
          <w:p>
            <w:pPr>
              <w:keepNext w:val="0"/>
              <w:keepLines w:val="0"/>
              <w:pageBreakBefore w:val="0"/>
              <w:tabs>
                <w:tab w:val="left" w:pos="360"/>
              </w:tabs>
              <w:kinsoku/>
              <w:wordWrap/>
              <w:topLinePunct w:val="0"/>
              <w:bidi w:val="0"/>
              <w:spacing w:line="460" w:lineRule="exact"/>
              <w:jc w:val="center"/>
              <w:rPr>
                <w:rFonts w:hint="default" w:ascii="新宋体" w:hAnsi="新宋体" w:eastAsia="新宋体" w:cs="新宋体"/>
                <w:b w:val="0"/>
                <w:bCs/>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不允许进口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92" w:type="dxa"/>
            <w:vMerge w:val="continue"/>
            <w:noWrap w:val="0"/>
            <w:vAlign w:val="center"/>
          </w:tcPr>
          <w:p>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val="0"/>
                <w:bCs/>
                <w:color w:val="000000" w:themeColor="text1"/>
                <w:sz w:val="22"/>
                <w:szCs w:val="22"/>
                <w:lang w:val="en-US" w:eastAsia="zh-CN"/>
                <w14:textFill>
                  <w14:solidFill>
                    <w14:schemeClr w14:val="tx1"/>
                  </w14:solidFill>
                </w14:textFill>
              </w:rPr>
            </w:pPr>
          </w:p>
        </w:tc>
        <w:tc>
          <w:tcPr>
            <w:tcW w:w="4240" w:type="dxa"/>
            <w:noWrap w:val="0"/>
            <w:vAlign w:val="center"/>
          </w:tcPr>
          <w:p>
            <w:pPr>
              <w:pStyle w:val="30"/>
              <w:keepNext w:val="0"/>
              <w:keepLines w:val="0"/>
              <w:pageBreakBefore w:val="0"/>
              <w:kinsoku/>
              <w:wordWrap/>
              <w:topLinePunct w:val="0"/>
              <w:bidi w:val="0"/>
              <w:snapToGrid w:val="0"/>
              <w:spacing w:line="460" w:lineRule="exact"/>
              <w:jc w:val="center"/>
              <w:rPr>
                <w:rFonts w:hint="eastAsia" w:ascii="新宋体" w:hAnsi="新宋体" w:eastAsia="新宋体" w:cs="新宋体"/>
                <w:b w:val="0"/>
                <w:bCs/>
                <w:color w:val="000000" w:themeColor="text1"/>
                <w:sz w:val="22"/>
                <w:szCs w:val="22"/>
                <w:highlight w:val="none"/>
                <w:lang w:eastAsia="zh-CN"/>
                <w14:textFill>
                  <w14:solidFill>
                    <w14:schemeClr w14:val="tx1"/>
                  </w14:solidFill>
                </w14:textFill>
              </w:rPr>
            </w:pPr>
            <w:r>
              <w:rPr>
                <w:rFonts w:hint="eastAsia" w:ascii="新宋体" w:hAnsi="新宋体" w:eastAsia="新宋体"/>
                <w:b w:val="0"/>
                <w:bCs/>
                <w:kern w:val="2"/>
                <w:sz w:val="22"/>
                <w:szCs w:val="22"/>
              </w:rPr>
              <w:t>全自动血型仪检测系统耗材（试剂）</w:t>
            </w:r>
          </w:p>
        </w:tc>
        <w:tc>
          <w:tcPr>
            <w:tcW w:w="946" w:type="dxa"/>
            <w:noWrap w:val="0"/>
            <w:vAlign w:val="center"/>
          </w:tcPr>
          <w:p>
            <w:pPr>
              <w:pStyle w:val="30"/>
              <w:keepNext w:val="0"/>
              <w:keepLines w:val="0"/>
              <w:pageBreakBefore w:val="0"/>
              <w:kinsoku/>
              <w:wordWrap/>
              <w:topLinePunct w:val="0"/>
              <w:bidi w:val="0"/>
              <w:snapToGrid w:val="0"/>
              <w:spacing w:line="460" w:lineRule="exact"/>
              <w:jc w:val="center"/>
              <w:rPr>
                <w:rFonts w:ascii="新宋体" w:hAnsi="新宋体" w:eastAsia="新宋体" w:cs="新宋体"/>
                <w:b w:val="0"/>
                <w:bCs/>
                <w:color w:val="000000" w:themeColor="text1"/>
                <w:sz w:val="22"/>
                <w:szCs w:val="22"/>
                <w:highlight w:val="none"/>
                <w14:textFill>
                  <w14:solidFill>
                    <w14:schemeClr w14:val="tx1"/>
                  </w14:solidFill>
                </w14:textFill>
              </w:rPr>
            </w:pPr>
            <w:r>
              <w:rPr>
                <w:rFonts w:hint="eastAsia" w:ascii="新宋体" w:hAnsi="新宋体" w:eastAsia="新宋体"/>
                <w:b w:val="0"/>
                <w:bCs/>
                <w:kern w:val="2"/>
                <w:sz w:val="22"/>
                <w:szCs w:val="22"/>
                <w:lang w:val="en-US" w:eastAsia="zh-CN"/>
              </w:rPr>
              <w:t>1</w:t>
            </w:r>
            <w:r>
              <w:rPr>
                <w:rFonts w:hint="eastAsia" w:ascii="新宋体" w:hAnsi="新宋体" w:eastAsia="新宋体"/>
                <w:b w:val="0"/>
                <w:bCs/>
                <w:kern w:val="2"/>
                <w:sz w:val="22"/>
                <w:szCs w:val="22"/>
              </w:rPr>
              <w:t>项</w:t>
            </w:r>
          </w:p>
        </w:tc>
        <w:tc>
          <w:tcPr>
            <w:tcW w:w="2066" w:type="dxa"/>
            <w:noWrap w:val="0"/>
            <w:vAlign w:val="center"/>
          </w:tcPr>
          <w:p>
            <w:pPr>
              <w:pStyle w:val="30"/>
              <w:keepNext w:val="0"/>
              <w:keepLines w:val="0"/>
              <w:pageBreakBefore w:val="0"/>
              <w:kinsoku/>
              <w:wordWrap/>
              <w:topLinePunct w:val="0"/>
              <w:bidi w:val="0"/>
              <w:snapToGrid w:val="0"/>
              <w:spacing w:line="460" w:lineRule="exact"/>
              <w:jc w:val="center"/>
              <w:rPr>
                <w:rFonts w:hint="eastAsia" w:ascii="新宋体" w:hAnsi="新宋体" w:eastAsia="新宋体" w:cs="新宋体"/>
                <w:b w:val="0"/>
                <w:bCs/>
                <w:color w:val="000000" w:themeColor="text1"/>
                <w:sz w:val="22"/>
                <w:szCs w:val="22"/>
                <w:highlight w:val="none"/>
                <w14:textFill>
                  <w14:solidFill>
                    <w14:schemeClr w14:val="tx1"/>
                  </w14:solidFill>
                </w14:textFill>
              </w:rPr>
            </w:pPr>
            <w:r>
              <w:rPr>
                <w:rFonts w:hint="eastAsia" w:ascii="新宋体" w:hAnsi="新宋体" w:eastAsia="新宋体"/>
                <w:b w:val="0"/>
                <w:bCs/>
                <w:kern w:val="2"/>
                <w:sz w:val="22"/>
                <w:szCs w:val="22"/>
                <w:lang w:val="en-US" w:eastAsia="zh-CN"/>
              </w:rPr>
              <w:t>5000</w:t>
            </w:r>
            <w:r>
              <w:rPr>
                <w:rFonts w:hint="eastAsia" w:ascii="新宋体" w:hAnsi="新宋体" w:eastAsia="新宋体"/>
                <w:b w:val="0"/>
                <w:bCs/>
                <w:kern w:val="2"/>
                <w:sz w:val="22"/>
                <w:szCs w:val="22"/>
              </w:rPr>
              <w:t>元</w:t>
            </w:r>
          </w:p>
        </w:tc>
        <w:tc>
          <w:tcPr>
            <w:tcW w:w="1456" w:type="dxa"/>
            <w:vMerge w:val="continue"/>
            <w:noWrap w:val="0"/>
            <w:vAlign w:val="center"/>
          </w:tcPr>
          <w:p>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500" w:type="dxa"/>
            <w:gridSpan w:val="5"/>
            <w:noWrap w:val="0"/>
            <w:vAlign w:val="top"/>
          </w:tcPr>
          <w:p>
            <w:pPr>
              <w:keepNext w:val="0"/>
              <w:keepLines w:val="0"/>
              <w:pageBreakBefore w:val="0"/>
              <w:tabs>
                <w:tab w:val="left" w:pos="360"/>
              </w:tabs>
              <w:kinsoku/>
              <w:wordWrap/>
              <w:topLinePunct w:val="0"/>
              <w:bidi w:val="0"/>
              <w:spacing w:line="460" w:lineRule="exact"/>
              <w:rPr>
                <w:rFonts w:hint="eastAsia" w:ascii="新宋体" w:hAnsi="新宋体" w:eastAsia="新宋体" w:cs="新宋体"/>
                <w:b w:val="0"/>
                <w:bCs/>
                <w:color w:val="000000" w:themeColor="text1"/>
                <w:sz w:val="22"/>
                <w:szCs w:val="22"/>
                <w14:textFill>
                  <w14:solidFill>
                    <w14:schemeClr w14:val="tx1"/>
                  </w14:solidFill>
                </w14:textFill>
              </w:rPr>
            </w:pPr>
            <w:r>
              <w:rPr>
                <w:rFonts w:hint="eastAsia" w:ascii="新宋体" w:hAnsi="新宋体" w:eastAsia="新宋体" w:cs="新宋体"/>
                <w:b w:val="0"/>
                <w:bCs/>
                <w:color w:val="000000" w:themeColor="text1"/>
                <w:sz w:val="22"/>
                <w:szCs w:val="22"/>
                <w14:textFill>
                  <w14:solidFill>
                    <w14:schemeClr w14:val="tx1"/>
                  </w14:solidFill>
                </w14:textFill>
              </w:rPr>
              <w:t>项目总预算为</w:t>
            </w:r>
            <w:r>
              <w:rPr>
                <w:rFonts w:hint="eastAsia" w:ascii="新宋体" w:hAnsi="新宋体" w:eastAsia="新宋体" w:cs="新宋体"/>
                <w:b w:val="0"/>
                <w:bCs/>
                <w:color w:val="000000" w:themeColor="text1"/>
                <w:sz w:val="22"/>
                <w:szCs w:val="22"/>
                <w:lang w:val="en-US" w:eastAsia="zh-CN"/>
                <w14:textFill>
                  <w14:solidFill>
                    <w14:schemeClr w14:val="tx1"/>
                  </w14:solidFill>
                </w14:textFill>
              </w:rPr>
              <w:t>肆拾万零伍仟元整</w:t>
            </w:r>
            <w:r>
              <w:rPr>
                <w:rFonts w:hint="eastAsia" w:ascii="新宋体" w:hAnsi="新宋体" w:eastAsia="新宋体"/>
                <w:b w:val="0"/>
                <w:bCs/>
                <w:color w:val="000000" w:themeColor="text1"/>
                <w:sz w:val="22"/>
                <w:szCs w:val="22"/>
                <w14:textFill>
                  <w14:solidFill>
                    <w14:schemeClr w14:val="tx1"/>
                  </w14:solidFill>
                </w14:textFill>
              </w:rPr>
              <w:t>（¥</w:t>
            </w:r>
            <w:r>
              <w:rPr>
                <w:rFonts w:hint="eastAsia" w:ascii="新宋体" w:hAnsi="新宋体" w:eastAsia="新宋体"/>
                <w:b w:val="0"/>
                <w:bCs/>
                <w:color w:val="000000" w:themeColor="text1"/>
                <w:sz w:val="22"/>
                <w:szCs w:val="22"/>
                <w:lang w:val="en-US" w:eastAsia="zh-CN"/>
                <w14:textFill>
                  <w14:solidFill>
                    <w14:schemeClr w14:val="tx1"/>
                  </w14:solidFill>
                </w14:textFill>
              </w:rPr>
              <w:t>405</w:t>
            </w:r>
            <w:r>
              <w:rPr>
                <w:rFonts w:hint="eastAsia" w:ascii="新宋体" w:hAnsi="新宋体" w:eastAsia="新宋体"/>
                <w:b w:val="0"/>
                <w:bCs/>
                <w:color w:val="000000" w:themeColor="text1"/>
                <w:sz w:val="22"/>
                <w:szCs w:val="22"/>
                <w14:textFill>
                  <w14:solidFill>
                    <w14:schemeClr w14:val="tx1"/>
                  </w14:solidFill>
                </w14:textFill>
              </w:rPr>
              <w:t>000.00元）</w:t>
            </w:r>
          </w:p>
        </w:tc>
      </w:tr>
    </w:tbl>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sz w:val="22"/>
          <w:szCs w:val="22"/>
          <w:u w:val="none"/>
          <w:lang w:val="en-US" w:eastAsia="zh-CN"/>
        </w:rPr>
      </w:pPr>
      <w:r>
        <w:rPr>
          <w:rFonts w:hint="eastAsia" w:ascii="宋体" w:hAnsi="宋体" w:eastAsia="宋体" w:cs="宋体"/>
          <w:color w:val="auto"/>
          <w:kern w:val="0"/>
          <w:sz w:val="22"/>
          <w:szCs w:val="22"/>
          <w:highlight w:val="none"/>
        </w:rPr>
        <w:t>简要技术要求、用途</w:t>
      </w:r>
      <w:r>
        <w:rPr>
          <w:rFonts w:hint="eastAsia" w:cs="宋体"/>
          <w:color w:val="auto"/>
          <w:kern w:val="0"/>
          <w:sz w:val="22"/>
          <w:szCs w:val="22"/>
          <w:highlight w:val="none"/>
          <w:lang w:eastAsia="zh-CN"/>
        </w:rPr>
        <w:t>：</w:t>
      </w:r>
      <w:r>
        <w:rPr>
          <w:rFonts w:hint="eastAsia" w:ascii="宋体" w:hAnsi="宋体" w:eastAsia="宋体" w:cs="宋体"/>
          <w:color w:val="auto"/>
          <w:sz w:val="22"/>
          <w:szCs w:val="22"/>
          <w:highlight w:val="none"/>
        </w:rPr>
        <w:t>详见招标文件第</w:t>
      </w: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部分“项目技术规范和服务要求”</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合同履约期限：标项 1，具体详见招标文件</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lang w:val="en-US" w:eastAsia="zh-CN"/>
        </w:rPr>
        <w:t>本项目（否）接受联合体投标。</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lang w:val="en-US" w:eastAsia="zh-CN"/>
        </w:rPr>
      </w:pPr>
      <w:r>
        <w:rPr>
          <w:rFonts w:hint="eastAsia"/>
          <w:b/>
          <w:bCs/>
          <w:sz w:val="22"/>
          <w:szCs w:val="22"/>
          <w:u w:val="none"/>
          <w:lang w:val="en-US" w:eastAsia="zh-CN"/>
        </w:rPr>
        <w:t>二、申请人的资格要求：</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1.满足《中华人民共和国政府采购法》第二十二条规定；未被“信用中国”（www.creditchina.gov.cn)、中国政府采购网（www.ccgp.gov.cn）等有关政府曝光台列入失信被执行人、重大税收违法案件当事人名单、政府采购严重违法失信行为记录名单。</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2.落实政府采购政策需满足的资格要求：无 </w:t>
      </w:r>
    </w:p>
    <w:p>
      <w:pPr>
        <w:tabs>
          <w:tab w:val="left" w:pos="360"/>
        </w:tabs>
        <w:spacing w:line="460" w:lineRule="exact"/>
        <w:ind w:firstLine="440" w:firstLineChars="200"/>
        <w:rPr>
          <w:rFonts w:hint="eastAsia"/>
          <w:sz w:val="22"/>
          <w:szCs w:val="22"/>
          <w:u w:val="none"/>
          <w:lang w:val="en-US" w:eastAsia="zh-CN"/>
        </w:rPr>
      </w:pPr>
      <w:r>
        <w:rPr>
          <w:rFonts w:hint="eastAsia"/>
          <w:sz w:val="22"/>
          <w:szCs w:val="22"/>
          <w:u w:val="none"/>
          <w:lang w:val="en-US" w:eastAsia="zh-CN"/>
        </w:rPr>
        <w:t>3.本项目的特定资格要求：</w:t>
      </w:r>
      <w:r>
        <w:rPr>
          <w:rFonts w:hint="eastAsia" w:ascii="Times New Roman" w:hAnsi="Times New Roman" w:eastAsia="新宋体"/>
          <w:sz w:val="22"/>
          <w:szCs w:val="22"/>
          <w:lang w:val="en-US" w:eastAsia="zh-CN"/>
        </w:rPr>
        <w:t>①</w:t>
      </w:r>
      <w:r>
        <w:rPr>
          <w:rFonts w:ascii="Times New Roman" w:hAnsi="Times New Roman" w:eastAsia="新宋体"/>
          <w:sz w:val="22"/>
          <w:szCs w:val="22"/>
        </w:rPr>
        <w:t>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适用于按医疗器械管理的货物）；</w:t>
      </w:r>
      <w:r>
        <w:rPr>
          <w:rFonts w:hint="eastAsia" w:ascii="Times New Roman" w:hAnsi="Times New Roman" w:eastAsia="新宋体"/>
          <w:sz w:val="22"/>
          <w:szCs w:val="22"/>
          <w:lang w:val="en-US" w:eastAsia="zh-CN"/>
        </w:rPr>
        <w:t>②</w:t>
      </w:r>
      <w:r>
        <w:rPr>
          <w:rFonts w:ascii="Times New Roman" w:hAnsi="Times New Roman" w:eastAsia="新宋体"/>
          <w:sz w:val="22"/>
          <w:szCs w:val="22"/>
        </w:rPr>
        <w:t>提供食品药品监督管理部门核发的完整有效的医疗器械注册或备案证明；（适用于按医疗器械管理的设备）</w:t>
      </w:r>
      <w:r>
        <w:rPr>
          <w:rFonts w:hint="eastAsia" w:ascii="Times New Roman" w:hAnsi="Times New Roman" w:eastAsia="新宋体"/>
          <w:sz w:val="22"/>
          <w:szCs w:val="22"/>
          <w:lang w:val="en-US" w:eastAsia="zh-CN"/>
        </w:rPr>
        <w:t>③</w:t>
      </w:r>
      <w:r>
        <w:rPr>
          <w:rFonts w:ascii="Times New Roman" w:hAnsi="Times New Roman" w:eastAsia="新宋体"/>
          <w:sz w:val="22"/>
          <w:szCs w:val="22"/>
        </w:rPr>
        <w:t>货物制造商或其它有销售资格（提供证明材料）的供应商出具的授权书（适用于投标人是进口货物代理商的情形）；</w:t>
      </w:r>
      <w:r>
        <w:rPr>
          <w:rFonts w:hint="eastAsia"/>
          <w:sz w:val="22"/>
          <w:szCs w:val="22"/>
          <w:u w:val="none"/>
          <w:lang w:val="en-US" w:eastAsia="zh-CN"/>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sz w:val="22"/>
          <w:szCs w:val="22"/>
          <w:u w:val="none"/>
        </w:rPr>
      </w:pPr>
      <w:r>
        <w:rPr>
          <w:rFonts w:hint="eastAsia"/>
          <w:b/>
          <w:bCs/>
          <w:sz w:val="22"/>
          <w:szCs w:val="22"/>
          <w:u w:val="none"/>
        </w:rPr>
        <w:t>三、获取招标文件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时间：</w:t>
      </w:r>
      <w:r>
        <w:rPr>
          <w:rFonts w:hint="eastAsia" w:cs="宋体"/>
          <w:color w:val="000000" w:themeColor="text1"/>
          <w:sz w:val="22"/>
          <w:highlight w:val="none"/>
          <w:lang w:val="en-US" w:eastAsia="zh-CN"/>
          <w14:textFill>
            <w14:solidFill>
              <w14:schemeClr w14:val="tx1"/>
            </w14:solidFill>
          </w14:textFill>
        </w:rPr>
        <w:t>2023年04月19日</w:t>
      </w:r>
      <w:r>
        <w:rPr>
          <w:rFonts w:hint="eastAsia"/>
          <w:sz w:val="22"/>
          <w:szCs w:val="22"/>
          <w:u w:val="none"/>
        </w:rPr>
        <w:t>至</w:t>
      </w:r>
      <w:r>
        <w:rPr>
          <w:rFonts w:hint="eastAsia" w:cs="宋体"/>
          <w:color w:val="000000" w:themeColor="text1"/>
          <w:sz w:val="22"/>
          <w:highlight w:val="none"/>
          <w:lang w:val="en-US" w:eastAsia="zh-CN"/>
          <w14:textFill>
            <w14:solidFill>
              <w14:schemeClr w14:val="tx1"/>
            </w14:solidFill>
          </w14:textFill>
        </w:rPr>
        <w:t>2023年05月10日</w:t>
      </w:r>
      <w:r>
        <w:rPr>
          <w:rFonts w:hint="eastAsia"/>
          <w:sz w:val="22"/>
          <w:szCs w:val="22"/>
          <w:u w:val="none"/>
        </w:rPr>
        <w:t>，每天上午00:00至12:00，下午12:00至23:59（北京时间，线上获取法定节假日均可，线下获取文件法定节假日除外）</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地点（网址）：浙江政府采购网（https://zfcg.czt.zj.gov.cn/）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方式：供应商登录政采云平台https://www.zcygov.cn/在线申请获取采购文件（进入“项目采购”应用，在获取采购文件菜单中选择项目，申请获取采购文件）</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售价（元）：0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sz w:val="22"/>
          <w:szCs w:val="22"/>
          <w:u w:val="none"/>
        </w:rPr>
      </w:pPr>
      <w:r>
        <w:rPr>
          <w:rFonts w:hint="eastAsia"/>
          <w:b/>
          <w:bCs/>
          <w:sz w:val="22"/>
          <w:szCs w:val="22"/>
          <w:u w:val="none"/>
        </w:rPr>
        <w:t>四、提交投标文件截止时间、开标时间和地点</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提交投标文件截止时间：</w:t>
      </w:r>
      <w:r>
        <w:rPr>
          <w:rFonts w:hint="eastAsia" w:cs="宋体"/>
          <w:color w:val="000000" w:themeColor="text1"/>
          <w:sz w:val="22"/>
          <w:highlight w:val="none"/>
          <w:lang w:val="en-US" w:eastAsia="zh-CN"/>
          <w14:textFill>
            <w14:solidFill>
              <w14:schemeClr w14:val="tx1"/>
            </w14:solidFill>
          </w14:textFill>
        </w:rPr>
        <w:t>2023年05月10日09</w:t>
      </w:r>
      <w:r>
        <w:rPr>
          <w:rFonts w:hint="eastAsia" w:ascii="宋体" w:hAnsi="宋体" w:eastAsia="宋体" w:cs="宋体"/>
          <w:color w:val="000000" w:themeColor="text1"/>
          <w:sz w:val="22"/>
          <w:highlight w:val="none"/>
          <w14:textFill>
            <w14:solidFill>
              <w14:schemeClr w14:val="tx1"/>
            </w14:solidFill>
          </w14:textFill>
        </w:rPr>
        <w:t>:30</w:t>
      </w:r>
      <w:r>
        <w:rPr>
          <w:rFonts w:hint="eastAsia"/>
          <w:sz w:val="22"/>
          <w:szCs w:val="22"/>
          <w:u w:val="none"/>
        </w:rPr>
        <w:t>（北京时间）</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投标地点（网址）：</w:t>
      </w:r>
      <w:r>
        <w:rPr>
          <w:rFonts w:hint="eastAsia" w:ascii="宋体" w:hAnsi="宋体" w:eastAsia="宋体" w:cs="宋体"/>
          <w:color w:val="auto"/>
          <w:sz w:val="22"/>
          <w:highlight w:val="none"/>
          <w:lang w:val="en-US" w:eastAsia="zh-CN"/>
        </w:rPr>
        <w:t>温州市鹿城区学院中路229号三想集团5楼（政采云平台：http://zfcg.czt.zj.gov.cn）</w:t>
      </w:r>
      <w:r>
        <w:rPr>
          <w:rFonts w:hint="eastAsia"/>
          <w:sz w:val="22"/>
          <w:szCs w:val="22"/>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开标时间：</w:t>
      </w:r>
      <w:r>
        <w:rPr>
          <w:rFonts w:hint="eastAsia" w:cs="宋体"/>
          <w:color w:val="000000" w:themeColor="text1"/>
          <w:sz w:val="22"/>
          <w:highlight w:val="none"/>
          <w:lang w:val="en-US" w:eastAsia="zh-CN"/>
          <w14:textFill>
            <w14:solidFill>
              <w14:schemeClr w14:val="tx1"/>
            </w14:solidFill>
          </w14:textFill>
        </w:rPr>
        <w:t>2023年05月10日09</w:t>
      </w:r>
      <w:r>
        <w:rPr>
          <w:rFonts w:hint="eastAsia" w:ascii="宋体" w:hAnsi="宋体" w:eastAsia="宋体" w:cs="宋体"/>
          <w:color w:val="000000" w:themeColor="text1"/>
          <w:sz w:val="22"/>
          <w:highlight w:val="none"/>
          <w14:textFill>
            <w14:solidFill>
              <w14:schemeClr w14:val="tx1"/>
            </w14:solidFill>
          </w14:textFill>
        </w:rPr>
        <w:t>:30</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开标地点（网址）：</w:t>
      </w:r>
      <w:r>
        <w:rPr>
          <w:rFonts w:hint="eastAsia" w:ascii="宋体" w:hAnsi="宋体" w:eastAsia="宋体" w:cs="宋体"/>
          <w:color w:val="auto"/>
          <w:sz w:val="22"/>
          <w:highlight w:val="none"/>
          <w:lang w:val="en-US" w:eastAsia="zh-CN"/>
        </w:rPr>
        <w:t>温州市鹿城区学院中路229号三想集团5楼（政采云平台：http://zfcg.czt.zj.gov.cn）</w:t>
      </w:r>
      <w:r>
        <w:rPr>
          <w:rFonts w:hint="eastAsia"/>
          <w:sz w:val="22"/>
          <w:szCs w:val="22"/>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rPr>
      </w:pPr>
      <w:r>
        <w:rPr>
          <w:rFonts w:hint="eastAsia"/>
          <w:b/>
          <w:bCs/>
          <w:sz w:val="22"/>
          <w:szCs w:val="22"/>
          <w:u w:val="none"/>
        </w:rPr>
        <w:t>五、公告期限</w:t>
      </w:r>
      <w:r>
        <w:rPr>
          <w:rFonts w:hint="eastAsia"/>
          <w:sz w:val="22"/>
          <w:szCs w:val="22"/>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自本公告发布之日起5个工作日。</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sz w:val="22"/>
          <w:szCs w:val="22"/>
          <w:u w:val="none"/>
        </w:rPr>
      </w:pPr>
      <w:r>
        <w:rPr>
          <w:rFonts w:hint="eastAsia"/>
          <w:b/>
          <w:bCs/>
          <w:sz w:val="22"/>
          <w:szCs w:val="22"/>
          <w:u w:val="none"/>
        </w:rPr>
        <w:t>六、其他补充事宜</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sz w:val="22"/>
          <w:szCs w:val="22"/>
          <w:u w:val="none"/>
          <w:lang w:val="en-US" w:eastAsia="zh-CN"/>
        </w:rPr>
      </w:pPr>
      <w:r>
        <w:rPr>
          <w:rFonts w:hint="eastAsia" w:ascii="宋体" w:hAnsi="宋体" w:eastAsia="宋体" w:cs="宋体"/>
          <w:color w:val="auto"/>
          <w:sz w:val="22"/>
          <w:highlight w:val="none"/>
          <w:lang w:val="en-US" w:eastAsia="zh-CN"/>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  </w:t>
      </w:r>
    </w:p>
    <w:p>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七、对本次招标提出询问，请按以下方式联系</w:t>
      </w:r>
      <w:r>
        <w:rPr>
          <w:rFonts w:hint="eastAsia" w:ascii="宋体" w:hAnsi="宋体" w:eastAsia="宋体" w:cs="宋体"/>
          <w:color w:val="auto"/>
          <w:sz w:val="22"/>
          <w:szCs w:val="22"/>
          <w:highlight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1.采购人信息</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auto"/>
          <w:sz w:val="22"/>
          <w:szCs w:val="22"/>
          <w:highlight w:val="none"/>
          <w:u w:val="none"/>
          <w:lang w:eastAsia="zh-CN"/>
        </w:rPr>
      </w:pPr>
      <w:r>
        <w:rPr>
          <w:rFonts w:hint="eastAsia"/>
          <w:color w:val="auto"/>
          <w:sz w:val="22"/>
          <w:szCs w:val="22"/>
          <w:highlight w:val="none"/>
          <w:u w:val="none"/>
        </w:rPr>
        <w:t>名  称：</w:t>
      </w:r>
      <w:r>
        <w:rPr>
          <w:rFonts w:hint="eastAsia"/>
          <w:color w:val="auto"/>
          <w:sz w:val="22"/>
          <w:szCs w:val="22"/>
          <w:highlight w:val="none"/>
          <w:u w:val="none"/>
          <w:lang w:eastAsia="zh-CN"/>
        </w:rPr>
        <w:t>温州市中医院</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  址：</w:t>
      </w:r>
      <w:r>
        <w:rPr>
          <w:rFonts w:hint="eastAsia" w:ascii="宋体" w:hAnsi="宋体" w:eastAsia="宋体" w:cs="宋体"/>
          <w:i w:val="0"/>
          <w:iCs w:val="0"/>
          <w:caps w:val="0"/>
          <w:color w:val="auto"/>
          <w:spacing w:val="0"/>
          <w:sz w:val="22"/>
          <w:szCs w:val="22"/>
          <w:highlight w:val="none"/>
          <w:shd w:val="clear" w:fill="FFFFFF"/>
        </w:rPr>
        <w:t>温州市六虹桥蛟尾路9号</w:t>
      </w:r>
      <w:r>
        <w:rPr>
          <w:rFonts w:hint="eastAsia"/>
          <w:color w:val="auto"/>
          <w:sz w:val="22"/>
          <w:szCs w:val="22"/>
          <w:highlight w:val="none"/>
          <w:u w:val="none"/>
        </w:rPr>
        <w:t xml:space="preserve">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传  真：</w:t>
      </w:r>
      <w:r>
        <w:rPr>
          <w:rFonts w:hint="eastAsia"/>
          <w:color w:val="auto"/>
          <w:sz w:val="22"/>
          <w:szCs w:val="22"/>
          <w:highlight w:val="none"/>
          <w:u w:val="none"/>
          <w:lang w:val="en-US" w:eastAsia="zh-CN"/>
        </w:rPr>
        <w:t>/</w:t>
      </w:r>
      <w:r>
        <w:rPr>
          <w:rFonts w:hint="eastAsia"/>
          <w:color w:val="auto"/>
          <w:sz w:val="22"/>
          <w:szCs w:val="22"/>
          <w:highlight w:val="none"/>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项目联系人（询问）：</w:t>
      </w:r>
      <w:r>
        <w:rPr>
          <w:rFonts w:hint="eastAsia" w:ascii="宋体" w:hAnsi="宋体" w:eastAsia="宋体" w:cs="宋体"/>
          <w:i w:val="0"/>
          <w:iCs w:val="0"/>
          <w:caps w:val="0"/>
          <w:color w:val="auto"/>
          <w:spacing w:val="0"/>
          <w:sz w:val="22"/>
          <w:szCs w:val="22"/>
          <w:highlight w:val="none"/>
          <w:shd w:val="clear" w:fill="FFFFFF"/>
        </w:rPr>
        <w:t>李先生</w:t>
      </w:r>
      <w:r>
        <w:rPr>
          <w:rFonts w:hint="eastAsia"/>
          <w:color w:val="auto"/>
          <w:sz w:val="22"/>
          <w:szCs w:val="22"/>
          <w:highlight w:val="none"/>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color w:val="auto"/>
          <w:sz w:val="22"/>
          <w:szCs w:val="22"/>
          <w:highlight w:val="none"/>
          <w:u w:val="none"/>
        </w:rPr>
        <w:t>项目联系方式（询问）：</w:t>
      </w:r>
      <w:r>
        <w:rPr>
          <w:rFonts w:hint="eastAsia" w:ascii="宋体" w:hAnsi="宋体" w:eastAsia="宋体" w:cs="宋体"/>
          <w:i w:val="0"/>
          <w:iCs w:val="0"/>
          <w:caps w:val="0"/>
          <w:color w:val="auto"/>
          <w:spacing w:val="0"/>
          <w:sz w:val="22"/>
          <w:szCs w:val="22"/>
          <w:highlight w:val="none"/>
          <w:shd w:val="clear" w:fill="FFFFFF"/>
        </w:rPr>
        <w:t>0577-56671516</w:t>
      </w:r>
      <w:r>
        <w:rPr>
          <w:rFonts w:hint="eastAsia"/>
          <w:color w:val="auto"/>
          <w:sz w:val="22"/>
          <w:szCs w:val="22"/>
          <w:highlight w:val="none"/>
          <w:u w:val="none"/>
        </w:rPr>
        <w:t>　</w:t>
      </w:r>
      <w:r>
        <w:rPr>
          <w:rFonts w:hint="eastAsia"/>
          <w:sz w:val="22"/>
          <w:szCs w:val="22"/>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rPr>
      </w:pPr>
      <w:r>
        <w:rPr>
          <w:rFonts w:hint="eastAsia"/>
          <w:sz w:val="22"/>
          <w:szCs w:val="22"/>
          <w:u w:val="none"/>
        </w:rPr>
        <w:t>  2.采购代理机构信息</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名  称：</w:t>
      </w:r>
      <w:r>
        <w:rPr>
          <w:rFonts w:hint="eastAsia"/>
          <w:sz w:val="22"/>
          <w:szCs w:val="22"/>
          <w:u w:val="none"/>
          <w:lang w:val="en-US" w:eastAsia="zh-CN"/>
        </w:rPr>
        <w:t>温州历程招标有限公司</w:t>
      </w:r>
      <w:r>
        <w:rPr>
          <w:rFonts w:hint="eastAsia"/>
          <w:sz w:val="22"/>
          <w:szCs w:val="22"/>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地  址：</w:t>
      </w:r>
      <w:r>
        <w:rPr>
          <w:rFonts w:hint="eastAsia"/>
          <w:sz w:val="22"/>
          <w:szCs w:val="22"/>
          <w:lang w:eastAsia="zh-CN"/>
        </w:rPr>
        <w:t>温州市鹿城区学院中路229号三想集团5楼</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 xml:space="preserve">传  真：0577-89887255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项目联系人（询问）：温碧霞</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项目联系方式（询问）：0577-89887322、13757727199</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eastAsia="宋体"/>
          <w:sz w:val="22"/>
          <w:szCs w:val="22"/>
          <w:u w:val="none"/>
          <w:lang w:val="en-US" w:eastAsia="zh-CN"/>
        </w:rPr>
      </w:pPr>
      <w:r>
        <w:rPr>
          <w:rFonts w:hint="eastAsia"/>
          <w:sz w:val="22"/>
          <w:szCs w:val="22"/>
          <w:u w:val="none"/>
        </w:rPr>
        <w:t>质疑联系人：</w:t>
      </w:r>
      <w:r>
        <w:rPr>
          <w:rFonts w:hint="eastAsia"/>
          <w:sz w:val="22"/>
          <w:szCs w:val="22"/>
          <w:u w:val="none"/>
          <w:lang w:val="en-US" w:eastAsia="zh-CN"/>
        </w:rPr>
        <w:t>肖忠文</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质疑联系方式：13757727199 </w:t>
      </w:r>
    </w:p>
    <w:p>
      <w:pPr>
        <w:pStyle w:val="49"/>
        <w:keepNext w:val="0"/>
        <w:keepLines w:val="0"/>
        <w:pageBreakBefore w:val="0"/>
        <w:numPr>
          <w:ilvl w:val="0"/>
          <w:numId w:val="4"/>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采购监督管理部门</w:t>
      </w:r>
    </w:p>
    <w:p>
      <w:pPr>
        <w:pStyle w:val="4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名 </w:t>
      </w:r>
      <w:r>
        <w:rPr>
          <w:rFonts w:hint="eastAsia"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称：</w:t>
      </w:r>
      <w:r>
        <w:rPr>
          <w:rFonts w:hint="eastAsia" w:cs="宋体"/>
          <w:color w:val="auto"/>
          <w:sz w:val="22"/>
          <w:szCs w:val="22"/>
          <w:highlight w:val="none"/>
          <w:u w:val="none"/>
          <w:lang w:eastAsia="zh-CN"/>
        </w:rPr>
        <w:t>温州市中医院</w:t>
      </w:r>
      <w:r>
        <w:rPr>
          <w:rFonts w:hint="eastAsia" w:ascii="宋体" w:hAnsi="宋体" w:eastAsia="宋体" w:cs="宋体"/>
          <w:color w:val="auto"/>
          <w:sz w:val="22"/>
          <w:szCs w:val="22"/>
          <w:highlight w:val="none"/>
          <w:u w:val="none"/>
          <w:lang w:eastAsia="zh-CN"/>
        </w:rPr>
        <w:t>监察室</w:t>
      </w:r>
      <w:r>
        <w:rPr>
          <w:rFonts w:hint="eastAsia" w:ascii="宋体" w:hAnsi="宋体" w:eastAsia="宋体" w:cs="宋体"/>
          <w:color w:val="auto"/>
          <w:sz w:val="22"/>
          <w:highlight w:val="none"/>
          <w:lang w:val="en-US" w:eastAsia="zh-CN"/>
        </w:rPr>
        <w:t> </w:t>
      </w:r>
    </w:p>
    <w:p>
      <w:pPr>
        <w:tabs>
          <w:tab w:val="left" w:pos="360"/>
        </w:tabs>
        <w:spacing w:line="460" w:lineRule="exact"/>
        <w:ind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电</w:t>
      </w:r>
      <w:r>
        <w:rPr>
          <w:rFonts w:hint="eastAsia" w:ascii="宋体" w:hAnsi="宋体"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话：0577-56671511</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p>
      <w:pPr>
        <w:rPr>
          <w:rFonts w:hint="eastAsia" w:ascii="宋体" w:hAnsi="宋体" w:eastAsia="宋体" w:cs="宋体"/>
        </w:rPr>
      </w:pPr>
      <w:bookmarkStart w:id="2" w:name="_Toc10401"/>
      <w:bookmarkStart w:id="3" w:name="_Toc5772"/>
      <w:r>
        <w:rPr>
          <w:rFonts w:hint="eastAsia" w:ascii="宋体" w:hAnsi="宋体" w:eastAsia="宋体" w:cs="宋体"/>
        </w:rPr>
        <w:br w:type="page"/>
      </w:r>
    </w:p>
    <w:p>
      <w:pPr>
        <w:pStyle w:val="4"/>
        <w:bidi w:val="0"/>
        <w:rPr>
          <w:rFonts w:hint="eastAsia" w:ascii="宋体" w:hAnsi="宋体" w:eastAsia="宋体" w:cs="宋体"/>
        </w:rPr>
      </w:pPr>
      <w:r>
        <w:rPr>
          <w:rFonts w:hint="eastAsia" w:ascii="宋体" w:hAnsi="宋体" w:eastAsia="宋体" w:cs="宋体"/>
        </w:rPr>
        <w:t>第一部分    投标人须知</w:t>
      </w:r>
      <w:bookmarkEnd w:id="2"/>
      <w:bookmarkEnd w:id="3"/>
    </w:p>
    <w:p>
      <w:pPr>
        <w:keepNext/>
        <w:keepLines/>
        <w:shd w:val="clear" w:color="auto" w:fill="FFFFFF"/>
        <w:tabs>
          <w:tab w:val="left" w:pos="706"/>
        </w:tabs>
        <w:snapToGrid w:val="0"/>
        <w:spacing w:line="360" w:lineRule="auto"/>
        <w:jc w:val="center"/>
        <w:outlineLvl w:val="1"/>
        <w:rPr>
          <w:rFonts w:hint="eastAsia" w:ascii="宋体" w:hAnsi="宋体" w:eastAsia="宋体" w:cs="宋体"/>
          <w:b/>
          <w:bCs/>
          <w:color w:val="auto"/>
          <w:sz w:val="24"/>
          <w:highlight w:val="none"/>
        </w:rPr>
      </w:pPr>
      <w:bookmarkStart w:id="4" w:name="_Toc233618971"/>
      <w:bookmarkStart w:id="5" w:name="_Toc354996695"/>
      <w:bookmarkStart w:id="6" w:name="_Toc33194387"/>
      <w:bookmarkStart w:id="7" w:name="_Toc1839"/>
      <w:bookmarkStart w:id="8" w:name="_Toc6224"/>
      <w:r>
        <w:rPr>
          <w:rFonts w:hint="eastAsia" w:ascii="宋体" w:hAnsi="宋体" w:eastAsia="宋体" w:cs="宋体"/>
          <w:b/>
          <w:bCs/>
          <w:color w:val="auto"/>
          <w:sz w:val="24"/>
          <w:highlight w:val="none"/>
        </w:rPr>
        <w:t>前 附 表</w:t>
      </w:r>
      <w:bookmarkEnd w:id="4"/>
      <w:bookmarkEnd w:id="5"/>
      <w:bookmarkEnd w:id="6"/>
      <w:bookmarkEnd w:id="7"/>
      <w:bookmarkEnd w:id="8"/>
    </w:p>
    <w:tbl>
      <w:tblPr>
        <w:tblStyle w:val="53"/>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9"/>
        <w:gridCol w:w="96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699" w:type="dxa"/>
            <w:tcBorders>
              <w:top w:val="single" w:color="000000" w:sz="8"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条款</w:t>
            </w:r>
          </w:p>
        </w:tc>
        <w:tc>
          <w:tcPr>
            <w:tcW w:w="9676" w:type="dxa"/>
            <w:tcBorders>
              <w:top w:val="single" w:color="000000" w:sz="8" w:space="0"/>
              <w:left w:val="single" w:color="000000" w:sz="2" w:space="0"/>
              <w:bottom w:val="single" w:color="000000" w:sz="2" w:space="0"/>
              <w:right w:val="single" w:color="000000" w:sz="8"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w:t>
            </w:r>
          </w:p>
        </w:tc>
        <w:tc>
          <w:tcPr>
            <w:tcW w:w="9676" w:type="dxa"/>
            <w:tcBorders>
              <w:top w:val="single" w:color="000000" w:sz="2" w:space="0"/>
              <w:left w:val="single" w:color="000000" w:sz="2" w:space="0"/>
              <w:bottom w:val="single" w:color="000000" w:sz="2" w:space="0"/>
              <w:right w:val="single" w:color="000000" w:sz="8" w:space="0"/>
            </w:tcBorders>
          </w:tcPr>
          <w:p>
            <w:pPr>
              <w:tabs>
                <w:tab w:val="left" w:pos="3780"/>
              </w:tabs>
              <w:snapToGrid w:val="0"/>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一、项目名称</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全自动血型仪检测系统耗材（试剂）及配套设备租赁</w:t>
            </w:r>
          </w:p>
          <w:p>
            <w:pPr>
              <w:spacing w:line="460" w:lineRule="exact"/>
              <w:rPr>
                <w:rFonts w:hint="eastAsia" w:ascii="宋体" w:hAnsi="宋体" w:eastAsia="宋体" w:cs="宋体"/>
                <w:b/>
                <w:bCs/>
                <w:color w:val="auto"/>
                <w:sz w:val="22"/>
                <w:szCs w:val="22"/>
                <w:highlight w:val="none"/>
              </w:rPr>
            </w:pPr>
            <w:bookmarkStart w:id="9" w:name="_Hlt75139851"/>
            <w:bookmarkEnd w:id="9"/>
            <w:r>
              <w:rPr>
                <w:rFonts w:hint="eastAsia" w:ascii="宋体" w:hAnsi="宋体" w:eastAsia="宋体" w:cs="宋体"/>
                <w:b/>
                <w:bCs/>
                <w:color w:val="auto"/>
                <w:sz w:val="22"/>
                <w:szCs w:val="22"/>
                <w:highlight w:val="none"/>
              </w:rPr>
              <w:t>二、采购内容：</w:t>
            </w:r>
          </w:p>
          <w:tbl>
            <w:tblPr>
              <w:tblStyle w:val="53"/>
              <w:tblW w:w="9266"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4285"/>
              <w:gridCol w:w="1161"/>
              <w:gridCol w:w="1565"/>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93" w:type="dxa"/>
                  <w:noWrap w:val="0"/>
                  <w:vAlign w:val="top"/>
                </w:tcPr>
                <w:p>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color w:val="000000" w:themeColor="text1"/>
                      <w:sz w:val="22"/>
                      <w:szCs w:val="22"/>
                      <w:lang w:eastAsia="zh-CN"/>
                      <w14:textFill>
                        <w14:solidFill>
                          <w14:schemeClr w14:val="tx1"/>
                        </w14:solidFill>
                      </w14:textFill>
                    </w:rPr>
                  </w:pPr>
                  <w:r>
                    <w:rPr>
                      <w:rFonts w:hint="eastAsia" w:ascii="新宋体" w:hAnsi="新宋体" w:eastAsia="新宋体" w:cs="新宋体"/>
                      <w:b/>
                      <w:color w:val="000000" w:themeColor="text1"/>
                      <w:sz w:val="22"/>
                      <w:szCs w:val="22"/>
                      <w:lang w:val="en-US" w:eastAsia="zh-CN"/>
                      <w14:textFill>
                        <w14:solidFill>
                          <w14:schemeClr w14:val="tx1"/>
                        </w14:solidFill>
                      </w14:textFill>
                    </w:rPr>
                    <w:t>标项</w:t>
                  </w:r>
                </w:p>
              </w:tc>
              <w:tc>
                <w:tcPr>
                  <w:tcW w:w="4285" w:type="dxa"/>
                  <w:noWrap w:val="0"/>
                  <w:vAlign w:val="top"/>
                </w:tcPr>
                <w:p>
                  <w:pPr>
                    <w:keepNext w:val="0"/>
                    <w:keepLines w:val="0"/>
                    <w:pageBreakBefore w:val="0"/>
                    <w:tabs>
                      <w:tab w:val="left" w:pos="360"/>
                    </w:tabs>
                    <w:kinsoku/>
                    <w:wordWrap/>
                    <w:topLinePunct w:val="0"/>
                    <w:bidi w:val="0"/>
                    <w:spacing w:line="460" w:lineRule="exact"/>
                    <w:jc w:val="center"/>
                    <w:rPr>
                      <w:rFonts w:ascii="新宋体" w:hAnsi="新宋体" w:eastAsia="新宋体" w:cs="新宋体"/>
                      <w:b/>
                      <w:color w:val="000000" w:themeColor="text1"/>
                      <w:sz w:val="22"/>
                      <w:szCs w:val="22"/>
                      <w14:textFill>
                        <w14:solidFill>
                          <w14:schemeClr w14:val="tx1"/>
                        </w14:solidFill>
                      </w14:textFill>
                    </w:rPr>
                  </w:pPr>
                  <w:r>
                    <w:rPr>
                      <w:rFonts w:hint="eastAsia" w:ascii="新宋体" w:hAnsi="新宋体" w:eastAsia="新宋体" w:cs="新宋体"/>
                      <w:b/>
                      <w:color w:val="000000" w:themeColor="text1"/>
                      <w:sz w:val="22"/>
                      <w:szCs w:val="22"/>
                      <w14:textFill>
                        <w14:solidFill>
                          <w14:schemeClr w14:val="tx1"/>
                        </w14:solidFill>
                      </w14:textFill>
                    </w:rPr>
                    <w:t>名称</w:t>
                  </w:r>
                </w:p>
              </w:tc>
              <w:tc>
                <w:tcPr>
                  <w:tcW w:w="1161" w:type="dxa"/>
                  <w:noWrap w:val="0"/>
                  <w:vAlign w:val="top"/>
                </w:tcPr>
                <w:p>
                  <w:pPr>
                    <w:keepNext w:val="0"/>
                    <w:keepLines w:val="0"/>
                    <w:pageBreakBefore w:val="0"/>
                    <w:tabs>
                      <w:tab w:val="left" w:pos="360"/>
                    </w:tabs>
                    <w:kinsoku/>
                    <w:wordWrap/>
                    <w:topLinePunct w:val="0"/>
                    <w:bidi w:val="0"/>
                    <w:spacing w:line="460" w:lineRule="exact"/>
                    <w:jc w:val="center"/>
                    <w:rPr>
                      <w:rFonts w:ascii="新宋体" w:hAnsi="新宋体" w:eastAsia="新宋体" w:cs="新宋体"/>
                      <w:b/>
                      <w:color w:val="000000" w:themeColor="text1"/>
                      <w:sz w:val="22"/>
                      <w:szCs w:val="22"/>
                      <w14:textFill>
                        <w14:solidFill>
                          <w14:schemeClr w14:val="tx1"/>
                        </w14:solidFill>
                      </w14:textFill>
                    </w:rPr>
                  </w:pPr>
                  <w:r>
                    <w:rPr>
                      <w:rFonts w:hint="eastAsia" w:ascii="新宋体" w:hAnsi="新宋体" w:eastAsia="新宋体" w:cs="新宋体"/>
                      <w:b/>
                      <w:color w:val="000000" w:themeColor="text1"/>
                      <w:sz w:val="22"/>
                      <w:szCs w:val="22"/>
                      <w14:textFill>
                        <w14:solidFill>
                          <w14:schemeClr w14:val="tx1"/>
                        </w14:solidFill>
                      </w14:textFill>
                    </w:rPr>
                    <w:t>数量</w:t>
                  </w:r>
                </w:p>
              </w:tc>
              <w:tc>
                <w:tcPr>
                  <w:tcW w:w="1565" w:type="dxa"/>
                  <w:noWrap w:val="0"/>
                  <w:vAlign w:val="top"/>
                </w:tcPr>
                <w:p>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color w:val="000000" w:themeColor="text1"/>
                      <w:sz w:val="22"/>
                      <w:szCs w:val="22"/>
                      <w:lang w:eastAsia="zh-CN"/>
                      <w14:textFill>
                        <w14:solidFill>
                          <w14:schemeClr w14:val="tx1"/>
                        </w14:solidFill>
                      </w14:textFill>
                    </w:rPr>
                  </w:pPr>
                  <w:r>
                    <w:rPr>
                      <w:rFonts w:hint="eastAsia" w:ascii="新宋体" w:hAnsi="新宋体" w:eastAsia="新宋体" w:cs="新宋体"/>
                      <w:b/>
                      <w:color w:val="000000" w:themeColor="text1"/>
                      <w:sz w:val="22"/>
                      <w:szCs w:val="22"/>
                      <w:lang w:val="en-US" w:eastAsia="zh-CN"/>
                      <w14:textFill>
                        <w14:solidFill>
                          <w14:schemeClr w14:val="tx1"/>
                        </w14:solidFill>
                      </w14:textFill>
                    </w:rPr>
                    <w:t>预算金额</w:t>
                  </w:r>
                </w:p>
              </w:tc>
              <w:tc>
                <w:tcPr>
                  <w:tcW w:w="1562" w:type="dxa"/>
                  <w:noWrap w:val="0"/>
                  <w:vAlign w:val="top"/>
                </w:tcPr>
                <w:p>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color w:val="000000" w:themeColor="text1"/>
                      <w:sz w:val="22"/>
                      <w:szCs w:val="22"/>
                      <w:lang w:val="en-US" w:eastAsia="zh-CN"/>
                      <w14:textFill>
                        <w14:solidFill>
                          <w14:schemeClr w14:val="tx1"/>
                        </w14:solidFill>
                      </w14:textFill>
                    </w:rPr>
                  </w:pPr>
                  <w:r>
                    <w:rPr>
                      <w:rFonts w:hint="eastAsia" w:ascii="新宋体" w:hAnsi="新宋体" w:eastAsia="新宋体" w:cs="新宋体"/>
                      <w:b/>
                      <w:color w:val="000000" w:themeColor="text1"/>
                      <w:sz w:val="22"/>
                      <w:szCs w:val="22"/>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693" w:type="dxa"/>
                  <w:vMerge w:val="restart"/>
                  <w:noWrap w:val="0"/>
                  <w:vAlign w:val="center"/>
                </w:tcPr>
                <w:p>
                  <w:pPr>
                    <w:keepNext w:val="0"/>
                    <w:keepLines w:val="0"/>
                    <w:pageBreakBefore w:val="0"/>
                    <w:tabs>
                      <w:tab w:val="left" w:pos="360"/>
                    </w:tabs>
                    <w:kinsoku/>
                    <w:wordWrap/>
                    <w:topLinePunct w:val="0"/>
                    <w:bidi w:val="0"/>
                    <w:spacing w:line="460" w:lineRule="exact"/>
                    <w:jc w:val="center"/>
                    <w:rPr>
                      <w:rFonts w:ascii="新宋体" w:hAnsi="新宋体" w:eastAsia="新宋体" w:cs="新宋体"/>
                      <w:b w:val="0"/>
                      <w:bCs/>
                      <w:color w:val="000000" w:themeColor="text1"/>
                      <w:sz w:val="22"/>
                      <w:szCs w:val="22"/>
                      <w14:textFill>
                        <w14:solidFill>
                          <w14:schemeClr w14:val="tx1"/>
                        </w14:solidFill>
                      </w14:textFill>
                    </w:rPr>
                  </w:pPr>
                  <w:r>
                    <w:rPr>
                      <w:rFonts w:hint="eastAsia" w:ascii="新宋体" w:hAnsi="新宋体" w:eastAsia="新宋体" w:cs="新宋体"/>
                      <w:b w:val="0"/>
                      <w:bCs/>
                      <w:color w:val="000000" w:themeColor="text1"/>
                      <w:sz w:val="22"/>
                      <w:szCs w:val="22"/>
                      <w14:textFill>
                        <w14:solidFill>
                          <w14:schemeClr w14:val="tx1"/>
                        </w14:solidFill>
                      </w14:textFill>
                    </w:rPr>
                    <w:t>1</w:t>
                  </w:r>
                </w:p>
              </w:tc>
              <w:tc>
                <w:tcPr>
                  <w:tcW w:w="4285" w:type="dxa"/>
                  <w:noWrap w:val="0"/>
                  <w:vAlign w:val="center"/>
                </w:tcPr>
                <w:p>
                  <w:pPr>
                    <w:pStyle w:val="30"/>
                    <w:keepNext w:val="0"/>
                    <w:keepLines w:val="0"/>
                    <w:pageBreakBefore w:val="0"/>
                    <w:kinsoku/>
                    <w:wordWrap/>
                    <w:topLinePunct w:val="0"/>
                    <w:bidi w:val="0"/>
                    <w:snapToGrid w:val="0"/>
                    <w:spacing w:line="460" w:lineRule="exact"/>
                    <w:jc w:val="center"/>
                    <w:rPr>
                      <w:rFonts w:hint="eastAsia" w:ascii="新宋体" w:hAnsi="新宋体" w:eastAsia="新宋体" w:cs="新宋体"/>
                      <w:b w:val="0"/>
                      <w:bCs/>
                      <w:color w:val="000000" w:themeColor="text1"/>
                      <w:sz w:val="22"/>
                      <w:szCs w:val="22"/>
                      <w:highlight w:val="none"/>
                      <w14:textFill>
                        <w14:solidFill>
                          <w14:schemeClr w14:val="tx1"/>
                        </w14:solidFill>
                      </w14:textFill>
                    </w:rPr>
                  </w:pPr>
                  <w:r>
                    <w:rPr>
                      <w:rFonts w:hint="eastAsia" w:ascii="新宋体" w:hAnsi="新宋体" w:eastAsia="新宋体"/>
                      <w:b w:val="0"/>
                      <w:bCs/>
                      <w:kern w:val="2"/>
                      <w:sz w:val="22"/>
                      <w:szCs w:val="22"/>
                    </w:rPr>
                    <w:t>全自动血型仪检测系统耗材（试剂）及配套设备租赁</w:t>
                  </w:r>
                </w:p>
              </w:tc>
              <w:tc>
                <w:tcPr>
                  <w:tcW w:w="1161" w:type="dxa"/>
                  <w:noWrap w:val="0"/>
                  <w:vAlign w:val="center"/>
                </w:tcPr>
                <w:p>
                  <w:pPr>
                    <w:pStyle w:val="30"/>
                    <w:keepNext w:val="0"/>
                    <w:keepLines w:val="0"/>
                    <w:pageBreakBefore w:val="0"/>
                    <w:kinsoku/>
                    <w:wordWrap/>
                    <w:topLinePunct w:val="0"/>
                    <w:bidi w:val="0"/>
                    <w:snapToGrid w:val="0"/>
                    <w:spacing w:line="460" w:lineRule="exact"/>
                    <w:jc w:val="center"/>
                    <w:rPr>
                      <w:rFonts w:ascii="新宋体" w:hAnsi="新宋体" w:eastAsia="新宋体" w:cs="新宋体"/>
                      <w:b w:val="0"/>
                      <w:bCs/>
                      <w:color w:val="000000" w:themeColor="text1"/>
                      <w:sz w:val="22"/>
                      <w:szCs w:val="22"/>
                      <w:highlight w:val="none"/>
                      <w14:textFill>
                        <w14:solidFill>
                          <w14:schemeClr w14:val="tx1"/>
                        </w14:solidFill>
                      </w14:textFill>
                    </w:rPr>
                  </w:pPr>
                  <w:r>
                    <w:rPr>
                      <w:rFonts w:hint="eastAsia" w:ascii="新宋体" w:hAnsi="新宋体" w:eastAsia="新宋体"/>
                      <w:b w:val="0"/>
                      <w:bCs/>
                      <w:kern w:val="2"/>
                      <w:sz w:val="22"/>
                      <w:szCs w:val="22"/>
                      <w:lang w:val="en-US" w:eastAsia="zh-CN"/>
                    </w:rPr>
                    <w:t>1</w:t>
                  </w:r>
                  <w:r>
                    <w:rPr>
                      <w:rFonts w:hint="eastAsia" w:ascii="新宋体" w:hAnsi="新宋体" w:eastAsia="新宋体"/>
                      <w:b w:val="0"/>
                      <w:bCs/>
                      <w:kern w:val="2"/>
                      <w:sz w:val="22"/>
                      <w:szCs w:val="22"/>
                    </w:rPr>
                    <w:t>套</w:t>
                  </w:r>
                </w:p>
              </w:tc>
              <w:tc>
                <w:tcPr>
                  <w:tcW w:w="1565" w:type="dxa"/>
                  <w:noWrap w:val="0"/>
                  <w:vAlign w:val="center"/>
                </w:tcPr>
                <w:p>
                  <w:pPr>
                    <w:pStyle w:val="30"/>
                    <w:keepNext w:val="0"/>
                    <w:keepLines w:val="0"/>
                    <w:pageBreakBefore w:val="0"/>
                    <w:kinsoku/>
                    <w:wordWrap/>
                    <w:topLinePunct w:val="0"/>
                    <w:bidi w:val="0"/>
                    <w:snapToGrid w:val="0"/>
                    <w:spacing w:line="460" w:lineRule="exact"/>
                    <w:jc w:val="center"/>
                    <w:rPr>
                      <w:rFonts w:hint="eastAsia" w:ascii="新宋体" w:hAnsi="新宋体" w:eastAsia="新宋体" w:cs="新宋体"/>
                      <w:b w:val="0"/>
                      <w:bCs/>
                      <w:color w:val="000000" w:themeColor="text1"/>
                      <w:sz w:val="22"/>
                      <w:szCs w:val="22"/>
                      <w:highlight w:val="none"/>
                      <w14:textFill>
                        <w14:solidFill>
                          <w14:schemeClr w14:val="tx1"/>
                        </w14:solidFill>
                      </w14:textFill>
                    </w:rPr>
                  </w:pPr>
                  <w:r>
                    <w:rPr>
                      <w:rFonts w:hint="eastAsia" w:ascii="新宋体" w:hAnsi="新宋体" w:eastAsia="新宋体"/>
                      <w:b w:val="0"/>
                      <w:bCs/>
                      <w:kern w:val="2"/>
                      <w:sz w:val="22"/>
                      <w:szCs w:val="22"/>
                      <w:lang w:val="en-US" w:eastAsia="zh-CN"/>
                    </w:rPr>
                    <w:t>400000</w:t>
                  </w:r>
                  <w:r>
                    <w:rPr>
                      <w:rFonts w:hint="eastAsia" w:ascii="新宋体" w:hAnsi="新宋体" w:eastAsia="新宋体"/>
                      <w:b w:val="0"/>
                      <w:bCs/>
                      <w:kern w:val="2"/>
                      <w:sz w:val="22"/>
                      <w:szCs w:val="22"/>
                    </w:rPr>
                    <w:t>元</w:t>
                  </w:r>
                </w:p>
              </w:tc>
              <w:tc>
                <w:tcPr>
                  <w:tcW w:w="1562" w:type="dxa"/>
                  <w:vMerge w:val="restart"/>
                  <w:noWrap w:val="0"/>
                  <w:vAlign w:val="center"/>
                </w:tcPr>
                <w:p>
                  <w:pPr>
                    <w:keepNext w:val="0"/>
                    <w:keepLines w:val="0"/>
                    <w:pageBreakBefore w:val="0"/>
                    <w:tabs>
                      <w:tab w:val="left" w:pos="360"/>
                    </w:tabs>
                    <w:kinsoku/>
                    <w:wordWrap/>
                    <w:topLinePunct w:val="0"/>
                    <w:bidi w:val="0"/>
                    <w:spacing w:line="460" w:lineRule="exact"/>
                    <w:jc w:val="center"/>
                    <w:rPr>
                      <w:rFonts w:hint="default" w:ascii="新宋体" w:hAnsi="新宋体" w:eastAsia="新宋体" w:cs="新宋体"/>
                      <w:b w:val="0"/>
                      <w:bCs/>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不允许进口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93" w:type="dxa"/>
                  <w:vMerge w:val="continue"/>
                  <w:noWrap w:val="0"/>
                  <w:vAlign w:val="center"/>
                </w:tcPr>
                <w:p>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val="0"/>
                      <w:bCs/>
                      <w:color w:val="000000" w:themeColor="text1"/>
                      <w:sz w:val="22"/>
                      <w:szCs w:val="22"/>
                      <w:lang w:val="en-US" w:eastAsia="zh-CN"/>
                      <w14:textFill>
                        <w14:solidFill>
                          <w14:schemeClr w14:val="tx1"/>
                        </w14:solidFill>
                      </w14:textFill>
                    </w:rPr>
                  </w:pPr>
                </w:p>
              </w:tc>
              <w:tc>
                <w:tcPr>
                  <w:tcW w:w="4285" w:type="dxa"/>
                  <w:noWrap w:val="0"/>
                  <w:vAlign w:val="center"/>
                </w:tcPr>
                <w:p>
                  <w:pPr>
                    <w:pStyle w:val="30"/>
                    <w:keepNext w:val="0"/>
                    <w:keepLines w:val="0"/>
                    <w:pageBreakBefore w:val="0"/>
                    <w:kinsoku/>
                    <w:wordWrap/>
                    <w:topLinePunct w:val="0"/>
                    <w:bidi w:val="0"/>
                    <w:snapToGrid w:val="0"/>
                    <w:spacing w:line="460" w:lineRule="exact"/>
                    <w:jc w:val="center"/>
                    <w:rPr>
                      <w:rFonts w:hint="eastAsia" w:ascii="新宋体" w:hAnsi="新宋体" w:eastAsia="新宋体" w:cs="新宋体"/>
                      <w:b w:val="0"/>
                      <w:bCs/>
                      <w:color w:val="000000" w:themeColor="text1"/>
                      <w:sz w:val="22"/>
                      <w:szCs w:val="22"/>
                      <w:highlight w:val="none"/>
                      <w:lang w:eastAsia="zh-CN"/>
                      <w14:textFill>
                        <w14:solidFill>
                          <w14:schemeClr w14:val="tx1"/>
                        </w14:solidFill>
                      </w14:textFill>
                    </w:rPr>
                  </w:pPr>
                  <w:r>
                    <w:rPr>
                      <w:rFonts w:hint="eastAsia" w:ascii="新宋体" w:hAnsi="新宋体" w:eastAsia="新宋体"/>
                      <w:b w:val="0"/>
                      <w:bCs/>
                      <w:kern w:val="2"/>
                      <w:sz w:val="22"/>
                      <w:szCs w:val="22"/>
                    </w:rPr>
                    <w:t>全自动血型仪检测系统耗材（试剂）</w:t>
                  </w:r>
                </w:p>
              </w:tc>
              <w:tc>
                <w:tcPr>
                  <w:tcW w:w="1161" w:type="dxa"/>
                  <w:noWrap w:val="0"/>
                  <w:vAlign w:val="center"/>
                </w:tcPr>
                <w:p>
                  <w:pPr>
                    <w:pStyle w:val="30"/>
                    <w:keepNext w:val="0"/>
                    <w:keepLines w:val="0"/>
                    <w:pageBreakBefore w:val="0"/>
                    <w:kinsoku/>
                    <w:wordWrap/>
                    <w:topLinePunct w:val="0"/>
                    <w:bidi w:val="0"/>
                    <w:snapToGrid w:val="0"/>
                    <w:spacing w:line="460" w:lineRule="exact"/>
                    <w:jc w:val="center"/>
                    <w:rPr>
                      <w:rFonts w:ascii="新宋体" w:hAnsi="新宋体" w:eastAsia="新宋体" w:cs="新宋体"/>
                      <w:b w:val="0"/>
                      <w:bCs/>
                      <w:color w:val="000000" w:themeColor="text1"/>
                      <w:sz w:val="22"/>
                      <w:szCs w:val="22"/>
                      <w:highlight w:val="none"/>
                      <w14:textFill>
                        <w14:solidFill>
                          <w14:schemeClr w14:val="tx1"/>
                        </w14:solidFill>
                      </w14:textFill>
                    </w:rPr>
                  </w:pPr>
                  <w:r>
                    <w:rPr>
                      <w:rFonts w:hint="eastAsia" w:ascii="新宋体" w:hAnsi="新宋体" w:eastAsia="新宋体"/>
                      <w:b w:val="0"/>
                      <w:bCs/>
                      <w:kern w:val="2"/>
                      <w:sz w:val="22"/>
                      <w:szCs w:val="22"/>
                      <w:lang w:val="en-US" w:eastAsia="zh-CN"/>
                    </w:rPr>
                    <w:t>1</w:t>
                  </w:r>
                  <w:r>
                    <w:rPr>
                      <w:rFonts w:hint="eastAsia" w:ascii="新宋体" w:hAnsi="新宋体" w:eastAsia="新宋体"/>
                      <w:b w:val="0"/>
                      <w:bCs/>
                      <w:kern w:val="2"/>
                      <w:sz w:val="22"/>
                      <w:szCs w:val="22"/>
                    </w:rPr>
                    <w:t>项</w:t>
                  </w:r>
                </w:p>
              </w:tc>
              <w:tc>
                <w:tcPr>
                  <w:tcW w:w="1565" w:type="dxa"/>
                  <w:noWrap w:val="0"/>
                  <w:vAlign w:val="center"/>
                </w:tcPr>
                <w:p>
                  <w:pPr>
                    <w:pStyle w:val="30"/>
                    <w:keepNext w:val="0"/>
                    <w:keepLines w:val="0"/>
                    <w:pageBreakBefore w:val="0"/>
                    <w:kinsoku/>
                    <w:wordWrap/>
                    <w:topLinePunct w:val="0"/>
                    <w:bidi w:val="0"/>
                    <w:snapToGrid w:val="0"/>
                    <w:spacing w:line="460" w:lineRule="exact"/>
                    <w:jc w:val="center"/>
                    <w:rPr>
                      <w:rFonts w:hint="eastAsia" w:ascii="新宋体" w:hAnsi="新宋体" w:eastAsia="新宋体" w:cs="新宋体"/>
                      <w:b w:val="0"/>
                      <w:bCs/>
                      <w:color w:val="000000" w:themeColor="text1"/>
                      <w:sz w:val="22"/>
                      <w:szCs w:val="22"/>
                      <w:highlight w:val="none"/>
                      <w14:textFill>
                        <w14:solidFill>
                          <w14:schemeClr w14:val="tx1"/>
                        </w14:solidFill>
                      </w14:textFill>
                    </w:rPr>
                  </w:pPr>
                  <w:r>
                    <w:rPr>
                      <w:rFonts w:hint="eastAsia" w:ascii="新宋体" w:hAnsi="新宋体" w:eastAsia="新宋体"/>
                      <w:b w:val="0"/>
                      <w:bCs/>
                      <w:kern w:val="2"/>
                      <w:sz w:val="22"/>
                      <w:szCs w:val="22"/>
                      <w:lang w:val="en-US" w:eastAsia="zh-CN"/>
                    </w:rPr>
                    <w:t>5000</w:t>
                  </w:r>
                  <w:r>
                    <w:rPr>
                      <w:rFonts w:hint="eastAsia" w:ascii="新宋体" w:hAnsi="新宋体" w:eastAsia="新宋体"/>
                      <w:b w:val="0"/>
                      <w:bCs/>
                      <w:kern w:val="2"/>
                      <w:sz w:val="22"/>
                      <w:szCs w:val="22"/>
                    </w:rPr>
                    <w:t>元</w:t>
                  </w:r>
                </w:p>
              </w:tc>
              <w:tc>
                <w:tcPr>
                  <w:tcW w:w="1562" w:type="dxa"/>
                  <w:vMerge w:val="continue"/>
                  <w:noWrap w:val="0"/>
                  <w:vAlign w:val="center"/>
                </w:tcPr>
                <w:p>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266" w:type="dxa"/>
                  <w:gridSpan w:val="5"/>
                  <w:noWrap w:val="0"/>
                  <w:vAlign w:val="top"/>
                </w:tcPr>
                <w:p>
                  <w:pPr>
                    <w:keepNext w:val="0"/>
                    <w:keepLines w:val="0"/>
                    <w:pageBreakBefore w:val="0"/>
                    <w:tabs>
                      <w:tab w:val="left" w:pos="360"/>
                    </w:tabs>
                    <w:kinsoku/>
                    <w:wordWrap/>
                    <w:topLinePunct w:val="0"/>
                    <w:bidi w:val="0"/>
                    <w:spacing w:line="460" w:lineRule="exact"/>
                    <w:rPr>
                      <w:rFonts w:hint="eastAsia" w:ascii="新宋体" w:hAnsi="新宋体" w:eastAsia="新宋体" w:cs="新宋体"/>
                      <w:b w:val="0"/>
                      <w:bCs/>
                      <w:color w:val="000000" w:themeColor="text1"/>
                      <w:sz w:val="22"/>
                      <w:szCs w:val="22"/>
                      <w14:textFill>
                        <w14:solidFill>
                          <w14:schemeClr w14:val="tx1"/>
                        </w14:solidFill>
                      </w14:textFill>
                    </w:rPr>
                  </w:pPr>
                  <w:r>
                    <w:rPr>
                      <w:rFonts w:hint="eastAsia" w:ascii="新宋体" w:hAnsi="新宋体" w:eastAsia="新宋体" w:cs="新宋体"/>
                      <w:b w:val="0"/>
                      <w:bCs/>
                      <w:color w:val="000000" w:themeColor="text1"/>
                      <w:sz w:val="22"/>
                      <w:szCs w:val="22"/>
                      <w14:textFill>
                        <w14:solidFill>
                          <w14:schemeClr w14:val="tx1"/>
                        </w14:solidFill>
                      </w14:textFill>
                    </w:rPr>
                    <w:t>项目总预算为</w:t>
                  </w:r>
                  <w:r>
                    <w:rPr>
                      <w:rFonts w:hint="eastAsia" w:ascii="新宋体" w:hAnsi="新宋体" w:eastAsia="新宋体" w:cs="新宋体"/>
                      <w:b w:val="0"/>
                      <w:bCs/>
                      <w:color w:val="000000" w:themeColor="text1"/>
                      <w:sz w:val="22"/>
                      <w:szCs w:val="22"/>
                      <w:lang w:val="en-US" w:eastAsia="zh-CN"/>
                      <w14:textFill>
                        <w14:solidFill>
                          <w14:schemeClr w14:val="tx1"/>
                        </w14:solidFill>
                      </w14:textFill>
                    </w:rPr>
                    <w:t>肆拾万零伍仟元整</w:t>
                  </w:r>
                  <w:r>
                    <w:rPr>
                      <w:rFonts w:hint="eastAsia" w:ascii="新宋体" w:hAnsi="新宋体" w:eastAsia="新宋体"/>
                      <w:b w:val="0"/>
                      <w:bCs/>
                      <w:color w:val="000000" w:themeColor="text1"/>
                      <w:sz w:val="22"/>
                      <w:szCs w:val="22"/>
                      <w14:textFill>
                        <w14:solidFill>
                          <w14:schemeClr w14:val="tx1"/>
                        </w14:solidFill>
                      </w14:textFill>
                    </w:rPr>
                    <w:t>（¥</w:t>
                  </w:r>
                  <w:r>
                    <w:rPr>
                      <w:rFonts w:hint="eastAsia" w:ascii="新宋体" w:hAnsi="新宋体" w:eastAsia="新宋体"/>
                      <w:b w:val="0"/>
                      <w:bCs/>
                      <w:color w:val="000000" w:themeColor="text1"/>
                      <w:sz w:val="22"/>
                      <w:szCs w:val="22"/>
                      <w:lang w:val="en-US" w:eastAsia="zh-CN"/>
                      <w14:textFill>
                        <w14:solidFill>
                          <w14:schemeClr w14:val="tx1"/>
                        </w14:solidFill>
                      </w14:textFill>
                    </w:rPr>
                    <w:t>405</w:t>
                  </w:r>
                  <w:r>
                    <w:rPr>
                      <w:rFonts w:hint="eastAsia" w:ascii="新宋体" w:hAnsi="新宋体" w:eastAsia="新宋体"/>
                      <w:b w:val="0"/>
                      <w:bCs/>
                      <w:color w:val="000000" w:themeColor="text1"/>
                      <w:sz w:val="22"/>
                      <w:szCs w:val="22"/>
                      <w14:textFill>
                        <w14:solidFill>
                          <w14:schemeClr w14:val="tx1"/>
                        </w14:solidFill>
                      </w14:textFill>
                    </w:rPr>
                    <w:t>000.00元）</w:t>
                  </w:r>
                </w:p>
              </w:tc>
            </w:tr>
          </w:tbl>
          <w:p>
            <w:pPr>
              <w:tabs>
                <w:tab w:val="left" w:pos="360"/>
              </w:tabs>
              <w:spacing w:line="460" w:lineRule="exact"/>
              <w:rPr>
                <w:rFonts w:hint="eastAsia" w:ascii="宋体" w:hAnsi="宋体" w:eastAsia="宋体" w:cs="宋体"/>
                <w:color w:val="auto"/>
                <w:highlight w:val="none"/>
              </w:rPr>
            </w:pPr>
            <w:r>
              <w:rPr>
                <w:rFonts w:hint="eastAsia" w:ascii="宋体" w:hAnsi="宋体" w:eastAsia="宋体" w:cs="宋体"/>
                <w:b/>
                <w:color w:val="auto"/>
                <w:sz w:val="22"/>
                <w:szCs w:val="22"/>
                <w:highlight w:val="none"/>
              </w:rPr>
              <w:t>如投标人报价超过预算金额</w:t>
            </w:r>
            <w:r>
              <w:rPr>
                <w:rFonts w:hint="eastAsia" w:ascii="宋体" w:hAnsi="宋体" w:cs="宋体"/>
                <w:b/>
                <w:color w:val="auto"/>
                <w:sz w:val="22"/>
                <w:szCs w:val="22"/>
                <w:highlight w:val="none"/>
                <w:lang w:val="en-US" w:eastAsia="zh-CN"/>
              </w:rPr>
              <w:t>或单价限价</w:t>
            </w:r>
            <w:r>
              <w:rPr>
                <w:rFonts w:hint="eastAsia" w:ascii="宋体" w:hAnsi="宋体" w:eastAsia="宋体" w:cs="宋体"/>
                <w:b/>
                <w:color w:val="auto"/>
                <w:sz w:val="22"/>
                <w:szCs w:val="22"/>
                <w:highlight w:val="none"/>
              </w:rPr>
              <w:t>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w:t>
            </w:r>
          </w:p>
        </w:tc>
        <w:tc>
          <w:tcPr>
            <w:tcW w:w="9676"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投标</w:t>
            </w:r>
            <w:r>
              <w:rPr>
                <w:rFonts w:hint="eastAsia" w:ascii="宋体" w:hAnsi="宋体" w:eastAsia="宋体" w:cs="宋体"/>
                <w:b/>
                <w:bCs/>
                <w:color w:val="auto"/>
                <w:sz w:val="22"/>
                <w:szCs w:val="22"/>
                <w:highlight w:val="none"/>
              </w:rPr>
              <w:t>有效期：</w:t>
            </w:r>
            <w:r>
              <w:rPr>
                <w:rFonts w:hint="eastAsia" w:ascii="宋体" w:hAnsi="宋体" w:eastAsia="宋体" w:cs="宋体"/>
                <w:color w:val="auto"/>
                <w:sz w:val="22"/>
                <w:szCs w:val="22"/>
                <w:highlight w:val="none"/>
              </w:rPr>
              <w:t>自投标截止日起120天。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w:t>
            </w:r>
          </w:p>
        </w:tc>
        <w:tc>
          <w:tcPr>
            <w:tcW w:w="9676"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投标保证金数额：</w:t>
            </w:r>
            <w:r>
              <w:rPr>
                <w:rFonts w:hint="eastAsia" w:ascii="宋体" w:hAnsi="宋体" w:eastAsia="宋体" w:cs="宋体"/>
                <w:b w:val="0"/>
                <w:bCs w:val="0"/>
                <w:color w:val="auto"/>
                <w:sz w:val="22"/>
                <w:szCs w:val="22"/>
                <w:highlight w:val="none"/>
              </w:rPr>
              <w:t>无</w:t>
            </w:r>
            <w:r>
              <w:rPr>
                <w:rFonts w:hint="eastAsia" w:ascii="宋体" w:hAnsi="宋体" w:eastAsia="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w:t>
            </w:r>
          </w:p>
        </w:tc>
        <w:tc>
          <w:tcPr>
            <w:tcW w:w="9676"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招标服务费：</w:t>
            </w:r>
            <w:r>
              <w:rPr>
                <w:rFonts w:hint="eastAsia" w:ascii="宋体" w:hAnsi="宋体" w:eastAsia="宋体" w:cs="宋体"/>
                <w:color w:val="auto"/>
                <w:sz w:val="22"/>
                <w:szCs w:val="22"/>
                <w:highlight w:val="none"/>
              </w:rPr>
              <w:t>根据国家计委计价格【2002】1980号《招标代理服务收费管理暂行办法》规定</w:t>
            </w:r>
            <w:r>
              <w:rPr>
                <w:rFonts w:hint="eastAsia" w:ascii="宋体" w:hAnsi="宋体" w:eastAsia="宋体" w:cs="宋体"/>
                <w:color w:val="auto"/>
                <w:sz w:val="22"/>
                <w:szCs w:val="22"/>
                <w:highlight w:val="none"/>
                <w:lang w:val="en-US" w:eastAsia="zh-CN"/>
              </w:rPr>
              <w:t>标准的75%</w:t>
            </w:r>
            <w:r>
              <w:rPr>
                <w:rFonts w:hint="eastAsia" w:ascii="宋体" w:hAnsi="宋体" w:eastAsia="宋体" w:cs="宋体"/>
                <w:color w:val="auto"/>
                <w:sz w:val="22"/>
                <w:szCs w:val="22"/>
                <w:highlight w:val="none"/>
              </w:rPr>
              <w:t>收取,由中标人在领取中标通知书时支付。</w:t>
            </w:r>
          </w:p>
          <w:p>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户   名：温州历程招标有限公司</w:t>
            </w:r>
          </w:p>
          <w:p>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   号：33050162870409101001</w:t>
            </w:r>
          </w:p>
          <w:p>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开户行：中国建设银行温州黎明支行</w:t>
            </w: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政采云平台技术服务费：</w:t>
            </w:r>
          </w:p>
          <w:p>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由政采云公司向中标供应商收取，该费用由采购代理公司在发布中标公告前先行代为缴纳，中标供应商在领取中标通知书时将该费用按实际缴纳金额（含税费）支付给代理机构。</w:t>
            </w:r>
          </w:p>
          <w:p>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（一）不涉及合同金额的采购项目，技术服务费500元/件；</w:t>
            </w:r>
          </w:p>
          <w:p>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（二）涉及合同金额的采购项目，根据合同标的额，按照下列比例收费：</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中标价50万元以下(含50万元)：按500元收取；50万元以上：千分之一（1‰）。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w:t>
            </w:r>
          </w:p>
        </w:tc>
        <w:tc>
          <w:tcPr>
            <w:tcW w:w="9676"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投标文件的组成：</w:t>
            </w:r>
            <w:r>
              <w:rPr>
                <w:rFonts w:hint="eastAsia" w:ascii="宋体" w:hAnsi="宋体" w:eastAsia="宋体" w:cs="宋体"/>
                <w:color w:val="auto"/>
                <w:sz w:val="22"/>
                <w:szCs w:val="22"/>
                <w:highlight w:val="none"/>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w:t>
            </w:r>
          </w:p>
        </w:tc>
        <w:tc>
          <w:tcPr>
            <w:tcW w:w="9676"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投标文件的编制：</w:t>
            </w:r>
            <w:r>
              <w:rPr>
                <w:rFonts w:hint="eastAsia" w:ascii="宋体" w:hAnsi="宋体" w:eastAsia="宋体" w:cs="宋体"/>
                <w:color w:val="auto"/>
                <w:sz w:val="22"/>
                <w:szCs w:val="22"/>
                <w:highlight w:val="none"/>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w:t>
            </w:r>
          </w:p>
        </w:tc>
        <w:tc>
          <w:tcPr>
            <w:tcW w:w="9676"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投标文件的签章：</w:t>
            </w:r>
            <w:r>
              <w:rPr>
                <w:rFonts w:hint="eastAsia" w:ascii="宋体" w:hAnsi="宋体" w:eastAsia="宋体" w:cs="宋体"/>
                <w:color w:val="auto"/>
                <w:sz w:val="22"/>
                <w:szCs w:val="22"/>
                <w:highlight w:val="none"/>
              </w:rPr>
              <w:t>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w:t>
            </w:r>
          </w:p>
        </w:tc>
        <w:tc>
          <w:tcPr>
            <w:tcW w:w="9676"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投标文件的形式：</w:t>
            </w:r>
            <w:r>
              <w:rPr>
                <w:rFonts w:hint="eastAsia" w:ascii="宋体" w:hAnsi="宋体" w:eastAsia="宋体" w:cs="宋体"/>
                <w:color w:val="auto"/>
                <w:sz w:val="22"/>
                <w:szCs w:val="22"/>
                <w:highlight w:val="none"/>
              </w:rPr>
              <w:t>☑电子投标文件（包括“电子加密投标文件”和“备份投标文件”，在投标文件编制完成后同时生成）；</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（1）“电子加密投标文件”是指通过“政采云电子交易客户端”完成投标文件编制后生成并加密的数据电文形式的投标文件。</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w:t>
            </w:r>
          </w:p>
        </w:tc>
        <w:tc>
          <w:tcPr>
            <w:tcW w:w="9676"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sz w:val="22"/>
                <w:szCs w:val="28"/>
              </w:rPr>
            </w:pPr>
            <w:r>
              <w:rPr>
                <w:rFonts w:hint="eastAsia"/>
                <w:sz w:val="22"/>
                <w:szCs w:val="28"/>
              </w:rPr>
              <w:t>投标文件份数：</w:t>
            </w:r>
          </w:p>
          <w:p>
            <w:pPr>
              <w:numPr>
                <w:ilvl w:val="0"/>
                <w:numId w:val="5"/>
              </w:numPr>
              <w:spacing w:line="460" w:lineRule="exact"/>
              <w:rPr>
                <w:rFonts w:hint="eastAsia"/>
                <w:sz w:val="22"/>
                <w:szCs w:val="28"/>
              </w:rPr>
            </w:pPr>
            <w:r>
              <w:rPr>
                <w:rFonts w:hint="eastAsia"/>
                <w:sz w:val="22"/>
                <w:szCs w:val="28"/>
              </w:rPr>
              <w:t>“电子加密投标文件”：在线上传递交、一份。</w:t>
            </w:r>
          </w:p>
          <w:p>
            <w:pPr>
              <w:numPr>
                <w:ilvl w:val="0"/>
                <w:numId w:val="5"/>
              </w:numPr>
              <w:spacing w:line="460" w:lineRule="exact"/>
              <w:rPr>
                <w:rFonts w:hint="eastAsia"/>
                <w:sz w:val="22"/>
                <w:szCs w:val="28"/>
              </w:rPr>
            </w:pPr>
            <w:r>
              <w:rPr>
                <w:rFonts w:hint="eastAsia"/>
                <w:sz w:val="22"/>
                <w:szCs w:val="28"/>
              </w:rPr>
              <w:t>“备份投标文件”：密封包装后投标截止时间前递交、一份</w:t>
            </w:r>
          </w:p>
          <w:p>
            <w:pPr>
              <w:spacing w:line="460" w:lineRule="exact"/>
              <w:rPr>
                <w:rFonts w:hint="eastAsia"/>
                <w:sz w:val="22"/>
                <w:szCs w:val="28"/>
              </w:rPr>
            </w:pPr>
            <w:r>
              <w:rPr>
                <w:rFonts w:hint="eastAsia"/>
                <w:sz w:val="22"/>
                <w:szCs w:val="28"/>
              </w:rPr>
              <w:t>（若不提供备份投标文件，开标当天电子加密投标文件解密失败，投标人自行负责。）</w:t>
            </w:r>
          </w:p>
          <w:p>
            <w:pPr>
              <w:tabs>
                <w:tab w:val="left" w:pos="360"/>
              </w:tabs>
              <w:spacing w:line="460" w:lineRule="exact"/>
              <w:rPr>
                <w:rFonts w:hint="eastAsia"/>
                <w:sz w:val="22"/>
                <w:szCs w:val="28"/>
              </w:rPr>
            </w:pPr>
            <w:r>
              <w:rPr>
                <w:rFonts w:hint="eastAsia"/>
                <w:sz w:val="22"/>
                <w:szCs w:val="28"/>
              </w:rPr>
              <w:t>可以（邮寄形式，建议顺丰）在投标截止时间前递交，并需采购代理机构确认是否收到，</w:t>
            </w:r>
          </w:p>
          <w:p>
            <w:pPr>
              <w:spacing w:line="460" w:lineRule="exact"/>
              <w:rPr>
                <w:rFonts w:hint="eastAsia"/>
                <w:sz w:val="22"/>
                <w:szCs w:val="28"/>
                <w:lang w:eastAsia="zh-CN"/>
              </w:rPr>
            </w:pPr>
            <w:r>
              <w:rPr>
                <w:rFonts w:hint="eastAsia"/>
                <w:sz w:val="22"/>
                <w:szCs w:val="28"/>
              </w:rPr>
              <w:t>邮寄地址：</w:t>
            </w:r>
            <w:r>
              <w:rPr>
                <w:rFonts w:hint="eastAsia"/>
                <w:sz w:val="22"/>
                <w:szCs w:val="28"/>
                <w:lang w:eastAsia="zh-CN"/>
              </w:rPr>
              <w:t>温州市鹿城区学院中路229号三想集团5楼</w:t>
            </w:r>
          </w:p>
          <w:p>
            <w:pPr>
              <w:spacing w:line="460" w:lineRule="exact"/>
              <w:rPr>
                <w:rFonts w:hint="default" w:eastAsia="宋体"/>
                <w:lang w:val="en-US" w:eastAsia="zh-CN"/>
              </w:rPr>
            </w:pPr>
            <w:r>
              <w:rPr>
                <w:rFonts w:hint="eastAsia"/>
                <w:sz w:val="22"/>
                <w:szCs w:val="28"/>
                <w:lang w:val="en-US" w:eastAsia="zh-CN"/>
              </w:rPr>
              <w:t>联系人：温先生    联系电话</w:t>
            </w:r>
            <w:r>
              <w:rPr>
                <w:rFonts w:hint="eastAsia" w:ascii="Times New Roman" w:hAnsi="Times New Roman" w:eastAsia="宋体" w:cs="Times New Roman"/>
                <w:sz w:val="22"/>
                <w:szCs w:val="28"/>
                <w:lang w:val="en-US" w:eastAsia="zh-CN"/>
              </w:rPr>
              <w:t>：13757727199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w:t>
            </w:r>
          </w:p>
        </w:tc>
        <w:tc>
          <w:tcPr>
            <w:tcW w:w="9676"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投标文件的上传和递交：</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（1）“电子加密投标文件”的上传、递交：</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a.投标人应在投标截止时间前将“电子加密投标文件”成功上传递交至“政府采购云平台”，否则投标无效。</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（2）“备份投标文件”的密封包装、递交：</w:t>
            </w:r>
          </w:p>
          <w:p>
            <w:pPr>
              <w:tabs>
                <w:tab w:val="left" w:pos="360"/>
              </w:tabs>
              <w:spacing w:line="460" w:lineRule="exact"/>
              <w:ind w:firstLine="550" w:firstLineChars="25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a.投标人在“政府采购云平台”完成“电子加密投标文件”的上传递交后，</w:t>
            </w:r>
            <w:r>
              <w:rPr>
                <w:rFonts w:hint="eastAsia" w:ascii="宋体" w:hAnsi="宋体" w:eastAsia="宋体" w:cs="宋体"/>
                <w:b/>
                <w:bCs/>
                <w:color w:val="auto"/>
                <w:sz w:val="22"/>
                <w:szCs w:val="22"/>
                <w:highlight w:val="none"/>
              </w:rPr>
              <w:t>还可以在投标截止时间前递交以介质（U盘）存储的数据电文形式的“备份投标文件”，（可以</w:t>
            </w:r>
            <w:r>
              <w:rPr>
                <w:rFonts w:hint="eastAsia" w:ascii="宋体" w:hAnsi="宋体" w:eastAsia="宋体" w:cs="宋体"/>
                <w:b/>
                <w:color w:val="auto"/>
                <w:sz w:val="22"/>
                <w:szCs w:val="22"/>
                <w:highlight w:val="none"/>
                <w:u w:val="single"/>
              </w:rPr>
              <w:t>（邮寄形式，建议顺丰）在投标截止时间前递交，并需采购代理机构确认是否收到</w:t>
            </w:r>
            <w:r>
              <w:rPr>
                <w:rFonts w:hint="eastAsia" w:ascii="宋体" w:hAnsi="宋体" w:eastAsia="宋体" w:cs="宋体"/>
                <w:b/>
                <w:bCs/>
                <w:color w:val="auto"/>
                <w:sz w:val="22"/>
                <w:szCs w:val="22"/>
                <w:highlight w:val="none"/>
              </w:rPr>
              <w:t>）</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11</w:t>
            </w:r>
          </w:p>
        </w:tc>
        <w:tc>
          <w:tcPr>
            <w:tcW w:w="9676"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电子加密投标文件的解密和异常情况处理：</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（3）投标截止时间前，投标人仅递交了“备份投标文件”而未将电子加密投标文件上传至“政府采购云平台”的，投标无效。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12</w:t>
            </w:r>
          </w:p>
        </w:tc>
        <w:tc>
          <w:tcPr>
            <w:tcW w:w="9676"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提交投标文件截止时间：</w:t>
            </w:r>
            <w:r>
              <w:rPr>
                <w:rFonts w:hint="eastAsia" w:ascii="宋体" w:hAnsi="宋体" w:eastAsia="宋体" w:cs="宋体"/>
                <w:color w:val="auto"/>
                <w:sz w:val="22"/>
                <w:szCs w:val="22"/>
                <w:highlight w:val="none"/>
                <w:lang w:val="en-US" w:eastAsia="zh-CN"/>
              </w:rPr>
              <w:t>2023年05月10日09</w:t>
            </w:r>
            <w:r>
              <w:rPr>
                <w:rFonts w:hint="eastAsia" w:ascii="宋体" w:hAnsi="宋体" w:eastAsia="宋体" w:cs="宋体"/>
                <w:color w:val="auto"/>
                <w:sz w:val="22"/>
                <w:szCs w:val="22"/>
                <w:highlight w:val="none"/>
              </w:rPr>
              <w:t>:30</w:t>
            </w:r>
            <w:r>
              <w:rPr>
                <w:rFonts w:hint="eastAsia"/>
                <w:sz w:val="22"/>
                <w:szCs w:val="22"/>
                <w:u w:val="none"/>
              </w:rPr>
              <w:t>（北京时间）</w:t>
            </w:r>
            <w:r>
              <w:rPr>
                <w:rFonts w:hint="eastAsia" w:ascii="宋体" w:hAnsi="宋体" w:eastAsia="宋体" w:cs="宋体"/>
                <w:color w:val="auto"/>
                <w:sz w:val="22"/>
                <w:szCs w:val="22"/>
                <w:highlight w:val="none"/>
              </w:rPr>
              <w:t> </w:t>
            </w:r>
          </w:p>
          <w:p>
            <w:pPr>
              <w:widowControl/>
              <w:snapToGrid w:val="0"/>
              <w:spacing w:line="460" w:lineRule="exact"/>
              <w:jc w:val="left"/>
              <w:rPr>
                <w:rFonts w:hint="eastAsia"/>
                <w:color w:val="auto"/>
              </w:rPr>
            </w:pPr>
            <w:r>
              <w:rPr>
                <w:rFonts w:hint="eastAsia" w:ascii="宋体" w:hAnsi="宋体" w:eastAsia="宋体" w:cs="宋体"/>
                <w:color w:val="auto"/>
                <w:sz w:val="22"/>
                <w:szCs w:val="22"/>
                <w:highlight w:val="none"/>
              </w:rPr>
              <w:t>投标地点（网址）：</w:t>
            </w:r>
            <w:r>
              <w:rPr>
                <w:rFonts w:hint="eastAsia" w:ascii="宋体" w:hAnsi="宋体" w:eastAsia="宋体" w:cs="宋体"/>
                <w:color w:val="auto"/>
                <w:sz w:val="22"/>
                <w:szCs w:val="22"/>
                <w:highlight w:val="none"/>
                <w:lang w:eastAsia="zh-CN"/>
              </w:rPr>
              <w:t>温州市鹿城区学院中路229号三想集团5楼（</w:t>
            </w:r>
            <w:r>
              <w:rPr>
                <w:rFonts w:hint="eastAsia" w:ascii="宋体" w:hAnsi="宋体" w:eastAsia="宋体" w:cs="宋体"/>
                <w:color w:val="auto"/>
                <w:sz w:val="22"/>
                <w:szCs w:val="22"/>
                <w:highlight w:val="none"/>
                <w:lang w:val="en-US" w:eastAsia="zh-CN"/>
              </w:rPr>
              <w:t>政采云</w:t>
            </w:r>
            <w:r>
              <w:rPr>
                <w:rFonts w:hint="eastAsia" w:ascii="宋体" w:hAnsi="宋体" w:eastAsia="宋体" w:cs="宋体"/>
                <w:color w:val="auto"/>
                <w:sz w:val="21"/>
                <w:szCs w:val="21"/>
                <w:highlight w:val="none"/>
              </w:rPr>
              <w:t>http://zfcg.czt.zj.gov.cn</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auto" w:sz="4"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en-US" w:eastAsia="zh-CN"/>
              </w:rPr>
              <w:t>3</w:t>
            </w:r>
          </w:p>
        </w:tc>
        <w:tc>
          <w:tcPr>
            <w:tcW w:w="9676" w:type="dxa"/>
            <w:tcBorders>
              <w:top w:val="single" w:color="000000" w:sz="2" w:space="0"/>
              <w:left w:val="single" w:color="000000" w:sz="2" w:space="0"/>
              <w:bottom w:val="single" w:color="auto" w:sz="4" w:space="0"/>
              <w:right w:val="single" w:color="000000" w:sz="8" w:space="0"/>
            </w:tcBorders>
            <w:vAlign w:val="center"/>
          </w:tcPr>
          <w:p>
            <w:pPr>
              <w:widowControl/>
              <w:snapToGrid w:val="0"/>
              <w:spacing w:line="460" w:lineRule="exact"/>
              <w:jc w:val="lef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开标时间</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2023年05月10日09</w:t>
            </w:r>
            <w:r>
              <w:rPr>
                <w:rFonts w:hint="eastAsia" w:ascii="宋体" w:hAnsi="宋体" w:eastAsia="宋体" w:cs="宋体"/>
                <w:b w:val="0"/>
                <w:bCs w:val="0"/>
                <w:color w:val="auto"/>
                <w:sz w:val="22"/>
                <w:szCs w:val="22"/>
                <w:highlight w:val="none"/>
                <w:lang w:eastAsia="zh-CN"/>
              </w:rPr>
              <w:t>:30</w:t>
            </w:r>
            <w:r>
              <w:rPr>
                <w:rFonts w:hint="eastAsia"/>
                <w:sz w:val="22"/>
                <w:szCs w:val="22"/>
                <w:u w:val="none"/>
              </w:rPr>
              <w:t>（北京时间）</w:t>
            </w:r>
          </w:p>
          <w:p>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开标地点（网址）：</w:t>
            </w:r>
            <w:r>
              <w:rPr>
                <w:rFonts w:hint="eastAsia" w:ascii="宋体" w:hAnsi="宋体" w:eastAsia="宋体" w:cs="宋体"/>
                <w:color w:val="auto"/>
                <w:sz w:val="22"/>
                <w:highlight w:val="none"/>
                <w:lang w:eastAsia="zh-CN"/>
              </w:rPr>
              <w:t>温州市鹿城区学院中路229号三想集团5楼（</w:t>
            </w:r>
            <w:r>
              <w:rPr>
                <w:rFonts w:hint="eastAsia" w:ascii="宋体" w:hAnsi="宋体" w:eastAsia="宋体" w:cs="宋体"/>
                <w:color w:val="auto"/>
                <w:sz w:val="22"/>
                <w:highlight w:val="none"/>
                <w:lang w:val="en-US" w:eastAsia="zh-CN"/>
              </w:rPr>
              <w:t>政采云</w:t>
            </w:r>
            <w:r>
              <w:rPr>
                <w:rFonts w:hint="eastAsia" w:ascii="宋体" w:hAnsi="宋体" w:eastAsia="宋体" w:cs="宋体"/>
                <w:color w:val="auto"/>
                <w:sz w:val="21"/>
                <w:szCs w:val="22"/>
                <w:highlight w:val="none"/>
              </w:rPr>
              <w:t>http://zfcg.czt.zj.gov.cn</w:t>
            </w:r>
            <w:r>
              <w:rPr>
                <w:rFonts w:hint="eastAsia" w:ascii="宋体" w:hAnsi="宋体" w:eastAsia="宋体" w:cs="宋体"/>
                <w:color w:val="auto"/>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auto" w:sz="4" w:space="0"/>
              <w:left w:val="single" w:color="000000" w:sz="8" w:space="0"/>
              <w:bottom w:val="single" w:color="auto" w:sz="4"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en-US" w:eastAsia="zh-CN"/>
              </w:rPr>
              <w:t>4</w:t>
            </w:r>
          </w:p>
        </w:tc>
        <w:tc>
          <w:tcPr>
            <w:tcW w:w="9676" w:type="dxa"/>
            <w:tcBorders>
              <w:top w:val="single" w:color="auto" w:sz="4" w:space="0"/>
              <w:left w:val="single" w:color="000000" w:sz="2" w:space="0"/>
              <w:bottom w:val="single" w:color="auto" w:sz="4"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带“▲”条款系指实质性要求条款。“★”是关键技术参数及要求。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5</w:t>
            </w:r>
          </w:p>
        </w:tc>
        <w:tc>
          <w:tcPr>
            <w:tcW w:w="9676"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color w:val="auto"/>
                <w:kern w:val="10"/>
                <w:sz w:val="22"/>
                <w:szCs w:val="22"/>
                <w:highlight w:val="none"/>
              </w:rPr>
              <w:t>潜在供应商需在浙江政府采购网http://http://zfcg.czt.zj.gov.cn/进行免费注册，具体详见浙江政府采购网供应商注册要求。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6</w:t>
            </w:r>
          </w:p>
        </w:tc>
        <w:tc>
          <w:tcPr>
            <w:tcW w:w="9676"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ind w:firstLine="440" w:firstLineChars="20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1、本项目对符合财政扶持政策的中小企业（小型、微型）、监狱企业、残疾人福利性单位给予价格优惠扶持，价格优惠扶持</w:t>
            </w:r>
            <w:r>
              <w:rPr>
                <w:rFonts w:hint="eastAsia" w:ascii="宋体" w:hAnsi="宋体" w:cs="宋体"/>
                <w:color w:val="auto"/>
                <w:kern w:val="0"/>
                <w:sz w:val="22"/>
                <w:szCs w:val="22"/>
                <w:highlight w:val="none"/>
                <w:lang w:eastAsia="zh-CN"/>
              </w:rPr>
              <w:t>：</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满足转发财政部 工业和信息化部关于印发《</w:t>
            </w:r>
            <w:r>
              <w:rPr>
                <w:rFonts w:hint="eastAsia" w:ascii="宋体" w:hAnsi="宋体" w:eastAsia="宋体" w:cs="宋体"/>
                <w:color w:val="auto"/>
                <w:kern w:val="0"/>
                <w:sz w:val="22"/>
                <w:szCs w:val="22"/>
                <w:highlight w:val="none"/>
                <w:lang w:eastAsia="zh-CN"/>
              </w:rPr>
              <w:t>政府采购促进中小企业发展管理办法</w:t>
            </w:r>
            <w:r>
              <w:rPr>
                <w:rFonts w:hint="eastAsia" w:ascii="宋体" w:hAnsi="宋体" w:eastAsia="宋体" w:cs="宋体"/>
                <w:color w:val="auto"/>
                <w:kern w:val="0"/>
                <w:sz w:val="22"/>
                <w:szCs w:val="22"/>
                <w:highlight w:val="none"/>
              </w:rPr>
              <w:t>》的通知（</w:t>
            </w:r>
            <w:r>
              <w:rPr>
                <w:rFonts w:hint="eastAsia" w:ascii="宋体" w:hAnsi="宋体" w:eastAsia="宋体" w:cs="宋体"/>
                <w:color w:val="auto"/>
                <w:kern w:val="0"/>
                <w:sz w:val="22"/>
                <w:szCs w:val="22"/>
                <w:highlight w:val="none"/>
                <w:lang w:eastAsia="zh-CN"/>
              </w:rPr>
              <w:t>财库﹝2020﹞46号</w:t>
            </w:r>
            <w:r>
              <w:rPr>
                <w:rFonts w:hint="eastAsia" w:ascii="宋体" w:hAnsi="宋体" w:eastAsia="宋体" w:cs="宋体"/>
                <w:color w:val="auto"/>
                <w:kern w:val="0"/>
                <w:sz w:val="22"/>
                <w:szCs w:val="22"/>
                <w:highlight w:val="none"/>
              </w:rPr>
              <w:t>）的规定的中小企业可享受优惠扶持。</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满足关于政府采购支持监狱企业发展有关问题的通知（财库[2014]68号）的规定的供应商可享受优惠扶持。</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满足关于促进残疾人就业政府采购政策的通知（财库[2017]141号）的规定的供应商可享受优惠扶持。</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、节能产品、环境标志产品的强制采购政策</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、节能产品、环境标志产品的优先采购政策</w:t>
            </w:r>
          </w:p>
          <w:p>
            <w:pPr>
              <w:widowControl/>
              <w:snapToGrid w:val="0"/>
              <w:spacing w:line="460" w:lineRule="exact"/>
              <w:ind w:firstLine="440" w:firstLineChars="200"/>
              <w:jc w:val="lef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7</w:t>
            </w:r>
          </w:p>
        </w:tc>
        <w:tc>
          <w:tcPr>
            <w:tcW w:w="9676"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根据《关于在政府采购活动中查询及使用信用记录有关问题的通知》财库[2016]125号的规定：</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1）招标人或采购代理机构将对本项目供应商的信用记录进行查询。查询渠道为信用中国网站（www.creditchina.gov.cn）、中国政府采购网（www.ccgp.gov.cn）等有关政府曝光台；</w:t>
            </w:r>
          </w:p>
          <w:p>
            <w:pPr>
              <w:snapToGrid w:val="0"/>
              <w:spacing w:line="460" w:lineRule="exact"/>
              <w:ind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2）截止时点：提交投标文件（响应文件）截止时间前3年内；</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3）查询记录和证据的留存：信用信息查询记录和证据以网页截图等方式留存。</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460" w:lineRule="exac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5）联合体成员任意一方存在不良信用记录的，视同联合体存在不良信用记录。</w:t>
            </w:r>
          </w:p>
        </w:tc>
      </w:tr>
    </w:tbl>
    <w:p>
      <w:pPr>
        <w:rPr>
          <w:rFonts w:hint="eastAsia" w:ascii="宋体" w:hAnsi="宋体" w:eastAsia="宋体" w:cs="宋体"/>
          <w:b/>
          <w:bCs/>
          <w:color w:val="auto"/>
          <w:sz w:val="26"/>
          <w:szCs w:val="26"/>
          <w:highlight w:val="none"/>
        </w:rPr>
      </w:pPr>
      <w:r>
        <w:rPr>
          <w:rFonts w:hint="eastAsia" w:ascii="宋体" w:hAnsi="宋体" w:eastAsia="宋体" w:cs="宋体"/>
          <w:b/>
          <w:bCs/>
          <w:color w:val="auto"/>
          <w:sz w:val="26"/>
          <w:szCs w:val="26"/>
          <w:highlight w:val="none"/>
        </w:rPr>
        <w:br w:type="page"/>
      </w:r>
    </w:p>
    <w:p>
      <w:pPr>
        <w:spacing w:before="100" w:beforeAutospacing="1" w:after="100" w:afterAutospacing="1" w:line="460" w:lineRule="exact"/>
        <w:jc w:val="center"/>
        <w:outlineLvl w:val="1"/>
        <w:rPr>
          <w:rFonts w:hint="eastAsia" w:ascii="宋体" w:hAnsi="宋体" w:eastAsia="宋体" w:cs="宋体"/>
          <w:b/>
          <w:bCs/>
          <w:color w:val="auto"/>
          <w:sz w:val="32"/>
          <w:szCs w:val="32"/>
          <w:highlight w:val="none"/>
        </w:rPr>
      </w:pPr>
      <w:bookmarkStart w:id="10" w:name="_Toc20846"/>
      <w:bookmarkStart w:id="11" w:name="_Toc19070"/>
      <w:r>
        <w:rPr>
          <w:rFonts w:hint="eastAsia" w:ascii="宋体" w:hAnsi="宋体" w:eastAsia="宋体" w:cs="宋体"/>
          <w:b/>
          <w:bCs/>
          <w:color w:val="auto"/>
          <w:sz w:val="26"/>
          <w:szCs w:val="26"/>
          <w:highlight w:val="none"/>
        </w:rPr>
        <w:t>一、 说   明</w:t>
      </w:r>
      <w:bookmarkEnd w:id="10"/>
      <w:bookmarkEnd w:id="11"/>
    </w:p>
    <w:p>
      <w:pPr>
        <w:tabs>
          <w:tab w:val="left" w:pos="360"/>
        </w:tabs>
        <w:spacing w:line="460" w:lineRule="exact"/>
        <w:ind w:firstLine="550" w:firstLineChars="2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pPr>
        <w:tabs>
          <w:tab w:val="left" w:pos="360"/>
        </w:tabs>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2、定义</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招标人：是指依法进行政府采购的国家机关、事业单位、团体组织</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招标代理机构：受招标人委托，在委托的范围内办理政府采购事宜的机构；</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投标人：是指参加本政府采购项目投标的供应商；</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投标人代表：是指参加本项目投标活动的供应商法定代表人或法定代表人授权代表；</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投标联合体：是指两个以上供应商组成联合体，以一个供应商的身份参加投标；</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甲方：是指合同签订的一方，一般与招标人、用户相同；</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乙方：是指合同签订的另一方，与中标人相同；</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制造商：是指拥有投标产品自主知识产权的单位；</w:t>
      </w:r>
    </w:p>
    <w:p>
      <w:pPr>
        <w:tabs>
          <w:tab w:val="left" w:pos="360"/>
        </w:tabs>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pPr>
        <w:tabs>
          <w:tab w:val="left" w:pos="360"/>
        </w:tabs>
        <w:spacing w:line="460" w:lineRule="exact"/>
        <w:ind w:firstLine="552" w:firstLine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带“▲”条款系指实质性要求条款。“★”是关键技术参数及要求。</w:t>
      </w:r>
    </w:p>
    <w:p>
      <w:pPr>
        <w:tabs>
          <w:tab w:val="left" w:pos="360"/>
        </w:tabs>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3、投标人代表</w:t>
      </w:r>
    </w:p>
    <w:p>
      <w:pPr>
        <w:tabs>
          <w:tab w:val="left" w:pos="360"/>
        </w:tabs>
        <w:spacing w:line="46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szCs w:val="22"/>
          <w:highlight w:val="none"/>
        </w:rPr>
        <w:t>3.1</w:t>
      </w:r>
      <w:r>
        <w:rPr>
          <w:rFonts w:hint="eastAsia" w:ascii="宋体" w:hAnsi="宋体" w:eastAsia="宋体" w:cs="宋体"/>
          <w:b/>
          <w:color w:val="auto"/>
          <w:sz w:val="22"/>
          <w:highlight w:val="none"/>
        </w:rPr>
        <w:t>指全权代表投标人参加投标活动并签署投标文件的人。如果投标人代表不是法定代表人，须持有《法定代表人授权书》（见附件）</w:t>
      </w:r>
    </w:p>
    <w:p>
      <w:pPr>
        <w:tabs>
          <w:tab w:val="left" w:pos="360"/>
        </w:tabs>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eastAsia="宋体" w:cs="宋体"/>
          <w:b/>
          <w:color w:val="auto"/>
          <w:sz w:val="22"/>
          <w:szCs w:val="22"/>
          <w:highlight w:val="none"/>
        </w:rPr>
        <w:t>。</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4、投标费用</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4.1</w:t>
      </w:r>
      <w:r>
        <w:rPr>
          <w:rFonts w:hint="eastAsia" w:ascii="宋体" w:hAnsi="宋体" w:eastAsia="宋体" w:cs="宋体"/>
          <w:color w:val="auto"/>
          <w:sz w:val="22"/>
          <w:szCs w:val="22"/>
          <w:highlight w:val="none"/>
        </w:rPr>
        <w:t>投标人应承担所有与准备和参加投标有关费用，不论投标的结果如何，招标人或招标代理机构均无义务和责任承担这些费用。</w:t>
      </w:r>
    </w:p>
    <w:p>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2" w:name="_Toc28278"/>
      <w:bookmarkStart w:id="13" w:name="_Toc9899"/>
      <w:r>
        <w:rPr>
          <w:rFonts w:hint="eastAsia" w:ascii="宋体" w:hAnsi="宋体" w:eastAsia="宋体" w:cs="宋体"/>
          <w:b/>
          <w:bCs/>
          <w:color w:val="auto"/>
          <w:sz w:val="26"/>
          <w:szCs w:val="26"/>
          <w:highlight w:val="none"/>
        </w:rPr>
        <w:t>二、 招标文件</w:t>
      </w:r>
      <w:bookmarkEnd w:id="12"/>
      <w:bookmarkEnd w:id="13"/>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1、招标文件由招标文件目录所列内容及相关资料组成。</w:t>
      </w:r>
    </w:p>
    <w:p>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2、招标文件的澄清</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3、招标文件的修改</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3.2招标人、招标代理机构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宋体" w:hAnsi="宋体" w:eastAsia="宋体" w:cs="宋体"/>
          <w:color w:val="auto"/>
          <w:sz w:val="22"/>
          <w:szCs w:val="22"/>
          <w:highlight w:val="none"/>
        </w:rPr>
        <w:t>。</w:t>
      </w:r>
    </w:p>
    <w:p>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4" w:name="_Toc22646"/>
      <w:bookmarkStart w:id="15" w:name="_Toc12726"/>
      <w:r>
        <w:rPr>
          <w:rFonts w:hint="eastAsia" w:ascii="宋体" w:hAnsi="宋体" w:eastAsia="宋体" w:cs="宋体"/>
          <w:b/>
          <w:bCs/>
          <w:color w:val="auto"/>
          <w:sz w:val="26"/>
          <w:szCs w:val="26"/>
          <w:highlight w:val="none"/>
        </w:rPr>
        <w:t>三、 投标文件的编制</w:t>
      </w:r>
      <w:bookmarkEnd w:id="14"/>
      <w:bookmarkEnd w:id="15"/>
    </w:p>
    <w:p>
      <w:pPr>
        <w:tabs>
          <w:tab w:val="left" w:pos="360"/>
        </w:tabs>
        <w:spacing w:line="460" w:lineRule="exact"/>
        <w:ind w:firstLine="550" w:firstLineChars="250"/>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1、投标人应认真阅读招标文件中所有事项、格式、条款和技术规范等。投标人没有按照招标文件要求提交全部资料，或者没有对招标文件各个方面做出实质性响应，导致投标被否决的风险由投标人自行承担。</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highlight w:val="none"/>
        </w:rPr>
        <w:t>2、投标人应保证所提供文件资料的真实性，所有文件资料必须是针对本次投标的。如发现投标人提供了虚假文件资料，其投标将被否决，并自行承担相应的法律责任。</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r>
        <w:rPr>
          <w:rFonts w:hint="eastAsia" w:ascii="宋体" w:hAnsi="宋体" w:eastAsia="宋体" w:cs="宋体"/>
          <w:b/>
          <w:bCs/>
          <w:color w:val="auto"/>
          <w:sz w:val="22"/>
          <w:szCs w:val="22"/>
          <w:highlight w:val="none"/>
        </w:rPr>
        <w:t>投标文件的构成：</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rPr>
        <w:t>投标</w:t>
      </w:r>
      <w:r>
        <w:rPr>
          <w:rFonts w:hint="eastAsia" w:ascii="宋体" w:hAnsi="宋体" w:eastAsia="宋体" w:cs="宋体"/>
          <w:b/>
          <w:bCs/>
          <w:color w:val="auto"/>
          <w:kern w:val="0"/>
          <w:sz w:val="22"/>
          <w:szCs w:val="22"/>
          <w:highlight w:val="none"/>
          <w:lang w:val="zh-CN"/>
        </w:rPr>
        <w:t>文件应当包括以下主要内容：资格文件、报价文件、商务技术文件。</w:t>
      </w:r>
    </w:p>
    <w:p>
      <w:pPr>
        <w:spacing w:line="460" w:lineRule="exact"/>
        <w:ind w:firstLine="541" w:firstLineChars="245"/>
        <w:rPr>
          <w:rFonts w:hint="eastAsia" w:ascii="宋体" w:hAnsi="宋体" w:eastAsia="宋体" w:cs="宋体"/>
          <w:b/>
          <w:bCs/>
          <w:color w:val="auto"/>
          <w:kern w:val="0"/>
          <w:sz w:val="22"/>
          <w:szCs w:val="22"/>
          <w:highlight w:val="none"/>
          <w:u w:val="none"/>
          <w:lang w:val="zh-CN"/>
        </w:rPr>
      </w:pPr>
      <w:r>
        <w:rPr>
          <w:rFonts w:hint="eastAsia" w:ascii="宋体" w:hAnsi="宋体" w:eastAsia="宋体" w:cs="宋体"/>
          <w:b/>
          <w:bCs/>
          <w:color w:val="auto"/>
          <w:kern w:val="0"/>
          <w:sz w:val="22"/>
          <w:szCs w:val="22"/>
          <w:highlight w:val="none"/>
          <w:u w:val="none"/>
        </w:rPr>
        <w:t>3.1</w:t>
      </w:r>
      <w:r>
        <w:rPr>
          <w:rFonts w:hint="eastAsia" w:ascii="宋体" w:hAnsi="宋体" w:eastAsia="宋体" w:cs="宋体"/>
          <w:b/>
          <w:bCs/>
          <w:color w:val="auto"/>
          <w:kern w:val="0"/>
          <w:sz w:val="22"/>
          <w:szCs w:val="22"/>
          <w:highlight w:val="none"/>
          <w:u w:val="none"/>
          <w:lang w:val="zh-CN"/>
        </w:rPr>
        <w:t xml:space="preserve">投标人的资格文件至少应包括以下内容： </w:t>
      </w:r>
    </w:p>
    <w:p>
      <w:pPr>
        <w:spacing w:line="460" w:lineRule="exact"/>
        <w:ind w:firstLine="539" w:firstLineChars="245"/>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zh-CN"/>
        </w:rPr>
        <w:t>基本资格条件审查材料：</w:t>
      </w:r>
      <w:r>
        <w:rPr>
          <w:rFonts w:hint="eastAsia" w:ascii="宋体" w:hAnsi="宋体" w:eastAsia="宋体" w:cs="宋体"/>
          <w:color w:val="auto"/>
          <w:kern w:val="0"/>
          <w:sz w:val="22"/>
          <w:szCs w:val="22"/>
          <w:highlight w:val="none"/>
          <w:u w:val="none"/>
          <w:lang w:val="en-US" w:eastAsia="zh-CN"/>
        </w:rPr>
        <w:t>即证明供应商</w:t>
      </w:r>
      <w:r>
        <w:rPr>
          <w:rFonts w:hint="eastAsia" w:ascii="宋体" w:hAnsi="宋体" w:eastAsia="宋体" w:cs="宋体"/>
          <w:color w:val="auto"/>
          <w:kern w:val="0"/>
          <w:sz w:val="22"/>
          <w:szCs w:val="22"/>
          <w:highlight w:val="none"/>
          <w:u w:val="none"/>
          <w:lang w:val="zh-CN"/>
        </w:rPr>
        <w:t>参加本次政府采购活动前3年内</w:t>
      </w:r>
      <w:r>
        <w:rPr>
          <w:rFonts w:hint="eastAsia"/>
          <w:color w:val="auto"/>
          <w:sz w:val="22"/>
          <w:szCs w:val="22"/>
          <w:highlight w:val="none"/>
          <w:u w:val="none"/>
          <w:lang w:val="en-US" w:eastAsia="zh-CN"/>
        </w:rPr>
        <w:t>满足《中华人民共和国政府采购法》</w:t>
      </w:r>
      <w:r>
        <w:rPr>
          <w:rFonts w:hint="eastAsia" w:ascii="宋体" w:hAnsi="宋体" w:eastAsia="宋体" w:cs="宋体"/>
          <w:color w:val="auto"/>
          <w:kern w:val="0"/>
          <w:sz w:val="22"/>
          <w:szCs w:val="22"/>
          <w:highlight w:val="none"/>
          <w:u w:val="none"/>
          <w:lang w:val="zh-CN"/>
        </w:rPr>
        <w:t>的有关资格证明文件。</w:t>
      </w:r>
      <w:r>
        <w:rPr>
          <w:rFonts w:hint="eastAsia" w:ascii="宋体" w:hAnsi="宋体" w:eastAsia="宋体" w:cs="宋体"/>
          <w:color w:val="auto"/>
          <w:kern w:val="0"/>
          <w:sz w:val="22"/>
          <w:szCs w:val="22"/>
          <w:highlight w:val="none"/>
          <w:u w:val="none"/>
          <w:lang w:val="en-US" w:eastAsia="zh-CN"/>
        </w:rPr>
        <w:t>包括：</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val="en-US" w:eastAsia="zh-CN"/>
        </w:rPr>
        <w:t>1</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资格条件承诺函</w:t>
      </w:r>
      <w:r>
        <w:rPr>
          <w:rFonts w:hint="eastAsia" w:ascii="宋体" w:hAnsi="宋体" w:eastAsia="宋体" w:cs="宋体"/>
          <w:color w:val="auto"/>
          <w:sz w:val="22"/>
          <w:szCs w:val="22"/>
          <w:highlight w:val="none"/>
          <w:u w:val="none"/>
          <w:lang w:eastAsia="zh-CN"/>
        </w:rPr>
        <w:t>；</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eastAsia="宋体" w:cs="宋体"/>
          <w:color w:val="auto"/>
          <w:sz w:val="22"/>
          <w:szCs w:val="22"/>
          <w:highlight w:val="none"/>
          <w:u w:val="none"/>
          <w:lang w:val="en-US" w:eastAsia="zh-CN"/>
        </w:rPr>
        <w:t>2</w:t>
      </w:r>
      <w:r>
        <w:rPr>
          <w:rFonts w:hint="eastAsia" w:ascii="宋体" w:hAnsi="宋体" w:eastAsia="宋体" w:cs="宋体"/>
          <w:color w:val="auto"/>
          <w:sz w:val="22"/>
          <w:szCs w:val="22"/>
          <w:highlight w:val="none"/>
          <w:u w:val="none"/>
        </w:rPr>
        <w:t xml:space="preserve">）营业执照(或事业法人登记证书或其它工商等登记证明材料；自然人参与政府采购，提供身份证)复印件； </w:t>
      </w:r>
    </w:p>
    <w:p>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lang w:val="en-US" w:eastAsia="zh-CN"/>
        </w:rPr>
        <w:t>（</w:t>
      </w:r>
      <w:r>
        <w:rPr>
          <w:rFonts w:hint="eastAsia" w:ascii="宋体" w:hAnsi="宋体" w:cs="宋体"/>
          <w:color w:val="auto"/>
          <w:sz w:val="22"/>
          <w:szCs w:val="22"/>
          <w:highlight w:val="none"/>
          <w:u w:val="none"/>
          <w:lang w:val="en-US" w:eastAsia="zh-CN"/>
        </w:rPr>
        <w:t>3</w:t>
      </w:r>
      <w:r>
        <w:rPr>
          <w:rFonts w:hint="eastAsia" w:ascii="宋体" w:hAnsi="宋体" w:eastAsia="宋体" w:cs="宋体"/>
          <w:color w:val="auto"/>
          <w:sz w:val="22"/>
          <w:szCs w:val="22"/>
          <w:highlight w:val="none"/>
          <w:u w:val="none"/>
          <w:lang w:val="en-US" w:eastAsia="zh-CN"/>
        </w:rPr>
        <w:t>）投标人信用查询</w:t>
      </w:r>
      <w:r>
        <w:rPr>
          <w:rFonts w:hint="eastAsia" w:ascii="宋体" w:hAnsi="宋体" w:cs="宋体"/>
          <w:color w:val="auto"/>
          <w:sz w:val="22"/>
          <w:szCs w:val="22"/>
          <w:highlight w:val="none"/>
          <w:u w:val="none"/>
          <w:lang w:val="en-US" w:eastAsia="zh-CN"/>
        </w:rPr>
        <w:t>；</w:t>
      </w:r>
    </w:p>
    <w:p>
      <w:pPr>
        <w:numPr>
          <w:ilvl w:val="0"/>
          <w:numId w:val="0"/>
        </w:numPr>
        <w:snapToGrid w:val="0"/>
        <w:spacing w:line="460" w:lineRule="exact"/>
        <w:ind w:leftChars="0" w:firstLine="440" w:firstLineChars="200"/>
        <w:rPr>
          <w:rFonts w:hint="eastAsia" w:ascii="宋体" w:hAnsi="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eastAsia="zh-CN"/>
        </w:rPr>
        <w:t>（</w:t>
      </w:r>
      <w:r>
        <w:rPr>
          <w:rFonts w:hint="eastAsia" w:ascii="宋体" w:hAnsi="宋体" w:cs="宋体"/>
          <w:color w:val="auto"/>
          <w:sz w:val="22"/>
          <w:szCs w:val="22"/>
          <w:highlight w:val="none"/>
          <w:u w:val="none"/>
          <w:lang w:val="en-US" w:eastAsia="zh-CN"/>
        </w:rPr>
        <w:t>4</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采购活动现场确认声明书</w:t>
      </w:r>
      <w:r>
        <w:rPr>
          <w:rFonts w:hint="eastAsia" w:ascii="宋体" w:hAnsi="宋体" w:cs="宋体"/>
          <w:color w:val="auto"/>
          <w:sz w:val="22"/>
          <w:szCs w:val="22"/>
          <w:highlight w:val="none"/>
          <w:u w:val="none"/>
          <w:lang w:eastAsia="zh-CN"/>
        </w:rPr>
        <w:t>；</w:t>
      </w:r>
    </w:p>
    <w:p>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cs="宋体"/>
          <w:color w:val="auto"/>
          <w:sz w:val="22"/>
          <w:szCs w:val="22"/>
          <w:highlight w:val="none"/>
          <w:u w:val="none"/>
          <w:lang w:val="en-US" w:eastAsia="zh-CN"/>
        </w:rPr>
        <w:t>5</w:t>
      </w:r>
      <w:r>
        <w:rPr>
          <w:rFonts w:hint="eastAsia" w:ascii="宋体" w:hAnsi="宋体" w:eastAsia="宋体" w:cs="宋体"/>
          <w:color w:val="auto"/>
          <w:sz w:val="22"/>
          <w:szCs w:val="22"/>
          <w:highlight w:val="none"/>
          <w:u w:val="none"/>
        </w:rPr>
        <w:t>）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适用于按医疗器械管理的货物）；</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cs="宋体"/>
          <w:color w:val="auto"/>
          <w:sz w:val="22"/>
          <w:szCs w:val="22"/>
          <w:highlight w:val="none"/>
          <w:u w:val="none"/>
          <w:lang w:val="en-US" w:eastAsia="zh-CN"/>
        </w:rPr>
        <w:t>6</w:t>
      </w:r>
      <w:r>
        <w:rPr>
          <w:rFonts w:hint="eastAsia" w:ascii="宋体" w:hAnsi="宋体" w:eastAsia="宋体" w:cs="宋体"/>
          <w:color w:val="auto"/>
          <w:sz w:val="22"/>
          <w:szCs w:val="22"/>
          <w:highlight w:val="none"/>
          <w:u w:val="none"/>
        </w:rPr>
        <w:t>）提供食品药品监督管理部门核发的完整有效的医疗器械注册或备案证明；（适用于按医疗器械管理的设备）</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cs="宋体"/>
          <w:color w:val="auto"/>
          <w:sz w:val="22"/>
          <w:szCs w:val="22"/>
          <w:highlight w:val="none"/>
          <w:u w:val="none"/>
          <w:lang w:val="en-US" w:eastAsia="zh-CN"/>
        </w:rPr>
        <w:t>7</w:t>
      </w:r>
      <w:r>
        <w:rPr>
          <w:rFonts w:hint="eastAsia" w:ascii="宋体" w:hAnsi="宋体" w:eastAsia="宋体" w:cs="宋体"/>
          <w:color w:val="auto"/>
          <w:sz w:val="22"/>
          <w:szCs w:val="22"/>
          <w:highlight w:val="none"/>
          <w:u w:val="none"/>
        </w:rPr>
        <w:t>）货物制造商或其它有销售资格（提供证明材料）的供应商出具的授权书（适用于投标人是进口货物代理商的情形）</w:t>
      </w:r>
    </w:p>
    <w:p>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上述资格条件审查材料有一项不提供的，视为资格审查不通过。</w:t>
      </w:r>
    </w:p>
    <w:p>
      <w:pPr>
        <w:snapToGrid w:val="0"/>
        <w:spacing w:line="460" w:lineRule="exact"/>
        <w:ind w:left="105" w:leftChars="50" w:firstLine="442" w:firstLineChars="200"/>
        <w:rPr>
          <w:rFonts w:hint="eastAsia" w:ascii="宋体" w:hAnsi="宋体" w:eastAsia="宋体" w:cs="宋体"/>
          <w:color w:val="auto"/>
          <w:sz w:val="22"/>
          <w:szCs w:val="22"/>
          <w:highlight w:val="none"/>
          <w:u w:val="single"/>
          <w:lang w:val="zh-CN"/>
        </w:rPr>
      </w:pPr>
      <w:r>
        <w:rPr>
          <w:rFonts w:hint="eastAsia" w:ascii="宋体" w:hAnsi="宋体" w:eastAsia="宋体" w:cs="宋体"/>
          <w:b/>
          <w:bCs/>
          <w:color w:val="auto"/>
          <w:sz w:val="22"/>
          <w:szCs w:val="22"/>
          <w:highlight w:val="none"/>
        </w:rPr>
        <w:t xml:space="preserve">3.2投标人的报价文件至少应包括以下内容： </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（1）投标函；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（2）投标报价一览表；</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（3）投标分项报价表</w:t>
      </w:r>
    </w:p>
    <w:p>
      <w:pPr>
        <w:snapToGrid w:val="0"/>
        <w:spacing w:line="460" w:lineRule="exact"/>
        <w:ind w:left="105" w:leftChars="5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none"/>
        </w:rPr>
        <w:t>（4）中小企业声明函、监狱企业、残疾人福利性单位及其他相关的充分的证明材料。（如有）</w:t>
      </w:r>
      <w:r>
        <w:rPr>
          <w:rFonts w:hint="eastAsia" w:ascii="宋体" w:hAnsi="宋体" w:eastAsia="宋体" w:cs="宋体"/>
          <w:color w:val="auto"/>
          <w:sz w:val="22"/>
          <w:szCs w:val="22"/>
          <w:highlight w:val="none"/>
        </w:rPr>
        <w:t xml:space="preserve"> </w:t>
      </w:r>
    </w:p>
    <w:p>
      <w:pPr>
        <w:snapToGrid w:val="0"/>
        <w:spacing w:line="460" w:lineRule="exact"/>
        <w:ind w:firstLine="442" w:firstLineChars="200"/>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rPr>
        <w:t>3.3</w:t>
      </w:r>
      <w:r>
        <w:rPr>
          <w:rFonts w:hint="eastAsia" w:ascii="宋体" w:hAnsi="宋体" w:eastAsia="宋体" w:cs="宋体"/>
          <w:b/>
          <w:bCs/>
          <w:color w:val="auto"/>
          <w:kern w:val="0"/>
          <w:sz w:val="22"/>
          <w:szCs w:val="22"/>
          <w:highlight w:val="none"/>
          <w:lang w:val="zh-CN"/>
        </w:rPr>
        <w:t xml:space="preserve">投标人的商务技术文件应包括以下内容： </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（1）法定代表人授权委托书（需提供法定代表人及授权委托人的身份证复印件加盖公章）；</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（2）投标人情况表</w:t>
      </w:r>
    </w:p>
    <w:p>
      <w:pPr>
        <w:snapToGrid w:val="0"/>
        <w:spacing w:line="46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偏离表（</w:t>
      </w:r>
      <w:r>
        <w:rPr>
          <w:rFonts w:hint="eastAsia" w:ascii="宋体" w:hAnsi="宋体" w:eastAsia="宋体" w:cs="宋体"/>
          <w:color w:val="auto"/>
          <w:sz w:val="22"/>
          <w:szCs w:val="22"/>
          <w:highlight w:val="none"/>
        </w:rPr>
        <w:t>商务、技术偏离</w:t>
      </w:r>
      <w:r>
        <w:rPr>
          <w:rFonts w:hint="eastAsia" w:ascii="宋体" w:hAnsi="宋体" w:eastAsia="宋体" w:cs="宋体"/>
          <w:color w:val="auto"/>
          <w:sz w:val="22"/>
          <w:szCs w:val="22"/>
          <w:highlight w:val="none"/>
          <w:lang w:val="zh-CN"/>
        </w:rPr>
        <w:t>）</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详细供货清单说明一览表</w:t>
      </w:r>
    </w:p>
    <w:p>
      <w:pPr>
        <w:snapToGrid w:val="0"/>
        <w:spacing w:line="460" w:lineRule="exact"/>
        <w:ind w:firstLine="440" w:firstLineChars="200"/>
        <w:rPr>
          <w:rFonts w:hint="eastAsia" w:ascii="宋体" w:hAnsi="宋体" w:eastAsia="宋体" w:cs="宋体"/>
          <w:color w:val="auto"/>
          <w:sz w:val="22"/>
          <w:szCs w:val="22"/>
          <w:highlight w:val="none"/>
          <w:lang w:val="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备品、易损件、备件、专用工具清单</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投标设备配套的合理性，技术指标的先进性</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耗材（试剂）及租赁设备的档次</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运行应急方案</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市场占有率</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10</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制造商或代理商在华东地区的售后服务和维修能力</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11</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投标人提供的超出招标文件的优惠条件</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12</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环境标志产品、节能产品</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）其他必要提供的资料。</w:t>
      </w:r>
    </w:p>
    <w:p>
      <w:pPr>
        <w:spacing w:line="460" w:lineRule="exact"/>
        <w:ind w:firstLine="440" w:firstLineChars="200"/>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投标文件中所需的各种证书、证件、证明资料如是复印件，须在复印件上加盖有效公章。</w:t>
      </w:r>
    </w:p>
    <w:p>
      <w:pPr>
        <w:pStyle w:val="30"/>
        <w:snapToGrid w:val="0"/>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zh-CN"/>
        </w:rPr>
        <w:t>投标人的</w:t>
      </w:r>
      <w:r>
        <w:rPr>
          <w:rFonts w:hint="eastAsia" w:ascii="宋体" w:hAnsi="宋体" w:eastAsia="宋体" w:cs="宋体"/>
          <w:b w:val="0"/>
          <w:bCs/>
          <w:color w:val="auto"/>
          <w:sz w:val="22"/>
          <w:szCs w:val="22"/>
          <w:highlight w:val="none"/>
        </w:rPr>
        <w:t>投标文件必须按照招标文件要求制作。</w:t>
      </w:r>
    </w:p>
    <w:p>
      <w:pPr>
        <w:pStyle w:val="30"/>
        <w:snapToGrid w:val="0"/>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投标人可在招标文件中对招标货物的技术规格和要求选用替代标准，但这些替代标准必须相当于或优于招标文件中提出的相应要求，并使招标人满意，同时在技术偏离表中作出详细说明。</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4、投标报价</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4.1投标人应根据国家的有关规定和招标文件要求并结合企业的实际情况进行投标报价。投标报价以人民币为结算货币，供货、税金、包装、运输、保险、装卸、验收（含第三方验收）、技术服务、售后服务、质保期保障、材料费等合同所需的一切本身和不可或缺的所有工作开支、政策性文件规定及合同包含的所有风险、责任等各项全部费用并承担一切风险责任。在合同服务期间内不得违反国家相关政策规定，磋商供应商应根据上述因素自行考虑含入磋商报价。</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4.2投标人必须按附件中的投标报价一览表、投标分项报价表内容填写价格，并由投标人代表签署。</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4.3</w:t>
      </w:r>
      <w:r>
        <w:rPr>
          <w:rFonts w:hint="eastAsia" w:ascii="宋体" w:hAnsi="宋体" w:eastAsia="宋体" w:cs="宋体"/>
          <w:b w:val="0"/>
          <w:bCs/>
          <w:color w:val="auto"/>
          <w:sz w:val="22"/>
          <w:highlight w:val="none"/>
        </w:rPr>
        <w:t>投标货币以人民币进行投标</w:t>
      </w:r>
      <w:r>
        <w:rPr>
          <w:rFonts w:hint="eastAsia" w:ascii="宋体" w:hAnsi="宋体" w:eastAsia="宋体" w:cs="宋体"/>
          <w:b w:val="0"/>
          <w:bCs/>
          <w:color w:val="auto"/>
          <w:sz w:val="22"/>
          <w:szCs w:val="22"/>
          <w:highlight w:val="none"/>
        </w:rPr>
        <w:t>。</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4.4</w:t>
      </w:r>
      <w:r>
        <w:rPr>
          <w:rFonts w:hint="eastAsia" w:ascii="宋体" w:hAnsi="宋体" w:eastAsia="宋体" w:cs="宋体"/>
          <w:b w:val="0"/>
          <w:bCs/>
          <w:color w:val="auto"/>
          <w:sz w:val="22"/>
          <w:highlight w:val="none"/>
        </w:rPr>
        <w:t>招标人和招标代理机构不接受任何选择投标，对任何服务只允许一个价格。</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4.5招标人和</w:t>
      </w:r>
      <w:r>
        <w:rPr>
          <w:rFonts w:hint="eastAsia" w:ascii="宋体" w:hAnsi="宋体" w:eastAsia="宋体" w:cs="宋体"/>
          <w:b w:val="0"/>
          <w:bCs/>
          <w:color w:val="auto"/>
          <w:sz w:val="22"/>
          <w:highlight w:val="none"/>
        </w:rPr>
        <w:t>招标代理机构</w:t>
      </w:r>
      <w:r>
        <w:rPr>
          <w:rFonts w:hint="eastAsia" w:ascii="宋体" w:hAnsi="宋体" w:eastAsia="宋体" w:cs="宋体"/>
          <w:b w:val="0"/>
          <w:bCs/>
          <w:color w:val="auto"/>
          <w:sz w:val="22"/>
          <w:szCs w:val="22"/>
          <w:highlight w:val="none"/>
        </w:rPr>
        <w:t>要求分类报价是为了方便评标，但在任何情况下不限制招标人以其认为最合适的条款、条件签订合同的权利。</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4.6投标报价报出后，投标人不得以任何理由予以变更。任何包含价格调整的要求，将被认为是非实质性响应投标而予以否决。</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4.7最低报价不能作为中标的保证。</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5、投标有效期</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5.1自开标之日起 120 天内投标应保持有效。</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6、投标保证金</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无。</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7、投标文件编制</w:t>
      </w:r>
    </w:p>
    <w:p>
      <w:pPr>
        <w:spacing w:line="460" w:lineRule="exact"/>
        <w:ind w:firstLine="539" w:firstLineChars="245"/>
        <w:rPr>
          <w:rFonts w:hint="eastAsia" w:ascii="宋体" w:hAnsi="宋体" w:eastAsia="宋体" w:cs="宋体"/>
          <w:b w:val="0"/>
          <w:bCs/>
          <w:color w:val="auto"/>
          <w:sz w:val="22"/>
          <w:szCs w:val="22"/>
          <w:highlight w:val="none"/>
          <w:u w:val="single"/>
        </w:rPr>
      </w:pPr>
      <w:r>
        <w:rPr>
          <w:rFonts w:hint="eastAsia" w:ascii="宋体" w:hAnsi="宋体" w:eastAsia="宋体" w:cs="宋体"/>
          <w:b w:val="0"/>
          <w:bCs/>
          <w:color w:val="auto"/>
          <w:sz w:val="22"/>
          <w:szCs w:val="22"/>
          <w:highlight w:val="none"/>
          <w:u w:val="single"/>
        </w:rPr>
        <w:t>7.1本项目通过“政府采购云平台（http://zfcg.czt.zj.gov.cn）”实行在线投标响应（电子投标）。供应商应通过“政采云电子交易客户端”，并按照本招标文件和“政府采购云平台”的要求编制并加密投标文件。</w:t>
      </w:r>
    </w:p>
    <w:p>
      <w:pPr>
        <w:spacing w:line="460" w:lineRule="exact"/>
        <w:ind w:firstLine="539" w:firstLineChars="245"/>
        <w:rPr>
          <w:rFonts w:hint="eastAsia" w:ascii="宋体" w:hAnsi="宋体" w:eastAsia="宋体" w:cs="宋体"/>
          <w:b w:val="0"/>
          <w:bCs/>
          <w:color w:val="auto"/>
          <w:sz w:val="22"/>
          <w:szCs w:val="22"/>
          <w:highlight w:val="none"/>
          <w:u w:val="single"/>
        </w:rPr>
      </w:pPr>
      <w:r>
        <w:rPr>
          <w:rFonts w:hint="eastAsia" w:ascii="宋体" w:hAnsi="宋体" w:eastAsia="宋体" w:cs="宋体"/>
          <w:b w:val="0"/>
          <w:bCs/>
          <w:color w:val="auto"/>
          <w:sz w:val="22"/>
          <w:szCs w:val="22"/>
          <w:highlight w:val="none"/>
          <w:u w:val="single"/>
        </w:rPr>
        <w:t>7.2投标人应当按照本章节 “投标文件的构成”规定的内容及顺序在“政采云电子交易客户端”编制投标文件。其中《资格文件》和《商务技术文件》中不得出现本项目投标报价。</w:t>
      </w:r>
    </w:p>
    <w:p>
      <w:pPr>
        <w:spacing w:line="460" w:lineRule="exact"/>
        <w:ind w:firstLine="539" w:firstLineChars="245"/>
        <w:rPr>
          <w:rFonts w:hint="eastAsia" w:ascii="宋体" w:hAnsi="宋体" w:eastAsia="宋体" w:cs="宋体"/>
          <w:b w:val="0"/>
          <w:bCs/>
          <w:color w:val="auto"/>
          <w:sz w:val="22"/>
          <w:szCs w:val="22"/>
          <w:highlight w:val="none"/>
          <w:u w:val="single"/>
        </w:rPr>
      </w:pPr>
      <w:r>
        <w:rPr>
          <w:rFonts w:hint="eastAsia" w:ascii="宋体" w:hAnsi="宋体" w:eastAsia="宋体" w:cs="宋体"/>
          <w:b w:val="0"/>
          <w:bCs/>
          <w:color w:val="auto"/>
          <w:sz w:val="22"/>
          <w:szCs w:val="22"/>
          <w:highlight w:val="none"/>
          <w:u w:val="singl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pPr>
        <w:spacing w:line="460" w:lineRule="exact"/>
        <w:ind w:firstLine="539" w:firstLineChars="245"/>
        <w:rPr>
          <w:rFonts w:hint="eastAsia" w:ascii="宋体" w:hAnsi="宋体" w:eastAsia="宋体" w:cs="宋体"/>
          <w:b w:val="0"/>
          <w:bCs/>
          <w:color w:val="auto"/>
          <w:sz w:val="22"/>
          <w:szCs w:val="22"/>
          <w:highlight w:val="none"/>
          <w:u w:val="single"/>
        </w:rPr>
      </w:pPr>
      <w:r>
        <w:rPr>
          <w:rFonts w:hint="eastAsia" w:ascii="宋体" w:hAnsi="宋体" w:eastAsia="宋体" w:cs="宋体"/>
          <w:b w:val="0"/>
          <w:bCs/>
          <w:color w:val="auto"/>
          <w:sz w:val="22"/>
          <w:szCs w:val="22"/>
          <w:highlight w:val="none"/>
          <w:u w:val="single"/>
        </w:rPr>
        <w:t>7.4《投标文件》内容不完整、编排混乱导致《投标文件》被误读、漏读或者查找不到相关内容的，投标人自行负责。</w:t>
      </w:r>
    </w:p>
    <w:p>
      <w:pPr>
        <w:spacing w:line="460" w:lineRule="exact"/>
        <w:ind w:firstLine="539" w:firstLineChars="245"/>
        <w:rPr>
          <w:rFonts w:hint="eastAsia" w:ascii="宋体" w:hAnsi="宋体" w:eastAsia="宋体" w:cs="宋体"/>
          <w:b w:val="0"/>
          <w:bCs/>
          <w:color w:val="auto"/>
          <w:sz w:val="22"/>
          <w:szCs w:val="22"/>
          <w:highlight w:val="none"/>
          <w:u w:val="single"/>
        </w:rPr>
      </w:pPr>
      <w:r>
        <w:rPr>
          <w:rFonts w:hint="eastAsia" w:ascii="宋体" w:hAnsi="宋体" w:eastAsia="宋体" w:cs="宋体"/>
          <w:b w:val="0"/>
          <w:bCs/>
          <w:color w:val="auto"/>
          <w:sz w:val="22"/>
          <w:szCs w:val="22"/>
          <w:highlight w:val="none"/>
          <w:u w:val="single"/>
        </w:rPr>
        <w:t>7.5《投标文件》因字迹潦草或表达不清所引起的后果由投标人负责。</w:t>
      </w:r>
    </w:p>
    <w:p>
      <w:pPr>
        <w:spacing w:line="460" w:lineRule="exact"/>
        <w:ind w:firstLine="539" w:firstLineChars="245"/>
        <w:rPr>
          <w:rFonts w:hint="eastAsia" w:ascii="宋体" w:hAnsi="宋体" w:eastAsia="宋体" w:cs="宋体"/>
          <w:b w:val="0"/>
          <w:bCs/>
          <w:color w:val="auto"/>
          <w:sz w:val="22"/>
          <w:szCs w:val="22"/>
          <w:highlight w:val="none"/>
          <w:u w:val="single"/>
        </w:rPr>
      </w:pPr>
      <w:r>
        <w:rPr>
          <w:rFonts w:hint="eastAsia" w:ascii="宋体" w:hAnsi="宋体" w:eastAsia="宋体" w:cs="宋体"/>
          <w:b w:val="0"/>
          <w:bCs/>
          <w:color w:val="auto"/>
          <w:sz w:val="22"/>
          <w:szCs w:val="22"/>
          <w:highlight w:val="none"/>
          <w:u w:val="single"/>
        </w:rPr>
        <w:t>7.6投标人没有按照本章节 “投标文件的构成”要求提供全部资料，或者没有仔细阅读招标文件，或者没有对招标文件在各方面的要求作出实质性响应是投标人的风险，由此造成的一切后果由投标人自行承担。</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8、投标文件的签章</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8.1《投标文件》的签章：见《前附表》；</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8.2《投标文件》应由投标人法定代表人或其授权代表签字（或盖章），并时加盖投标人公章。</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8.3电子签章操作指南详见采购公告附件《供应商项目采购-电子招投标操作指南》。</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9、投标文件的形式</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9.1投标文件的形式：见《前附表》；</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9.2“电子加密投标文件”：“电子加密投标文件”是指通过“政采云电子交易客户端”完成投标文件编制后生成并加密的数据电文形式的投标文件。</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10、投标文件的份数</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10.1投标文件的份数：见《前附表》。</w:t>
      </w:r>
    </w:p>
    <w:p>
      <w:pPr>
        <w:spacing w:before="100" w:beforeAutospacing="1" w:after="100" w:afterAutospacing="1" w:line="440" w:lineRule="exact"/>
        <w:jc w:val="center"/>
        <w:outlineLvl w:val="1"/>
        <w:rPr>
          <w:rFonts w:hint="eastAsia" w:ascii="宋体" w:hAnsi="宋体" w:eastAsia="宋体" w:cs="宋体"/>
          <w:b/>
          <w:bCs/>
          <w:color w:val="auto"/>
          <w:sz w:val="22"/>
          <w:szCs w:val="22"/>
          <w:highlight w:val="none"/>
        </w:rPr>
      </w:pPr>
      <w:bookmarkStart w:id="16" w:name="_Toc18542"/>
      <w:bookmarkStart w:id="17" w:name="_Toc15422"/>
      <w:r>
        <w:rPr>
          <w:rFonts w:hint="eastAsia" w:ascii="宋体" w:hAnsi="宋体" w:eastAsia="宋体" w:cs="宋体"/>
          <w:b/>
          <w:bCs/>
          <w:color w:val="auto"/>
          <w:sz w:val="22"/>
          <w:szCs w:val="22"/>
          <w:highlight w:val="none"/>
        </w:rPr>
        <w:t>四、 投标文件的递交</w:t>
      </w:r>
      <w:bookmarkEnd w:id="16"/>
      <w:bookmarkEnd w:id="17"/>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1、投标文件的上传和递交</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1.1“投标文件”的上传、递交：见《前附表》。</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2、“电子加密投标文件”解密和异常情况处理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2.1“电子加密投标文件”解密：见《前附表》。</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3.2投标截止时间后，投标人不得撤回、修改《投标文件》。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4.1投标人不得递交任何的投标备选（替代）方案，否则其投标文件将作无效标处理。与“电子加密投标文件”同时生成的“备份投标文件”不是投标备选（替代）方案。</w:t>
      </w:r>
    </w:p>
    <w:p>
      <w:pPr>
        <w:spacing w:before="100" w:beforeAutospacing="1" w:after="100" w:afterAutospacing="1" w:line="460" w:lineRule="exact"/>
        <w:jc w:val="center"/>
        <w:outlineLvl w:val="1"/>
        <w:rPr>
          <w:rFonts w:hint="eastAsia" w:ascii="宋体" w:hAnsi="宋体" w:eastAsia="宋体" w:cs="宋体"/>
          <w:b/>
          <w:bCs/>
          <w:color w:val="auto"/>
          <w:sz w:val="22"/>
          <w:szCs w:val="22"/>
          <w:highlight w:val="none"/>
        </w:rPr>
      </w:pPr>
      <w:bookmarkStart w:id="18" w:name="_Toc8079"/>
      <w:bookmarkStart w:id="19" w:name="_Toc30172"/>
      <w:r>
        <w:rPr>
          <w:rFonts w:hint="eastAsia" w:ascii="宋体" w:hAnsi="宋体" w:eastAsia="宋体" w:cs="宋体"/>
          <w:b/>
          <w:bCs/>
          <w:color w:val="auto"/>
          <w:sz w:val="22"/>
          <w:szCs w:val="22"/>
          <w:highlight w:val="none"/>
        </w:rPr>
        <w:t>五、 开标和评标</w:t>
      </w:r>
      <w:bookmarkEnd w:id="18"/>
      <w:bookmarkEnd w:id="19"/>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1、评标委员会</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招标人和招标代理机构组建评标委员会。评标委员会的成员在评标过程中必须严格遵守《政府采购法》等有关法律、法规的规定。</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2、评标过程的保密性</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3、开标形式</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采购组织机构将按照招标文件规定的时间通过“政府采购云平台”组织开标、开启投标文件，所有供应商均应当准时(在线)参加。</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4、开标准备</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4.1开标的准备工作由采购组织机构负责落实；</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w:t>
      </w:r>
      <w:r>
        <w:rPr>
          <w:rFonts w:hint="eastAsia" w:ascii="宋体" w:hAnsi="宋体" w:eastAsia="宋体" w:cs="宋体"/>
          <w:b/>
          <w:color w:val="auto"/>
          <w:sz w:val="22"/>
          <w:szCs w:val="22"/>
          <w:highlight w:val="none"/>
        </w:rPr>
        <w:t>采购组织机构将按照招标文件规定的时间通过“政府采购云平台”组织开标、开启投标文件，所有供应商均应当准时(在线)参加。</w:t>
      </w:r>
      <w:r>
        <w:rPr>
          <w:rFonts w:hint="eastAsia" w:ascii="宋体" w:hAnsi="宋体" w:eastAsia="宋体" w:cs="宋体"/>
          <w:b/>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5、开标流程</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5.1开标、评标</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投标人不足3家的，不得开标。</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（2）解密成功后，开启投标人的《报价文件》，由供应商对自己报价文件相关内容进行签字确认，（不予确认的应说明理由，否则视为无异议）。</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（3）开启《投标文件》，进入资格审查；</w:t>
      </w:r>
      <w:r>
        <w:rPr>
          <w:rFonts w:hint="eastAsia" w:ascii="宋体" w:hAnsi="宋体" w:eastAsia="宋体" w:cs="宋体"/>
          <w:bCs/>
          <w:color w:val="auto"/>
          <w:sz w:val="22"/>
          <w:szCs w:val="22"/>
          <w:highlight w:val="none"/>
        </w:rPr>
        <w:t>合格投标人不足3家的，不得评标。</w:t>
      </w:r>
    </w:p>
    <w:p>
      <w:pPr>
        <w:spacing w:line="460" w:lineRule="exact"/>
        <w:ind w:firstLine="541" w:firstLineChars="245"/>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（4）开启资格审查通过的投标人的商务技术文件进入符合性审查，</w:t>
      </w:r>
      <w:r>
        <w:rPr>
          <w:rFonts w:hint="eastAsia" w:ascii="宋体" w:hAnsi="宋体" w:eastAsia="宋体" w:cs="宋体"/>
          <w:bCs/>
          <w:color w:val="auto"/>
          <w:sz w:val="22"/>
          <w:szCs w:val="22"/>
          <w:highlight w:val="none"/>
        </w:rPr>
        <w:t>以确定其是否满足招标文件的实质性要求，合格投标人不足3家的，不得评标。</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（5）对通过资格审查、符合性审查的合格供应商进行商务技术部分的评审。</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（6）评标委员会对报价的合理性、准确性等进行审查核实。</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（7）评审结束后，公布中标（成交）候选供应商名单及招标人最终确定中标或成交供应商名单的时间和公告方式等，未在场的投标人通过发送邮件形式通知。</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特别说明：如遇“政府采购云平台”电子化开标或评审程序调整的，按调整后程序执行。</w:t>
      </w:r>
    </w:p>
    <w:p>
      <w:pPr>
        <w:spacing w:line="460" w:lineRule="exact"/>
        <w:ind w:firstLine="539" w:firstLineChars="245"/>
        <w:rPr>
          <w:rFonts w:hint="eastAsia" w:ascii="宋体" w:hAnsi="宋体" w:eastAsia="宋体" w:cs="宋体"/>
          <w:color w:val="auto"/>
          <w:sz w:val="22"/>
          <w:szCs w:val="22"/>
          <w:highlight w:val="none"/>
        </w:rPr>
      </w:pPr>
      <w:bookmarkStart w:id="20" w:name="_Toc33194393"/>
      <w:bookmarkStart w:id="21" w:name="_Toc24550037"/>
      <w:r>
        <w:rPr>
          <w:rFonts w:hint="eastAsia" w:ascii="宋体" w:hAnsi="宋体" w:eastAsia="宋体" w:cs="宋体"/>
          <w:color w:val="auto"/>
          <w:sz w:val="22"/>
          <w:szCs w:val="22"/>
          <w:highlight w:val="none"/>
        </w:rPr>
        <w:t>6、投标人资格审查</w:t>
      </w:r>
      <w:bookmarkEnd w:id="20"/>
      <w:bookmarkEnd w:id="21"/>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6.1开标大会结束后，招标人或采购代理机构首先依法对各投标人的资格进行审查，审查各投标人的资格是否满足招标文件的要求。</w:t>
      </w:r>
      <w:r>
        <w:rPr>
          <w:rFonts w:hint="eastAsia" w:ascii="宋体" w:hAnsi="宋体" w:eastAsia="宋体" w:cs="宋体"/>
          <w:color w:val="auto"/>
          <w:sz w:val="22"/>
          <w:szCs w:val="22"/>
          <w:highlight w:val="none"/>
        </w:rPr>
        <w:t>招标人或采购代理机构对投标人所提交的资格证明材料仅负审核的责任。如发现投标人所提交的资格证明材料不合法或与事实不符，招标人可取消其中标资格并追究投标人的法律责任。</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sz w:val="22"/>
          <w:szCs w:val="22"/>
          <w:highlight w:val="none"/>
        </w:rPr>
        <w:t>6.2投标人提交的资格证明材料无法证明其符合招标文件规定的“投标人资格要求”的，招标人或采购代理机构</w:t>
      </w:r>
      <w:r>
        <w:rPr>
          <w:rFonts w:hint="eastAsia" w:ascii="宋体" w:hAnsi="宋体" w:eastAsia="宋体" w:cs="宋体"/>
          <w:b/>
          <w:color w:val="auto"/>
          <w:kern w:val="0"/>
          <w:sz w:val="22"/>
          <w:szCs w:val="22"/>
          <w:highlight w:val="none"/>
        </w:rPr>
        <w:t>将对其作资格审查不通过处理（无效投标），并不再将其投标提交评标委员会进行后续评审。</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6</w:t>
      </w:r>
      <w:r>
        <w:rPr>
          <w:rFonts w:hint="eastAsia" w:ascii="宋体" w:hAnsi="宋体" w:eastAsia="宋体" w:cs="宋体"/>
          <w:b/>
          <w:color w:val="auto"/>
          <w:kern w:val="0"/>
          <w:sz w:val="22"/>
          <w:szCs w:val="22"/>
          <w:highlight w:val="none"/>
        </w:rPr>
        <w:t>.3单位负责人为同一人或者存在直接控股、管理关系的不同供应商参加同一合同项下的政府采购活动的，相关投标人均作资格无效处理。</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7、评标委员按照招标文件中规定的评标方法和标准，对投标文件进行商务和技术评估，综合比较与评价。</w:t>
      </w:r>
    </w:p>
    <w:p>
      <w:pPr>
        <w:spacing w:line="460" w:lineRule="exact"/>
        <w:ind w:firstLine="541" w:firstLineChars="245"/>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8、投标人存在下列情况之一的，投标无效：</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（1）投标文件未按招标文件要求签署、盖章的；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（2）不具备招标文件中规定的资格要求的； </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（3）明显不符合招标文件中主要技术规格、技术标准的；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（4）投标文件内容不全或关键字迹模糊无法辨认的；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（5）报价超过招标文件中规定的预算金额的；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（6）投标人代表没有法定代表人合法、有效委托的；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（7）投标文件存在一个或一个以上备选（替代）投标方案的；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（8）仅提交“备份投标文件”的；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（9）投标文件含有招标人不能接受的附加条件的；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（10）法律、法规和招标文件规定的其他无效情形。</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9、有下列情形之一的，视为投标人串通投标，其投标无效</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（1）不同投标人的投标文件由同一单位或者个人编制；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（2）不同投标人委托同一单位或者个人办理投标事宜；</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（3）不同投标人的投标文件载明的项目管理成员或者联系人员为同一人；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（4）不同投标人的投标文件异常一致或者投标报价呈规律性差异；</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（5）不同投标人的投标文件相互混装。</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10、投标文件报价出现前后不一致的，按照下列规定修正：</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（1）系统上传的投标文件中开标一览表（报价表）（加盖公章）内容与投标文件中相应内容不一致的，以系统上传的投标文件中开标一览表（报价表）（加盖公章）为准；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（2）大写金额和小写金额不一致的，以大写金额为准；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（3）单价金额小数点或者百分比有明显错位的，以开标一览表的总价为准，并修改单价；</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（4）总价金额与按单价汇总金额不一致的，以单价金额计算结果为准。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12、投标文件的澄清</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拒不按要求对其投标文件进行澄清，说明或补正的投标人，评标委员会可以否决其投标。</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12.2</w:t>
      </w:r>
      <w:r>
        <w:rPr>
          <w:rFonts w:hint="eastAsia" w:ascii="宋体" w:hAnsi="宋体" w:eastAsia="宋体" w:cs="宋体"/>
          <w:b/>
          <w:color w:val="auto"/>
          <w:sz w:val="22"/>
          <w:szCs w:val="22"/>
          <w:highlight w:val="none"/>
        </w:rPr>
        <w:t>经澄清后，若偏差仍存在，且不可接受，投标人则被认为是“没有实质性响应招标文件要求”，其投标将被拒绝。</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13、评审结果的修改</w:t>
      </w:r>
    </w:p>
    <w:p>
      <w:pPr>
        <w:spacing w:line="460" w:lineRule="exact"/>
        <w:ind w:firstLine="762" w:firstLineChars="3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13.1评标结果汇总完成后，除下列情形外，任何人不得修改评标结果：</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（1）分值汇总计算错误的；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（2）分项评分超出评分标准范围的；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（3）评标委员会成员对客观评审因素评分不一致的；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（4）经评标委员会认定评分畸高、畸低的。</w:t>
      </w:r>
    </w:p>
    <w:p>
      <w:pPr>
        <w:spacing w:line="460" w:lineRule="exact"/>
        <w:ind w:firstLine="759" w:firstLineChars="3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13.2书面评标报告签署前，经复核发现存在以上情形之一的，评标委员会将当场修改评标结果，并在</w:t>
      </w:r>
      <w:r>
        <w:rPr>
          <w:rFonts w:hint="eastAsia" w:ascii="宋体" w:hAnsi="宋体" w:eastAsia="宋体" w:cs="宋体"/>
          <w:b/>
          <w:color w:val="auto"/>
          <w:sz w:val="22"/>
          <w:szCs w:val="22"/>
          <w:highlight w:val="none"/>
        </w:rPr>
        <w:t>评标报告中记载。</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14</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14.1由评标委员会确定中标候选人。</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762" w:firstLineChars="345"/>
        <w:rPr>
          <w:rFonts w:hint="eastAsia" w:ascii="宋体" w:hAnsi="宋体" w:eastAsia="宋体" w:cs="宋体"/>
          <w:bCs/>
          <w:color w:val="auto"/>
          <w:sz w:val="22"/>
          <w:szCs w:val="22"/>
          <w:highlight w:val="none"/>
        </w:rPr>
      </w:pPr>
      <w:r>
        <w:rPr>
          <w:rFonts w:hint="eastAsia" w:ascii="宋体" w:hAnsi="宋体" w:eastAsia="宋体" w:cs="宋体"/>
          <w:b/>
          <w:bCs/>
          <w:color w:val="auto"/>
          <w:sz w:val="22"/>
          <w:szCs w:val="22"/>
          <w:highlight w:val="none"/>
        </w:rPr>
        <w:t>15、确定中标人</w:t>
      </w:r>
    </w:p>
    <w:p>
      <w:pPr>
        <w:spacing w:line="460" w:lineRule="exact"/>
        <w:ind w:firstLine="762" w:firstLineChars="345"/>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15</w:t>
      </w:r>
      <w:r>
        <w:rPr>
          <w:rFonts w:hint="eastAsia" w:ascii="宋体" w:hAnsi="宋体" w:eastAsia="宋体" w:cs="宋体"/>
          <w:b/>
          <w:bCs/>
          <w:color w:val="auto"/>
          <w:sz w:val="22"/>
          <w:szCs w:val="22"/>
          <w:highlight w:val="none"/>
        </w:rPr>
        <w:t>.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16、起草、签署评审报告</w:t>
      </w:r>
    </w:p>
    <w:p>
      <w:pPr>
        <w:spacing w:line="460" w:lineRule="exact"/>
        <w:ind w:firstLine="759" w:firstLineChars="3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中标人确定后，招标人将在政府指定媒体公告中标结果，招标人向中标人发出中标通知书。</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18、</w:t>
      </w:r>
      <w:r>
        <w:rPr>
          <w:rFonts w:hint="eastAsia" w:ascii="宋体" w:hAnsi="宋体" w:eastAsia="宋体" w:cs="宋体"/>
          <w:b/>
          <w:color w:val="auto"/>
          <w:sz w:val="22"/>
          <w:szCs w:val="22"/>
          <w:highlight w:val="none"/>
        </w:rPr>
        <w:t>招标人对决标结果不做任何解释，也不保证最低价中标。</w:t>
      </w:r>
    </w:p>
    <w:p>
      <w:pPr>
        <w:spacing w:line="460" w:lineRule="exact"/>
        <w:ind w:firstLine="762" w:firstLineChars="3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19、评标细则详见“评标原则及方法”。</w:t>
      </w:r>
    </w:p>
    <w:p>
      <w:pPr>
        <w:spacing w:before="100" w:beforeAutospacing="1" w:after="100" w:afterAutospacing="1" w:line="440" w:lineRule="exact"/>
        <w:jc w:val="center"/>
        <w:outlineLvl w:val="1"/>
        <w:rPr>
          <w:rFonts w:hint="eastAsia" w:ascii="宋体" w:hAnsi="宋体" w:eastAsia="宋体" w:cs="宋体"/>
          <w:b/>
          <w:bCs/>
          <w:color w:val="auto"/>
          <w:sz w:val="26"/>
          <w:szCs w:val="26"/>
          <w:highlight w:val="none"/>
        </w:rPr>
      </w:pPr>
      <w:bookmarkStart w:id="22" w:name="_Toc21056"/>
      <w:bookmarkStart w:id="23" w:name="_Toc26836"/>
      <w:r>
        <w:rPr>
          <w:rFonts w:hint="eastAsia" w:ascii="宋体" w:hAnsi="宋体" w:eastAsia="宋体" w:cs="宋体"/>
          <w:b/>
          <w:bCs/>
          <w:color w:val="auto"/>
          <w:sz w:val="26"/>
          <w:szCs w:val="26"/>
          <w:highlight w:val="none"/>
        </w:rPr>
        <w:t>六、 授予合同</w:t>
      </w:r>
      <w:bookmarkEnd w:id="22"/>
      <w:bookmarkEnd w:id="23"/>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1、中标通知书</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1.1</w:t>
      </w:r>
      <w:r>
        <w:rPr>
          <w:rFonts w:hint="eastAsia" w:ascii="宋体" w:hAnsi="宋体" w:eastAsia="宋体" w:cs="宋体"/>
          <w:color w:val="auto"/>
          <w:sz w:val="22"/>
          <w:szCs w:val="22"/>
          <w:highlight w:val="none"/>
        </w:rPr>
        <w:t xml:space="preserve">中标人确定后，招标人将向中标人发出中标通知书。 </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1.2</w:t>
      </w:r>
      <w:r>
        <w:rPr>
          <w:rFonts w:hint="eastAsia" w:ascii="宋体" w:hAnsi="宋体" w:eastAsia="宋体" w:cs="宋体"/>
          <w:color w:val="auto"/>
          <w:sz w:val="22"/>
          <w:szCs w:val="22"/>
          <w:highlight w:val="none"/>
        </w:rPr>
        <w:t>中标通知书是合同的一个组成部分,对招标人和中标人均具有同等法律效力。</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2、授标时更改采购货物数量的权力</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2.1招标人在授予合同时有权对采购货物的数量和服务在一定幅度范围内予以增加或减少,但不得对单价和其他的条款和条件作任何改变。</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3、签订合同</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3.1中标人应按中标通知书规定的时间、地点与招标人签订合同。</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3.2</w:t>
      </w:r>
      <w:r>
        <w:rPr>
          <w:rFonts w:hint="eastAsia" w:ascii="宋体" w:hAnsi="宋体" w:eastAsia="宋体" w:cs="宋体"/>
          <w:b/>
          <w:color w:val="auto"/>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3.3招标文件、中标人的投标文件、投标修改文件、评标过程中有关澄清文件及经投标人和评委双方签字的询标纪要和中标通知书均作为合同附件。</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3.4拒签合同的违约责任</w:t>
      </w:r>
    </w:p>
    <w:p>
      <w:pPr>
        <w:spacing w:line="460" w:lineRule="exact"/>
        <w:ind w:firstLine="571" w:firstLineChars="245"/>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中标人接到中标通知书后，在规定时间内借故否认已经承诺的条件而拒签合同的，以违约处理。</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4、履约保证金</w:t>
      </w:r>
    </w:p>
    <w:p>
      <w:pPr>
        <w:spacing w:line="460" w:lineRule="exact"/>
        <w:ind w:firstLine="539" w:firstLineChars="24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4.1中标人在收到中标通知书后，须向招标人提交合同总价</w:t>
      </w:r>
      <w:r>
        <w:rPr>
          <w:rFonts w:hint="eastAsia" w:ascii="宋体" w:hAnsi="宋体" w:eastAsia="宋体" w:cs="宋体"/>
          <w:bCs/>
          <w:color w:val="auto"/>
          <w:sz w:val="22"/>
          <w:highlight w:val="none"/>
          <w:lang w:val="en-US" w:eastAsia="zh-CN"/>
        </w:rPr>
        <w:t>5</w:t>
      </w:r>
      <w:r>
        <w:rPr>
          <w:rFonts w:hint="eastAsia" w:ascii="宋体" w:hAnsi="宋体" w:eastAsia="宋体" w:cs="宋体"/>
          <w:bCs/>
          <w:color w:val="auto"/>
          <w:sz w:val="22"/>
          <w:highlight w:val="none"/>
        </w:rPr>
        <w:t>%的履约保证金。</w:t>
      </w:r>
    </w:p>
    <w:p>
      <w:pPr>
        <w:spacing w:line="460" w:lineRule="exact"/>
        <w:ind w:firstLine="539" w:firstLineChars="24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4.2履约保证金用于补偿招标人因中标人不能履行其合同义务而蒙受的损失。</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highlight w:val="none"/>
        </w:rPr>
        <w:t>4.3履约保证金自合同签订之日起至货物验收合格止有效。有效期满后，</w:t>
      </w:r>
      <w:r>
        <w:rPr>
          <w:rFonts w:hint="eastAsia" w:ascii="宋体" w:hAnsi="宋体" w:eastAsia="宋体" w:cs="宋体"/>
          <w:bCs/>
          <w:color w:val="auto"/>
          <w:sz w:val="22"/>
          <w:highlight w:val="none"/>
          <w:lang w:eastAsia="zh-CN"/>
        </w:rPr>
        <w:t>招标人</w:t>
      </w:r>
      <w:r>
        <w:rPr>
          <w:rFonts w:hint="eastAsia" w:ascii="宋体" w:hAnsi="宋体" w:eastAsia="宋体" w:cs="宋体"/>
          <w:bCs/>
          <w:color w:val="auto"/>
          <w:sz w:val="22"/>
          <w:highlight w:val="none"/>
        </w:rPr>
        <w:t>应及时将履约保证金无息退还给中标人。</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5、质疑与投诉</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5.1投标人认为招标文件、采购过程、中标和成交结果使自己的合法权益受到损害的，可以在知道或应知道其权益受到损害之日起七个工作日内以书面形式向招标人或招标代理机构提出质疑。</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5.2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pPr>
        <w:spacing w:line="460" w:lineRule="exact"/>
        <w:ind w:firstLine="539" w:firstLineChars="245"/>
        <w:rPr>
          <w:rFonts w:hint="eastAsia" w:ascii="宋体" w:hAnsi="宋体" w:eastAsia="宋体" w:cs="宋体"/>
          <w:color w:val="auto"/>
          <w:sz w:val="22"/>
          <w:highlight w:val="none"/>
        </w:rPr>
      </w:pPr>
      <w:r>
        <w:rPr>
          <w:rFonts w:hint="eastAsia" w:ascii="宋体" w:hAnsi="宋体" w:eastAsia="宋体" w:cs="宋体"/>
          <w:color w:val="auto"/>
          <w:sz w:val="22"/>
          <w:highlight w:val="none"/>
        </w:rPr>
        <w:t>5.3投诉人投诉时，应提交投诉书，投诉书应当由本人并由法定代表人签字盖公章，投诉书应说明具体的投诉事项及事实依据。投诉人对投诉书的真实性负责，恶意投诉将承当相应的法律和民事责任。</w:t>
      </w:r>
    </w:p>
    <w:p>
      <w:pPr>
        <w:rPr>
          <w:rFonts w:hint="eastAsia" w:ascii="宋体" w:hAnsi="宋体" w:eastAsia="宋体" w:cs="宋体"/>
          <w:color w:val="auto"/>
          <w:sz w:val="22"/>
          <w:highlight w:val="none"/>
        </w:rPr>
      </w:pPr>
    </w:p>
    <w:p>
      <w:pPr>
        <w:rPr>
          <w:rFonts w:hint="eastAsia" w:ascii="宋体" w:hAnsi="宋体" w:eastAsia="宋体" w:cs="宋体"/>
        </w:rPr>
      </w:pPr>
      <w:bookmarkStart w:id="24" w:name="_Toc28194"/>
      <w:bookmarkStart w:id="25" w:name="_Toc19043"/>
      <w:r>
        <w:rPr>
          <w:rFonts w:hint="eastAsia" w:ascii="宋体" w:hAnsi="宋体" w:eastAsia="宋体" w:cs="宋体"/>
        </w:rPr>
        <w:br w:type="page"/>
      </w:r>
    </w:p>
    <w:p>
      <w:pPr>
        <w:pStyle w:val="4"/>
        <w:bidi w:val="0"/>
        <w:rPr>
          <w:rFonts w:hint="eastAsia" w:ascii="宋体" w:hAnsi="宋体" w:eastAsia="宋体" w:cs="宋体"/>
        </w:rPr>
      </w:pPr>
      <w:r>
        <w:rPr>
          <w:rFonts w:hint="eastAsia" w:ascii="宋体" w:hAnsi="宋体" w:eastAsia="宋体" w:cs="宋体"/>
        </w:rPr>
        <w:t>第二部分    合同主要条款</w:t>
      </w:r>
      <w:bookmarkEnd w:id="24"/>
      <w:bookmarkEnd w:id="25"/>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注：如甲、乙双方同意，合同格式也可以按照其他形式, 具体条款以甲方为主协商确定。但合同条款的基本内容应与以下要求的内容相一致。</w:t>
      </w:r>
    </w:p>
    <w:p>
      <w:pPr>
        <w:pStyle w:val="23"/>
        <w:spacing w:line="460" w:lineRule="exact"/>
        <w:ind w:left="430" w:leftChars="205" w:firstLine="0" w:firstLineChars="0"/>
        <w:jc w:val="center"/>
        <w:rPr>
          <w:rFonts w:hint="eastAsia" w:ascii="新宋体" w:hAnsi="新宋体" w:eastAsia="新宋体"/>
          <w:b/>
          <w:sz w:val="30"/>
          <w:lang w:val="zh-CN"/>
        </w:rPr>
      </w:pPr>
    </w:p>
    <w:p>
      <w:pPr>
        <w:keepLines w:val="0"/>
        <w:pageBreakBefore w:val="0"/>
        <w:kinsoku/>
        <w:wordWrap/>
        <w:topLinePunct w:val="0"/>
        <w:bidi w:val="0"/>
        <w:spacing w:before="131" w:line="460" w:lineRule="exact"/>
        <w:jc w:val="center"/>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rPr>
        <w:t>温州市中医院</w:t>
      </w:r>
      <w:r>
        <w:rPr>
          <w:rFonts w:hint="eastAsia" w:ascii="宋体" w:hAnsi="宋体" w:eastAsia="宋体" w:cs="宋体"/>
          <w:b/>
          <w:sz w:val="28"/>
          <w:szCs w:val="28"/>
          <w:highlight w:val="none"/>
          <w:lang w:eastAsia="zh-CN"/>
        </w:rPr>
        <w:t>全自动血型仪检测系统耗材（试剂）</w:t>
      </w:r>
      <w:r>
        <w:rPr>
          <w:rFonts w:hint="eastAsia" w:ascii="宋体" w:hAnsi="宋体" w:eastAsia="宋体" w:cs="宋体"/>
          <w:b/>
          <w:sz w:val="28"/>
          <w:szCs w:val="28"/>
          <w:highlight w:val="none"/>
        </w:rPr>
        <w:t>采购及设备租赁</w:t>
      </w:r>
      <w:r>
        <w:rPr>
          <w:rFonts w:hint="eastAsia" w:ascii="宋体" w:hAnsi="宋体" w:eastAsia="宋体" w:cs="宋体"/>
          <w:b/>
          <w:sz w:val="28"/>
          <w:szCs w:val="28"/>
          <w:highlight w:val="none"/>
          <w:lang w:eastAsia="zh-CN"/>
        </w:rPr>
        <w:t>合同</w:t>
      </w:r>
    </w:p>
    <w:p>
      <w:pPr>
        <w:keepNext/>
        <w:keepLines w:val="0"/>
        <w:pageBreakBefore w:val="0"/>
        <w:widowControl w:val="0"/>
        <w:kinsoku/>
        <w:wordWrap/>
        <w:overflowPunct/>
        <w:topLinePunct w:val="0"/>
        <w:autoSpaceDE/>
        <w:autoSpaceDN/>
        <w:bidi w:val="0"/>
        <w:adjustRightInd/>
        <w:snapToGrid/>
        <w:spacing w:before="98" w:line="460" w:lineRule="exact"/>
        <w:ind w:left="5212" w:leftChars="2482" w:right="405" w:rightChars="193" w:firstLine="420"/>
        <w:textAlignment w:val="auto"/>
        <w:outlineLvl w:val="9"/>
        <w:rPr>
          <w:rFonts w:hint="eastAsia" w:ascii="宋体" w:hAnsi="宋体" w:eastAsia="宋体" w:cs="宋体"/>
          <w:b w:val="0"/>
          <w:bCs w:val="0"/>
          <w:kern w:val="0"/>
          <w:sz w:val="22"/>
          <w:szCs w:val="22"/>
          <w:lang w:val="zh-CN" w:eastAsia="zh-CN" w:bidi="ar-SA"/>
        </w:rPr>
      </w:pPr>
      <w:r>
        <w:rPr>
          <w:rFonts w:hint="eastAsia" w:ascii="宋体" w:hAnsi="宋体" w:eastAsia="宋体" w:cs="宋体"/>
          <w:b w:val="0"/>
          <w:bCs w:val="0"/>
          <w:kern w:val="0"/>
          <w:sz w:val="22"/>
          <w:szCs w:val="22"/>
          <w:lang w:val="zh-CN" w:eastAsia="zh-CN" w:bidi="ar-SA"/>
        </w:rPr>
        <w:t xml:space="preserve">合同编号： </w:t>
      </w:r>
    </w:p>
    <w:p>
      <w:pPr>
        <w:keepLines w:val="0"/>
        <w:pageBreakBefore w:val="0"/>
        <w:kinsoku/>
        <w:wordWrap/>
        <w:topLinePunct w:val="0"/>
        <w:bidi w:val="0"/>
        <w:spacing w:line="460" w:lineRule="exact"/>
        <w:rPr>
          <w:rFonts w:hint="eastAsia" w:ascii="宋体" w:hAnsi="宋体" w:eastAsia="宋体" w:cs="宋体"/>
          <w:b/>
          <w:sz w:val="22"/>
          <w:szCs w:val="22"/>
        </w:rPr>
      </w:pPr>
    </w:p>
    <w:p>
      <w:pPr>
        <w:keepLines w:val="0"/>
        <w:pageBreakBefore w:val="0"/>
        <w:kinsoku/>
        <w:wordWrap/>
        <w:topLinePunct w:val="0"/>
        <w:bidi w:val="0"/>
        <w:spacing w:line="460" w:lineRule="exact"/>
        <w:rPr>
          <w:rFonts w:hint="eastAsia" w:ascii="宋体" w:hAnsi="宋体" w:eastAsia="宋体" w:cs="宋体"/>
          <w:b/>
          <w:sz w:val="22"/>
          <w:szCs w:val="22"/>
        </w:rPr>
      </w:pPr>
      <w:r>
        <w:rPr>
          <w:rFonts w:hint="eastAsia" w:ascii="宋体" w:hAnsi="宋体" w:eastAsia="宋体" w:cs="宋体"/>
          <w:b/>
          <w:sz w:val="22"/>
          <w:szCs w:val="22"/>
        </w:rPr>
        <w:t>甲方（采购单位）：温州市中医院</w:t>
      </w:r>
    </w:p>
    <w:p>
      <w:pPr>
        <w:keepLines w:val="0"/>
        <w:pageBreakBefore w:val="0"/>
        <w:kinsoku/>
        <w:wordWrap/>
        <w:topLinePunct w:val="0"/>
        <w:bidi w:val="0"/>
        <w:spacing w:line="460" w:lineRule="exact"/>
        <w:rPr>
          <w:rFonts w:hint="eastAsia" w:ascii="宋体" w:hAnsi="宋体" w:eastAsia="宋体" w:cs="宋体"/>
          <w:b/>
          <w:sz w:val="22"/>
          <w:szCs w:val="22"/>
        </w:rPr>
      </w:pPr>
      <w:r>
        <w:rPr>
          <w:rFonts w:hint="eastAsia" w:ascii="宋体" w:hAnsi="宋体" w:eastAsia="宋体" w:cs="宋体"/>
          <w:b/>
          <w:sz w:val="22"/>
          <w:szCs w:val="22"/>
        </w:rPr>
        <w:t>乙方（供应商）：</w:t>
      </w:r>
      <w:r>
        <w:rPr>
          <w:rFonts w:hint="eastAsia" w:ascii="宋体" w:hAnsi="宋体" w:eastAsia="宋体" w:cs="宋体"/>
          <w:b/>
          <w:sz w:val="22"/>
          <w:szCs w:val="22"/>
          <w:u w:val="single"/>
        </w:rPr>
        <w:t xml:space="preserve">              </w:t>
      </w:r>
      <w:r>
        <w:rPr>
          <w:rFonts w:hint="eastAsia" w:ascii="宋体" w:hAnsi="宋体" w:eastAsia="宋体" w:cs="宋体"/>
          <w:b/>
          <w:sz w:val="22"/>
          <w:szCs w:val="22"/>
        </w:rPr>
        <w:t xml:space="preserve"> </w:t>
      </w:r>
    </w:p>
    <w:p>
      <w:pPr>
        <w:pStyle w:val="22"/>
        <w:keepLines w:val="0"/>
        <w:pageBreakBefore w:val="0"/>
        <w:kinsoku/>
        <w:wordWrap/>
        <w:topLinePunct w:val="0"/>
        <w:bidi w:val="0"/>
        <w:spacing w:line="460" w:lineRule="exact"/>
        <w:ind w:right="199" w:rightChars="95" w:firstLine="240"/>
        <w:rPr>
          <w:rFonts w:hint="eastAsia" w:ascii="宋体" w:hAnsi="宋体" w:eastAsia="宋体" w:cs="宋体"/>
          <w:b w:val="0"/>
          <w:bCs/>
          <w:sz w:val="22"/>
          <w:szCs w:val="22"/>
        </w:rPr>
      </w:pPr>
      <w:r>
        <w:rPr>
          <w:rFonts w:hint="eastAsia" w:ascii="宋体" w:hAnsi="宋体" w:eastAsia="宋体" w:cs="宋体"/>
          <w:b w:val="0"/>
          <w:bCs/>
          <w:sz w:val="22"/>
          <w:szCs w:val="22"/>
        </w:rPr>
        <w:t>根据《中华人民共和国政府采购法》、《中华人民共和国</w:t>
      </w:r>
      <w:r>
        <w:rPr>
          <w:rFonts w:hint="eastAsia" w:ascii="宋体" w:hAnsi="宋体" w:eastAsia="宋体" w:cs="宋体"/>
          <w:b w:val="0"/>
          <w:bCs/>
          <w:sz w:val="22"/>
          <w:szCs w:val="22"/>
          <w:lang w:eastAsia="zh-CN"/>
        </w:rPr>
        <w:t>民法典</w:t>
      </w:r>
      <w:r>
        <w:rPr>
          <w:rFonts w:hint="eastAsia" w:ascii="宋体" w:hAnsi="宋体" w:eastAsia="宋体" w:cs="宋体"/>
          <w:b w:val="0"/>
          <w:bCs/>
          <w:sz w:val="22"/>
          <w:szCs w:val="22"/>
        </w:rPr>
        <w:t>》等相关法律法规，以及</w:t>
      </w:r>
      <w:r>
        <w:rPr>
          <w:rFonts w:hint="eastAsia" w:ascii="宋体" w:hAnsi="宋体" w:eastAsia="宋体" w:cs="宋体"/>
          <w:b w:val="0"/>
          <w:bCs/>
          <w:w w:val="95"/>
          <w:sz w:val="22"/>
          <w:szCs w:val="22"/>
          <w:u w:val="single"/>
        </w:rPr>
        <w:t xml:space="preserve">           </w:t>
      </w:r>
      <w:r>
        <w:rPr>
          <w:rFonts w:hint="eastAsia" w:ascii="宋体" w:hAnsi="宋体" w:eastAsia="宋体" w:cs="宋体"/>
          <w:b w:val="0"/>
          <w:bCs/>
          <w:w w:val="95"/>
          <w:sz w:val="22"/>
          <w:szCs w:val="22"/>
        </w:rPr>
        <w:t>项</w:t>
      </w:r>
      <w:r>
        <w:rPr>
          <w:rFonts w:hint="eastAsia" w:ascii="宋体" w:hAnsi="宋体" w:eastAsia="宋体" w:cs="宋体"/>
          <w:b w:val="0"/>
          <w:bCs/>
          <w:sz w:val="22"/>
          <w:szCs w:val="22"/>
        </w:rPr>
        <w:t>目（以下简称</w:t>
      </w:r>
      <w:r>
        <w:rPr>
          <w:rFonts w:hint="eastAsia" w:ascii="宋体" w:hAnsi="宋体" w:eastAsia="宋体" w:cs="宋体"/>
          <w:b w:val="0"/>
          <w:bCs/>
          <w:sz w:val="22"/>
          <w:szCs w:val="22"/>
          <w:lang w:eastAsia="zh-CN"/>
        </w:rPr>
        <w:t>“项目”</w:t>
      </w:r>
      <w:r>
        <w:rPr>
          <w:rFonts w:hint="eastAsia" w:ascii="宋体" w:hAnsi="宋体" w:eastAsia="宋体" w:cs="宋体"/>
          <w:b w:val="0"/>
          <w:bCs/>
          <w:sz w:val="22"/>
          <w:szCs w:val="22"/>
        </w:rPr>
        <w:t>）招标文件、中标供应商投标文件、项目采购协议，或入围承诺书，甲乙双方经协商一致，签署本合同。</w:t>
      </w:r>
    </w:p>
    <w:p>
      <w:pPr>
        <w:pStyle w:val="5"/>
        <w:keepLines w:val="0"/>
        <w:pageBreakBefore w:val="0"/>
        <w:kinsoku/>
        <w:wordWrap/>
        <w:topLinePunct w:val="0"/>
        <w:bidi w:val="0"/>
        <w:spacing w:before="0" w:after="13" w:line="460" w:lineRule="exact"/>
        <w:ind w:left="0"/>
        <w:rPr>
          <w:rFonts w:hint="eastAsia" w:ascii="宋体" w:hAnsi="宋体" w:eastAsia="宋体" w:cs="宋体"/>
          <w:sz w:val="22"/>
          <w:szCs w:val="22"/>
          <w:lang w:val="en-US" w:eastAsia="zh-CN"/>
        </w:rPr>
      </w:pPr>
      <w:r>
        <w:rPr>
          <w:rFonts w:hint="eastAsia" w:ascii="宋体" w:hAnsi="宋体" w:eastAsia="宋体" w:cs="宋体"/>
          <w:sz w:val="22"/>
          <w:szCs w:val="22"/>
        </w:rPr>
        <w:t>一、</w:t>
      </w:r>
      <w:r>
        <w:rPr>
          <w:rFonts w:hint="eastAsia" w:ascii="宋体" w:hAnsi="宋体" w:eastAsia="宋体" w:cs="宋体"/>
          <w:sz w:val="22"/>
          <w:szCs w:val="22"/>
          <w:lang w:eastAsia="zh-CN"/>
        </w:rPr>
        <w:t>项目内容</w:t>
      </w:r>
    </w:p>
    <w:p>
      <w:pPr>
        <w:pStyle w:val="5"/>
        <w:keepLines w:val="0"/>
        <w:pageBreakBefore w:val="0"/>
        <w:kinsoku/>
        <w:wordWrap/>
        <w:topLinePunct w:val="0"/>
        <w:bidi w:val="0"/>
        <w:spacing w:before="0" w:after="13" w:line="460" w:lineRule="exact"/>
        <w:ind w:left="0"/>
        <w:rPr>
          <w:rFonts w:hint="eastAsia" w:ascii="宋体" w:hAnsi="宋体" w:eastAsia="宋体" w:cs="宋体"/>
          <w:sz w:val="22"/>
          <w:szCs w:val="22"/>
          <w:lang w:eastAsia="zh-CN"/>
        </w:rPr>
      </w:pPr>
      <w:r>
        <w:rPr>
          <w:rFonts w:hint="eastAsia" w:ascii="宋体" w:hAnsi="宋体" w:eastAsia="宋体" w:cs="宋体"/>
          <w:sz w:val="22"/>
          <w:szCs w:val="22"/>
          <w:lang w:eastAsia="zh-CN"/>
        </w:rPr>
        <w:t>耗材：</w:t>
      </w:r>
    </w:p>
    <w:tbl>
      <w:tblPr>
        <w:tblStyle w:val="54"/>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926"/>
        <w:gridCol w:w="1084"/>
        <w:gridCol w:w="1407"/>
        <w:gridCol w:w="1706"/>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94" w:type="dxa"/>
            <w:noWrap w:val="0"/>
            <w:vAlign w:val="center"/>
          </w:tcPr>
          <w:p>
            <w:pPr>
              <w:pStyle w:val="5"/>
              <w:keepLines w:val="0"/>
              <w:pageBreakBefore w:val="0"/>
              <w:kinsoku/>
              <w:wordWrap/>
              <w:topLinePunct w:val="0"/>
              <w:bidi w:val="0"/>
              <w:spacing w:before="0" w:after="13" w:line="460" w:lineRule="exact"/>
              <w:ind w:left="0"/>
              <w:jc w:val="center"/>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序号</w:t>
            </w:r>
          </w:p>
        </w:tc>
        <w:tc>
          <w:tcPr>
            <w:tcW w:w="1926" w:type="dxa"/>
            <w:noWrap w:val="0"/>
            <w:vAlign w:val="top"/>
          </w:tcPr>
          <w:p>
            <w:pPr>
              <w:pStyle w:val="5"/>
              <w:keepLines w:val="0"/>
              <w:pageBreakBefore w:val="0"/>
              <w:kinsoku/>
              <w:wordWrap/>
              <w:topLinePunct w:val="0"/>
              <w:bidi w:val="0"/>
              <w:spacing w:before="0" w:after="13" w:line="460" w:lineRule="exact"/>
              <w:ind w:left="0"/>
              <w:jc w:val="center"/>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货物名称</w:t>
            </w:r>
          </w:p>
        </w:tc>
        <w:tc>
          <w:tcPr>
            <w:tcW w:w="1084" w:type="dxa"/>
            <w:noWrap w:val="0"/>
            <w:vAlign w:val="top"/>
          </w:tcPr>
          <w:p>
            <w:pPr>
              <w:pStyle w:val="5"/>
              <w:keepLines w:val="0"/>
              <w:pageBreakBefore w:val="0"/>
              <w:kinsoku/>
              <w:wordWrap/>
              <w:topLinePunct w:val="0"/>
              <w:bidi w:val="0"/>
              <w:spacing w:before="0" w:after="13" w:line="460" w:lineRule="exact"/>
              <w:ind w:left="0"/>
              <w:jc w:val="center"/>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品牌</w:t>
            </w:r>
          </w:p>
        </w:tc>
        <w:tc>
          <w:tcPr>
            <w:tcW w:w="1407" w:type="dxa"/>
            <w:noWrap w:val="0"/>
            <w:vAlign w:val="top"/>
          </w:tcPr>
          <w:p>
            <w:pPr>
              <w:pStyle w:val="5"/>
              <w:keepLines w:val="0"/>
              <w:pageBreakBefore w:val="0"/>
              <w:kinsoku/>
              <w:wordWrap/>
              <w:topLinePunct w:val="0"/>
              <w:bidi w:val="0"/>
              <w:spacing w:before="0" w:after="13" w:line="460" w:lineRule="exact"/>
              <w:ind w:left="0"/>
              <w:jc w:val="center"/>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型号规格</w:t>
            </w:r>
          </w:p>
        </w:tc>
        <w:tc>
          <w:tcPr>
            <w:tcW w:w="1706" w:type="dxa"/>
            <w:noWrap w:val="0"/>
            <w:vAlign w:val="top"/>
          </w:tcPr>
          <w:p>
            <w:pPr>
              <w:pStyle w:val="5"/>
              <w:keepLines w:val="0"/>
              <w:pageBreakBefore w:val="0"/>
              <w:kinsoku/>
              <w:wordWrap/>
              <w:topLinePunct w:val="0"/>
              <w:bidi w:val="0"/>
              <w:spacing w:before="0" w:after="13" w:line="460" w:lineRule="exact"/>
              <w:ind w:left="0"/>
              <w:jc w:val="center"/>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eastAsia="zh-CN"/>
              </w:rPr>
              <w:t>数量及单位</w:t>
            </w:r>
          </w:p>
        </w:tc>
        <w:tc>
          <w:tcPr>
            <w:tcW w:w="2760" w:type="dxa"/>
            <w:noWrap w:val="0"/>
            <w:vAlign w:val="top"/>
          </w:tcPr>
          <w:p>
            <w:pPr>
              <w:pStyle w:val="5"/>
              <w:keepLines w:val="0"/>
              <w:pageBreakBefore w:val="0"/>
              <w:kinsoku/>
              <w:wordWrap/>
              <w:topLinePunct w:val="0"/>
              <w:bidi w:val="0"/>
              <w:spacing w:before="0" w:after="13" w:line="460" w:lineRule="exact"/>
              <w:ind w:left="0"/>
              <w:jc w:val="center"/>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4" w:type="dxa"/>
            <w:noWrap w:val="0"/>
            <w:vAlign w:val="center"/>
          </w:tcPr>
          <w:p>
            <w:pPr>
              <w:pStyle w:val="5"/>
              <w:keepLines w:val="0"/>
              <w:pageBreakBefore w:val="0"/>
              <w:kinsoku/>
              <w:wordWrap/>
              <w:topLinePunct w:val="0"/>
              <w:bidi w:val="0"/>
              <w:spacing w:before="0" w:after="13" w:line="460" w:lineRule="exact"/>
              <w:ind w:left="0"/>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1</w:t>
            </w:r>
          </w:p>
        </w:tc>
        <w:tc>
          <w:tcPr>
            <w:tcW w:w="1926" w:type="dxa"/>
            <w:noWrap w:val="0"/>
            <w:vAlign w:val="center"/>
          </w:tcPr>
          <w:p>
            <w:pPr>
              <w:pStyle w:val="5"/>
              <w:keepLines w:val="0"/>
              <w:pageBreakBefore w:val="0"/>
              <w:kinsoku/>
              <w:wordWrap/>
              <w:topLinePunct w:val="0"/>
              <w:bidi w:val="0"/>
              <w:spacing w:before="0" w:after="13" w:line="460" w:lineRule="exact"/>
              <w:ind w:left="0"/>
              <w:rPr>
                <w:rFonts w:hint="eastAsia" w:ascii="宋体" w:hAnsi="宋体" w:eastAsia="宋体" w:cs="宋体"/>
                <w:b w:val="0"/>
                <w:bCs w:val="0"/>
                <w:sz w:val="22"/>
                <w:szCs w:val="22"/>
                <w:lang w:eastAsia="zh-CN"/>
              </w:rPr>
            </w:pPr>
          </w:p>
        </w:tc>
        <w:tc>
          <w:tcPr>
            <w:tcW w:w="1084" w:type="dxa"/>
            <w:noWrap w:val="0"/>
            <w:vAlign w:val="center"/>
          </w:tcPr>
          <w:p>
            <w:pPr>
              <w:pStyle w:val="5"/>
              <w:keepLines w:val="0"/>
              <w:pageBreakBefore w:val="0"/>
              <w:kinsoku/>
              <w:wordWrap/>
              <w:topLinePunct w:val="0"/>
              <w:bidi w:val="0"/>
              <w:spacing w:before="0" w:after="13" w:line="460" w:lineRule="exact"/>
              <w:ind w:left="0"/>
              <w:rPr>
                <w:rFonts w:hint="eastAsia" w:ascii="宋体" w:hAnsi="宋体" w:eastAsia="宋体" w:cs="宋体"/>
                <w:b w:val="0"/>
                <w:bCs w:val="0"/>
                <w:sz w:val="22"/>
                <w:szCs w:val="22"/>
                <w:lang w:eastAsia="zh-CN"/>
              </w:rPr>
            </w:pPr>
          </w:p>
        </w:tc>
        <w:tc>
          <w:tcPr>
            <w:tcW w:w="1407" w:type="dxa"/>
            <w:noWrap w:val="0"/>
            <w:vAlign w:val="center"/>
          </w:tcPr>
          <w:p>
            <w:pPr>
              <w:pStyle w:val="5"/>
              <w:keepLines w:val="0"/>
              <w:pageBreakBefore w:val="0"/>
              <w:kinsoku/>
              <w:wordWrap/>
              <w:topLinePunct w:val="0"/>
              <w:bidi w:val="0"/>
              <w:spacing w:before="0" w:after="13" w:line="460" w:lineRule="exact"/>
              <w:ind w:left="0"/>
              <w:rPr>
                <w:rFonts w:hint="eastAsia" w:ascii="宋体" w:hAnsi="宋体" w:eastAsia="宋体" w:cs="宋体"/>
                <w:b w:val="0"/>
                <w:bCs w:val="0"/>
                <w:sz w:val="22"/>
                <w:szCs w:val="22"/>
                <w:lang w:eastAsia="zh-CN"/>
              </w:rPr>
            </w:pPr>
          </w:p>
        </w:tc>
        <w:tc>
          <w:tcPr>
            <w:tcW w:w="1706" w:type="dxa"/>
            <w:noWrap w:val="0"/>
            <w:vAlign w:val="center"/>
          </w:tcPr>
          <w:p>
            <w:pPr>
              <w:pStyle w:val="5"/>
              <w:keepLines w:val="0"/>
              <w:pageBreakBefore w:val="0"/>
              <w:kinsoku/>
              <w:wordWrap/>
              <w:topLinePunct w:val="0"/>
              <w:bidi w:val="0"/>
              <w:spacing w:before="0" w:after="13" w:line="460" w:lineRule="exact"/>
              <w:ind w:left="0"/>
              <w:rPr>
                <w:rFonts w:hint="eastAsia" w:ascii="宋体" w:hAnsi="宋体" w:eastAsia="宋体" w:cs="宋体"/>
                <w:b w:val="0"/>
                <w:bCs w:val="0"/>
                <w:sz w:val="22"/>
                <w:szCs w:val="22"/>
                <w:lang w:val="en-US" w:eastAsia="zh-CN"/>
              </w:rPr>
            </w:pPr>
          </w:p>
        </w:tc>
        <w:tc>
          <w:tcPr>
            <w:tcW w:w="2760" w:type="dxa"/>
            <w:noWrap w:val="0"/>
            <w:vAlign w:val="center"/>
          </w:tcPr>
          <w:p>
            <w:pPr>
              <w:pStyle w:val="5"/>
              <w:keepLines w:val="0"/>
              <w:pageBreakBefore w:val="0"/>
              <w:kinsoku/>
              <w:wordWrap/>
              <w:topLinePunct w:val="0"/>
              <w:bidi w:val="0"/>
              <w:spacing w:before="0" w:after="13" w:line="460" w:lineRule="exact"/>
              <w:ind w:left="0"/>
              <w:rPr>
                <w:rFonts w:hint="eastAsia" w:ascii="宋体" w:hAnsi="宋体" w:eastAsia="宋体" w:cs="宋体"/>
                <w:b w:val="0"/>
                <w:bCs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4" w:type="dxa"/>
            <w:noWrap w:val="0"/>
            <w:vAlign w:val="center"/>
          </w:tcPr>
          <w:p>
            <w:pPr>
              <w:pStyle w:val="5"/>
              <w:keepLines w:val="0"/>
              <w:pageBreakBefore w:val="0"/>
              <w:kinsoku/>
              <w:wordWrap/>
              <w:topLinePunct w:val="0"/>
              <w:bidi w:val="0"/>
              <w:spacing w:before="0" w:after="13" w:line="460" w:lineRule="exact"/>
              <w:ind w:left="0"/>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2</w:t>
            </w:r>
          </w:p>
        </w:tc>
        <w:tc>
          <w:tcPr>
            <w:tcW w:w="1926" w:type="dxa"/>
            <w:noWrap w:val="0"/>
            <w:vAlign w:val="center"/>
          </w:tcPr>
          <w:p>
            <w:pPr>
              <w:pStyle w:val="5"/>
              <w:keepLines w:val="0"/>
              <w:pageBreakBefore w:val="0"/>
              <w:kinsoku/>
              <w:wordWrap/>
              <w:topLinePunct w:val="0"/>
              <w:bidi w:val="0"/>
              <w:spacing w:before="0" w:after="13" w:line="460" w:lineRule="exact"/>
              <w:ind w:left="0"/>
              <w:rPr>
                <w:rFonts w:hint="eastAsia" w:ascii="宋体" w:hAnsi="宋体" w:eastAsia="宋体" w:cs="宋体"/>
                <w:b w:val="0"/>
                <w:bCs w:val="0"/>
                <w:sz w:val="22"/>
                <w:szCs w:val="22"/>
                <w:lang w:eastAsia="zh-CN"/>
              </w:rPr>
            </w:pPr>
          </w:p>
        </w:tc>
        <w:tc>
          <w:tcPr>
            <w:tcW w:w="1084" w:type="dxa"/>
            <w:noWrap w:val="0"/>
            <w:vAlign w:val="center"/>
          </w:tcPr>
          <w:p>
            <w:pPr>
              <w:pStyle w:val="5"/>
              <w:keepLines w:val="0"/>
              <w:pageBreakBefore w:val="0"/>
              <w:kinsoku/>
              <w:wordWrap/>
              <w:topLinePunct w:val="0"/>
              <w:bidi w:val="0"/>
              <w:spacing w:before="0" w:after="13" w:line="460" w:lineRule="exact"/>
              <w:ind w:left="0"/>
              <w:rPr>
                <w:rFonts w:hint="eastAsia" w:ascii="宋体" w:hAnsi="宋体" w:eastAsia="宋体" w:cs="宋体"/>
                <w:b w:val="0"/>
                <w:bCs w:val="0"/>
                <w:sz w:val="22"/>
                <w:szCs w:val="22"/>
                <w:lang w:eastAsia="zh-CN"/>
              </w:rPr>
            </w:pPr>
          </w:p>
        </w:tc>
        <w:tc>
          <w:tcPr>
            <w:tcW w:w="1407" w:type="dxa"/>
            <w:noWrap w:val="0"/>
            <w:vAlign w:val="center"/>
          </w:tcPr>
          <w:p>
            <w:pPr>
              <w:pStyle w:val="5"/>
              <w:keepLines w:val="0"/>
              <w:pageBreakBefore w:val="0"/>
              <w:kinsoku/>
              <w:wordWrap/>
              <w:topLinePunct w:val="0"/>
              <w:bidi w:val="0"/>
              <w:spacing w:before="0" w:after="13" w:line="460" w:lineRule="exact"/>
              <w:ind w:left="0"/>
              <w:rPr>
                <w:rFonts w:hint="eastAsia" w:ascii="宋体" w:hAnsi="宋体" w:eastAsia="宋体" w:cs="宋体"/>
                <w:b w:val="0"/>
                <w:bCs w:val="0"/>
                <w:sz w:val="22"/>
                <w:szCs w:val="22"/>
                <w:lang w:eastAsia="zh-CN"/>
              </w:rPr>
            </w:pPr>
          </w:p>
        </w:tc>
        <w:tc>
          <w:tcPr>
            <w:tcW w:w="1706" w:type="dxa"/>
            <w:noWrap w:val="0"/>
            <w:vAlign w:val="center"/>
          </w:tcPr>
          <w:p>
            <w:pPr>
              <w:pStyle w:val="5"/>
              <w:keepLines w:val="0"/>
              <w:pageBreakBefore w:val="0"/>
              <w:kinsoku/>
              <w:wordWrap/>
              <w:topLinePunct w:val="0"/>
              <w:bidi w:val="0"/>
              <w:spacing w:before="0" w:after="13" w:line="460" w:lineRule="exact"/>
              <w:ind w:left="0"/>
              <w:rPr>
                <w:rFonts w:hint="eastAsia" w:ascii="宋体" w:hAnsi="宋体" w:eastAsia="宋体" w:cs="宋体"/>
                <w:b w:val="0"/>
                <w:bCs w:val="0"/>
                <w:sz w:val="22"/>
                <w:szCs w:val="22"/>
                <w:lang w:val="en-US" w:eastAsia="zh-CN"/>
              </w:rPr>
            </w:pPr>
          </w:p>
        </w:tc>
        <w:tc>
          <w:tcPr>
            <w:tcW w:w="2760" w:type="dxa"/>
            <w:noWrap w:val="0"/>
            <w:vAlign w:val="center"/>
          </w:tcPr>
          <w:p>
            <w:pPr>
              <w:pStyle w:val="5"/>
              <w:keepLines w:val="0"/>
              <w:pageBreakBefore w:val="0"/>
              <w:kinsoku/>
              <w:wordWrap/>
              <w:topLinePunct w:val="0"/>
              <w:bidi w:val="0"/>
              <w:spacing w:before="0" w:after="13" w:line="460" w:lineRule="exact"/>
              <w:ind w:left="0"/>
              <w:rPr>
                <w:rFonts w:hint="eastAsia" w:ascii="宋体" w:hAnsi="宋体" w:eastAsia="宋体" w:cs="宋体"/>
                <w:b w:val="0"/>
                <w:bCs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77" w:type="dxa"/>
            <w:gridSpan w:val="6"/>
            <w:noWrap w:val="0"/>
            <w:vAlign w:val="center"/>
          </w:tcPr>
          <w:p>
            <w:pPr>
              <w:pStyle w:val="5"/>
              <w:keepLines w:val="0"/>
              <w:pageBreakBefore w:val="0"/>
              <w:kinsoku/>
              <w:wordWrap/>
              <w:topLinePunct w:val="0"/>
              <w:bidi w:val="0"/>
              <w:spacing w:before="0" w:after="13" w:line="460" w:lineRule="exact"/>
              <w:ind w:left="0"/>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eastAsia="zh-CN"/>
              </w:rPr>
              <w:t>小写：￥</w:t>
            </w:r>
            <w:r>
              <w:rPr>
                <w:rFonts w:hint="eastAsia" w:ascii="宋体" w:hAnsi="宋体" w:eastAsia="宋体" w:cs="宋体"/>
                <w:b w:val="0"/>
                <w:bCs w:val="0"/>
                <w:sz w:val="22"/>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77" w:type="dxa"/>
            <w:gridSpan w:val="6"/>
            <w:noWrap w:val="0"/>
            <w:vAlign w:val="center"/>
          </w:tcPr>
          <w:p>
            <w:pPr>
              <w:pStyle w:val="5"/>
              <w:keepLines w:val="0"/>
              <w:pageBreakBefore w:val="0"/>
              <w:kinsoku/>
              <w:wordWrap/>
              <w:topLinePunct w:val="0"/>
              <w:bidi w:val="0"/>
              <w:spacing w:before="0" w:after="13" w:line="460" w:lineRule="exact"/>
              <w:ind w:left="0"/>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大写：</w:t>
            </w:r>
          </w:p>
        </w:tc>
      </w:tr>
    </w:tbl>
    <w:p>
      <w:pPr>
        <w:pStyle w:val="5"/>
        <w:keepLines w:val="0"/>
        <w:pageBreakBefore w:val="0"/>
        <w:kinsoku/>
        <w:wordWrap/>
        <w:topLinePunct w:val="0"/>
        <w:bidi w:val="0"/>
        <w:spacing w:before="0" w:after="13" w:line="460" w:lineRule="exact"/>
        <w:ind w:left="0"/>
        <w:rPr>
          <w:rFonts w:hint="eastAsia" w:ascii="宋体" w:hAnsi="宋体" w:eastAsia="宋体" w:cs="宋体"/>
          <w:sz w:val="22"/>
          <w:szCs w:val="22"/>
          <w:lang w:eastAsia="zh-CN"/>
        </w:rPr>
      </w:pPr>
      <w:r>
        <w:rPr>
          <w:rFonts w:hint="eastAsia" w:ascii="宋体" w:hAnsi="宋体" w:eastAsia="宋体" w:cs="宋体"/>
          <w:sz w:val="22"/>
          <w:szCs w:val="22"/>
          <w:lang w:eastAsia="zh-CN"/>
        </w:rPr>
        <w:t>租赁设备：</w:t>
      </w:r>
    </w:p>
    <w:tbl>
      <w:tblPr>
        <w:tblStyle w:val="54"/>
        <w:tblW w:w="9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926"/>
        <w:gridCol w:w="1084"/>
        <w:gridCol w:w="1407"/>
        <w:gridCol w:w="1706"/>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94" w:type="dxa"/>
            <w:noWrap w:val="0"/>
            <w:vAlign w:val="center"/>
          </w:tcPr>
          <w:p>
            <w:pPr>
              <w:pStyle w:val="5"/>
              <w:keepLines w:val="0"/>
              <w:pageBreakBefore w:val="0"/>
              <w:kinsoku/>
              <w:wordWrap/>
              <w:topLinePunct w:val="0"/>
              <w:bidi w:val="0"/>
              <w:spacing w:before="0" w:after="13" w:line="460" w:lineRule="exact"/>
              <w:ind w:left="0"/>
              <w:jc w:val="center"/>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序号</w:t>
            </w:r>
          </w:p>
        </w:tc>
        <w:tc>
          <w:tcPr>
            <w:tcW w:w="1926" w:type="dxa"/>
            <w:noWrap w:val="0"/>
            <w:vAlign w:val="top"/>
          </w:tcPr>
          <w:p>
            <w:pPr>
              <w:pStyle w:val="5"/>
              <w:keepLines w:val="0"/>
              <w:pageBreakBefore w:val="0"/>
              <w:kinsoku/>
              <w:wordWrap/>
              <w:topLinePunct w:val="0"/>
              <w:bidi w:val="0"/>
              <w:spacing w:before="0" w:after="13" w:line="460" w:lineRule="exact"/>
              <w:ind w:left="0"/>
              <w:jc w:val="center"/>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设备名称</w:t>
            </w:r>
          </w:p>
        </w:tc>
        <w:tc>
          <w:tcPr>
            <w:tcW w:w="1084" w:type="dxa"/>
            <w:noWrap w:val="0"/>
            <w:vAlign w:val="top"/>
          </w:tcPr>
          <w:p>
            <w:pPr>
              <w:pStyle w:val="5"/>
              <w:keepLines w:val="0"/>
              <w:pageBreakBefore w:val="0"/>
              <w:kinsoku/>
              <w:wordWrap/>
              <w:topLinePunct w:val="0"/>
              <w:bidi w:val="0"/>
              <w:spacing w:before="0" w:after="13" w:line="460" w:lineRule="exact"/>
              <w:ind w:left="0"/>
              <w:jc w:val="center"/>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品牌</w:t>
            </w:r>
          </w:p>
        </w:tc>
        <w:tc>
          <w:tcPr>
            <w:tcW w:w="1407" w:type="dxa"/>
            <w:noWrap w:val="0"/>
            <w:vAlign w:val="top"/>
          </w:tcPr>
          <w:p>
            <w:pPr>
              <w:pStyle w:val="5"/>
              <w:keepLines w:val="0"/>
              <w:pageBreakBefore w:val="0"/>
              <w:kinsoku/>
              <w:wordWrap/>
              <w:topLinePunct w:val="0"/>
              <w:bidi w:val="0"/>
              <w:spacing w:before="0" w:after="13" w:line="460" w:lineRule="exact"/>
              <w:ind w:left="0"/>
              <w:jc w:val="center"/>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型号规格</w:t>
            </w:r>
          </w:p>
        </w:tc>
        <w:tc>
          <w:tcPr>
            <w:tcW w:w="1706" w:type="dxa"/>
            <w:noWrap w:val="0"/>
            <w:vAlign w:val="top"/>
          </w:tcPr>
          <w:p>
            <w:pPr>
              <w:pStyle w:val="5"/>
              <w:keepLines w:val="0"/>
              <w:pageBreakBefore w:val="0"/>
              <w:kinsoku/>
              <w:wordWrap/>
              <w:topLinePunct w:val="0"/>
              <w:bidi w:val="0"/>
              <w:spacing w:before="0" w:after="13" w:line="460" w:lineRule="exact"/>
              <w:ind w:left="0"/>
              <w:jc w:val="center"/>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eastAsia="zh-CN"/>
              </w:rPr>
              <w:t>数量及单位</w:t>
            </w:r>
          </w:p>
        </w:tc>
        <w:tc>
          <w:tcPr>
            <w:tcW w:w="2794" w:type="dxa"/>
            <w:noWrap w:val="0"/>
            <w:vAlign w:val="top"/>
          </w:tcPr>
          <w:p>
            <w:pPr>
              <w:pStyle w:val="5"/>
              <w:keepLines w:val="0"/>
              <w:pageBreakBefore w:val="0"/>
              <w:kinsoku/>
              <w:wordWrap/>
              <w:topLinePunct w:val="0"/>
              <w:bidi w:val="0"/>
              <w:spacing w:before="0" w:after="13" w:line="460" w:lineRule="exact"/>
              <w:ind w:left="0"/>
              <w:jc w:val="center"/>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4" w:type="dxa"/>
            <w:noWrap w:val="0"/>
            <w:vAlign w:val="center"/>
          </w:tcPr>
          <w:p>
            <w:pPr>
              <w:pStyle w:val="5"/>
              <w:keepLines w:val="0"/>
              <w:pageBreakBefore w:val="0"/>
              <w:kinsoku/>
              <w:wordWrap/>
              <w:topLinePunct w:val="0"/>
              <w:bidi w:val="0"/>
              <w:spacing w:before="0" w:after="13" w:line="460" w:lineRule="exact"/>
              <w:ind w:left="0"/>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1</w:t>
            </w:r>
          </w:p>
        </w:tc>
        <w:tc>
          <w:tcPr>
            <w:tcW w:w="1926" w:type="dxa"/>
            <w:noWrap w:val="0"/>
            <w:vAlign w:val="center"/>
          </w:tcPr>
          <w:p>
            <w:pPr>
              <w:pStyle w:val="5"/>
              <w:keepLines w:val="0"/>
              <w:pageBreakBefore w:val="0"/>
              <w:kinsoku/>
              <w:wordWrap/>
              <w:topLinePunct w:val="0"/>
              <w:bidi w:val="0"/>
              <w:spacing w:before="0" w:after="13" w:line="460" w:lineRule="exact"/>
              <w:ind w:left="0"/>
              <w:rPr>
                <w:rFonts w:hint="eastAsia" w:ascii="宋体" w:hAnsi="宋体" w:eastAsia="宋体" w:cs="宋体"/>
                <w:b w:val="0"/>
                <w:bCs w:val="0"/>
                <w:sz w:val="22"/>
                <w:szCs w:val="22"/>
                <w:lang w:eastAsia="zh-CN"/>
              </w:rPr>
            </w:pPr>
          </w:p>
        </w:tc>
        <w:tc>
          <w:tcPr>
            <w:tcW w:w="1084" w:type="dxa"/>
            <w:noWrap w:val="0"/>
            <w:vAlign w:val="center"/>
          </w:tcPr>
          <w:p>
            <w:pPr>
              <w:pStyle w:val="5"/>
              <w:keepLines w:val="0"/>
              <w:pageBreakBefore w:val="0"/>
              <w:kinsoku/>
              <w:wordWrap/>
              <w:topLinePunct w:val="0"/>
              <w:bidi w:val="0"/>
              <w:spacing w:before="0" w:after="13" w:line="460" w:lineRule="exact"/>
              <w:ind w:left="0"/>
              <w:rPr>
                <w:rFonts w:hint="eastAsia" w:ascii="宋体" w:hAnsi="宋体" w:eastAsia="宋体" w:cs="宋体"/>
                <w:b w:val="0"/>
                <w:bCs w:val="0"/>
                <w:sz w:val="22"/>
                <w:szCs w:val="22"/>
                <w:lang w:eastAsia="zh-CN"/>
              </w:rPr>
            </w:pPr>
          </w:p>
        </w:tc>
        <w:tc>
          <w:tcPr>
            <w:tcW w:w="1407" w:type="dxa"/>
            <w:noWrap w:val="0"/>
            <w:vAlign w:val="center"/>
          </w:tcPr>
          <w:p>
            <w:pPr>
              <w:pStyle w:val="5"/>
              <w:keepLines w:val="0"/>
              <w:pageBreakBefore w:val="0"/>
              <w:kinsoku/>
              <w:wordWrap/>
              <w:topLinePunct w:val="0"/>
              <w:bidi w:val="0"/>
              <w:spacing w:before="0" w:after="13" w:line="460" w:lineRule="exact"/>
              <w:ind w:left="0"/>
              <w:rPr>
                <w:rFonts w:hint="eastAsia" w:ascii="宋体" w:hAnsi="宋体" w:eastAsia="宋体" w:cs="宋体"/>
                <w:b w:val="0"/>
                <w:bCs w:val="0"/>
                <w:sz w:val="22"/>
                <w:szCs w:val="22"/>
                <w:lang w:eastAsia="zh-CN"/>
              </w:rPr>
            </w:pPr>
          </w:p>
        </w:tc>
        <w:tc>
          <w:tcPr>
            <w:tcW w:w="1706" w:type="dxa"/>
            <w:noWrap w:val="0"/>
            <w:vAlign w:val="center"/>
          </w:tcPr>
          <w:p>
            <w:pPr>
              <w:pStyle w:val="5"/>
              <w:keepLines w:val="0"/>
              <w:pageBreakBefore w:val="0"/>
              <w:kinsoku/>
              <w:wordWrap/>
              <w:topLinePunct w:val="0"/>
              <w:bidi w:val="0"/>
              <w:spacing w:before="0" w:after="13" w:line="460" w:lineRule="exact"/>
              <w:ind w:left="0"/>
              <w:rPr>
                <w:rFonts w:hint="eastAsia" w:ascii="宋体" w:hAnsi="宋体" w:eastAsia="宋体" w:cs="宋体"/>
                <w:b w:val="0"/>
                <w:bCs w:val="0"/>
                <w:sz w:val="22"/>
                <w:szCs w:val="22"/>
                <w:lang w:val="en-US" w:eastAsia="zh-CN"/>
              </w:rPr>
            </w:pPr>
          </w:p>
        </w:tc>
        <w:tc>
          <w:tcPr>
            <w:tcW w:w="2794" w:type="dxa"/>
            <w:noWrap w:val="0"/>
            <w:vAlign w:val="center"/>
          </w:tcPr>
          <w:p>
            <w:pPr>
              <w:pStyle w:val="5"/>
              <w:keepLines w:val="0"/>
              <w:pageBreakBefore w:val="0"/>
              <w:kinsoku/>
              <w:wordWrap/>
              <w:topLinePunct w:val="0"/>
              <w:bidi w:val="0"/>
              <w:spacing w:before="0" w:after="13" w:line="460" w:lineRule="exact"/>
              <w:ind w:left="0"/>
              <w:rPr>
                <w:rFonts w:hint="eastAsia" w:ascii="宋体" w:hAnsi="宋体" w:eastAsia="宋体" w:cs="宋体"/>
                <w:b w:val="0"/>
                <w:bCs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4" w:type="dxa"/>
            <w:noWrap w:val="0"/>
            <w:vAlign w:val="center"/>
          </w:tcPr>
          <w:p>
            <w:pPr>
              <w:pStyle w:val="5"/>
              <w:keepLines w:val="0"/>
              <w:pageBreakBefore w:val="0"/>
              <w:kinsoku/>
              <w:wordWrap/>
              <w:topLinePunct w:val="0"/>
              <w:bidi w:val="0"/>
              <w:spacing w:before="0" w:after="13" w:line="460" w:lineRule="exact"/>
              <w:ind w:left="0"/>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2</w:t>
            </w:r>
          </w:p>
        </w:tc>
        <w:tc>
          <w:tcPr>
            <w:tcW w:w="1926" w:type="dxa"/>
            <w:noWrap w:val="0"/>
            <w:vAlign w:val="center"/>
          </w:tcPr>
          <w:p>
            <w:pPr>
              <w:pStyle w:val="5"/>
              <w:keepLines w:val="0"/>
              <w:pageBreakBefore w:val="0"/>
              <w:kinsoku/>
              <w:wordWrap/>
              <w:topLinePunct w:val="0"/>
              <w:bidi w:val="0"/>
              <w:spacing w:before="0" w:after="13" w:line="460" w:lineRule="exact"/>
              <w:ind w:left="0"/>
              <w:rPr>
                <w:rFonts w:hint="eastAsia" w:ascii="宋体" w:hAnsi="宋体" w:eastAsia="宋体" w:cs="宋体"/>
                <w:b w:val="0"/>
                <w:bCs w:val="0"/>
                <w:sz w:val="22"/>
                <w:szCs w:val="22"/>
                <w:lang w:eastAsia="zh-CN"/>
              </w:rPr>
            </w:pPr>
          </w:p>
        </w:tc>
        <w:tc>
          <w:tcPr>
            <w:tcW w:w="1084" w:type="dxa"/>
            <w:noWrap w:val="0"/>
            <w:vAlign w:val="center"/>
          </w:tcPr>
          <w:p>
            <w:pPr>
              <w:pStyle w:val="5"/>
              <w:keepLines w:val="0"/>
              <w:pageBreakBefore w:val="0"/>
              <w:kinsoku/>
              <w:wordWrap/>
              <w:topLinePunct w:val="0"/>
              <w:bidi w:val="0"/>
              <w:spacing w:before="0" w:after="13" w:line="460" w:lineRule="exact"/>
              <w:ind w:left="0"/>
              <w:rPr>
                <w:rFonts w:hint="eastAsia" w:ascii="宋体" w:hAnsi="宋体" w:eastAsia="宋体" w:cs="宋体"/>
                <w:b w:val="0"/>
                <w:bCs w:val="0"/>
                <w:sz w:val="22"/>
                <w:szCs w:val="22"/>
                <w:lang w:eastAsia="zh-CN"/>
              </w:rPr>
            </w:pPr>
          </w:p>
        </w:tc>
        <w:tc>
          <w:tcPr>
            <w:tcW w:w="1407" w:type="dxa"/>
            <w:noWrap w:val="0"/>
            <w:vAlign w:val="center"/>
          </w:tcPr>
          <w:p>
            <w:pPr>
              <w:pStyle w:val="5"/>
              <w:keepLines w:val="0"/>
              <w:pageBreakBefore w:val="0"/>
              <w:kinsoku/>
              <w:wordWrap/>
              <w:topLinePunct w:val="0"/>
              <w:bidi w:val="0"/>
              <w:spacing w:before="0" w:after="13" w:line="460" w:lineRule="exact"/>
              <w:ind w:left="0"/>
              <w:rPr>
                <w:rFonts w:hint="eastAsia" w:ascii="宋体" w:hAnsi="宋体" w:eastAsia="宋体" w:cs="宋体"/>
                <w:b w:val="0"/>
                <w:bCs w:val="0"/>
                <w:sz w:val="22"/>
                <w:szCs w:val="22"/>
                <w:lang w:eastAsia="zh-CN"/>
              </w:rPr>
            </w:pPr>
          </w:p>
        </w:tc>
        <w:tc>
          <w:tcPr>
            <w:tcW w:w="1706" w:type="dxa"/>
            <w:noWrap w:val="0"/>
            <w:vAlign w:val="center"/>
          </w:tcPr>
          <w:p>
            <w:pPr>
              <w:pStyle w:val="5"/>
              <w:keepLines w:val="0"/>
              <w:pageBreakBefore w:val="0"/>
              <w:kinsoku/>
              <w:wordWrap/>
              <w:topLinePunct w:val="0"/>
              <w:bidi w:val="0"/>
              <w:spacing w:before="0" w:after="13" w:line="460" w:lineRule="exact"/>
              <w:ind w:left="0"/>
              <w:rPr>
                <w:rFonts w:hint="eastAsia" w:ascii="宋体" w:hAnsi="宋体" w:eastAsia="宋体" w:cs="宋体"/>
                <w:b w:val="0"/>
                <w:bCs w:val="0"/>
                <w:sz w:val="22"/>
                <w:szCs w:val="22"/>
                <w:lang w:val="en-US" w:eastAsia="zh-CN"/>
              </w:rPr>
            </w:pPr>
          </w:p>
        </w:tc>
        <w:tc>
          <w:tcPr>
            <w:tcW w:w="2794" w:type="dxa"/>
            <w:noWrap w:val="0"/>
            <w:vAlign w:val="center"/>
          </w:tcPr>
          <w:p>
            <w:pPr>
              <w:pStyle w:val="5"/>
              <w:keepLines w:val="0"/>
              <w:pageBreakBefore w:val="0"/>
              <w:kinsoku/>
              <w:wordWrap/>
              <w:topLinePunct w:val="0"/>
              <w:bidi w:val="0"/>
              <w:spacing w:before="0" w:after="13" w:line="460" w:lineRule="exact"/>
              <w:ind w:left="0"/>
              <w:rPr>
                <w:rFonts w:hint="eastAsia" w:ascii="宋体" w:hAnsi="宋体" w:eastAsia="宋体" w:cs="宋体"/>
                <w:b w:val="0"/>
                <w:bCs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1" w:type="dxa"/>
            <w:gridSpan w:val="6"/>
            <w:noWrap w:val="0"/>
            <w:vAlign w:val="center"/>
          </w:tcPr>
          <w:p>
            <w:pPr>
              <w:pStyle w:val="5"/>
              <w:keepLines w:val="0"/>
              <w:pageBreakBefore w:val="0"/>
              <w:kinsoku/>
              <w:wordWrap/>
              <w:topLinePunct w:val="0"/>
              <w:bidi w:val="0"/>
              <w:spacing w:before="0" w:after="13" w:line="460" w:lineRule="exact"/>
              <w:ind w:left="0"/>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eastAsia="zh-CN"/>
              </w:rPr>
              <w:t>小写：￥</w:t>
            </w:r>
            <w:r>
              <w:rPr>
                <w:rFonts w:hint="eastAsia" w:ascii="宋体" w:hAnsi="宋体" w:eastAsia="宋体" w:cs="宋体"/>
                <w:b w:val="0"/>
                <w:bCs w:val="0"/>
                <w:sz w:val="22"/>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1" w:type="dxa"/>
            <w:gridSpan w:val="6"/>
            <w:noWrap w:val="0"/>
            <w:vAlign w:val="center"/>
          </w:tcPr>
          <w:p>
            <w:pPr>
              <w:pStyle w:val="5"/>
              <w:keepLines w:val="0"/>
              <w:pageBreakBefore w:val="0"/>
              <w:kinsoku/>
              <w:wordWrap/>
              <w:topLinePunct w:val="0"/>
              <w:bidi w:val="0"/>
              <w:spacing w:before="0" w:after="13" w:line="460" w:lineRule="exact"/>
              <w:ind w:left="0"/>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大写：</w:t>
            </w:r>
          </w:p>
        </w:tc>
      </w:tr>
    </w:tbl>
    <w:p>
      <w:pPr>
        <w:pStyle w:val="30"/>
        <w:keepLines w:val="0"/>
        <w:pageBreakBefore w:val="0"/>
        <w:kinsoku/>
        <w:wordWrap/>
        <w:topLinePunct w:val="0"/>
        <w:bidi w:val="0"/>
        <w:snapToGrid w:val="0"/>
        <w:spacing w:beforeLines="0" w:afterLines="0" w:line="460" w:lineRule="exact"/>
        <w:ind w:left="6300" w:leftChars="0" w:firstLine="420" w:firstLineChars="0"/>
        <w:jc w:val="left"/>
        <w:rPr>
          <w:rFonts w:hint="eastAsia" w:ascii="宋体" w:hAnsi="宋体" w:eastAsia="宋体" w:cs="宋体"/>
          <w:w w:val="95"/>
          <w:sz w:val="22"/>
          <w:szCs w:val="22"/>
        </w:rPr>
      </w:pPr>
      <w:r>
        <w:rPr>
          <w:rFonts w:hint="eastAsia" w:ascii="宋体" w:hAnsi="宋体" w:eastAsia="宋体" w:cs="宋体"/>
          <w:w w:val="95"/>
          <w:sz w:val="22"/>
          <w:szCs w:val="22"/>
        </w:rPr>
        <w:t>金额单</w:t>
      </w:r>
      <w:r>
        <w:rPr>
          <w:rFonts w:hint="eastAsia" w:ascii="宋体" w:hAnsi="宋体" w:eastAsia="宋体" w:cs="宋体"/>
          <w:w w:val="95"/>
          <w:sz w:val="22"/>
          <w:szCs w:val="22"/>
          <w:lang w:eastAsia="zh-CN"/>
        </w:rPr>
        <w:t>位</w:t>
      </w:r>
      <w:r>
        <w:rPr>
          <w:rFonts w:hint="eastAsia" w:ascii="宋体" w:hAnsi="宋体" w:eastAsia="宋体" w:cs="宋体"/>
          <w:w w:val="95"/>
          <w:sz w:val="22"/>
          <w:szCs w:val="22"/>
        </w:rPr>
        <w:t>：元</w:t>
      </w:r>
    </w:p>
    <w:p>
      <w:pPr>
        <w:keepLines w:val="0"/>
        <w:pageBreakBefore w:val="0"/>
        <w:kinsoku/>
        <w:wordWrap/>
        <w:topLinePunct w:val="0"/>
        <w:bidi w:val="0"/>
        <w:spacing w:line="460" w:lineRule="exact"/>
        <w:rPr>
          <w:rFonts w:hint="eastAsia" w:ascii="宋体" w:hAnsi="宋体" w:eastAsia="宋体" w:cs="宋体"/>
          <w:sz w:val="22"/>
          <w:szCs w:val="22"/>
        </w:rPr>
      </w:pPr>
      <w:r>
        <w:rPr>
          <w:rFonts w:hint="eastAsia" w:ascii="宋体" w:hAnsi="宋体" w:eastAsia="宋体" w:cs="宋体"/>
          <w:w w:val="95"/>
          <w:sz w:val="22"/>
          <w:szCs w:val="22"/>
        </w:rPr>
        <w:t>注：</w:t>
      </w:r>
      <w:r>
        <w:rPr>
          <w:rFonts w:hint="eastAsia" w:ascii="宋体" w:hAnsi="宋体" w:eastAsia="宋体" w:cs="宋体"/>
          <w:sz w:val="22"/>
          <w:szCs w:val="22"/>
        </w:rPr>
        <w:t>1、商品型号、数量、配置要求及使用单位地址等详见附件清单</w:t>
      </w:r>
    </w:p>
    <w:p>
      <w:pPr>
        <w:pStyle w:val="22"/>
        <w:keepLines w:val="0"/>
        <w:pageBreakBefore w:val="0"/>
        <w:kinsoku/>
        <w:wordWrap/>
        <w:topLinePunct w:val="0"/>
        <w:bidi w:val="0"/>
        <w:spacing w:line="460" w:lineRule="exact"/>
        <w:ind w:left="126" w:leftChars="60" w:firstLine="288"/>
        <w:rPr>
          <w:rFonts w:hint="eastAsia" w:ascii="宋体" w:hAnsi="宋体" w:eastAsia="宋体" w:cs="宋体"/>
          <w:sz w:val="22"/>
          <w:szCs w:val="22"/>
        </w:rPr>
      </w:pPr>
      <w:r>
        <w:rPr>
          <w:rFonts w:hint="eastAsia" w:ascii="宋体" w:hAnsi="宋体" w:eastAsia="宋体" w:cs="宋体"/>
          <w:sz w:val="22"/>
          <w:szCs w:val="22"/>
        </w:rPr>
        <w:t>2、以上合同总价包含货物到达</w:t>
      </w:r>
      <w:r>
        <w:rPr>
          <w:rFonts w:hint="eastAsia" w:ascii="宋体" w:hAnsi="宋体" w:eastAsia="宋体" w:cs="宋体"/>
          <w:sz w:val="22"/>
          <w:szCs w:val="22"/>
          <w:lang w:eastAsia="zh-CN"/>
        </w:rPr>
        <w:t>甲方</w:t>
      </w:r>
      <w:r>
        <w:rPr>
          <w:rFonts w:hint="eastAsia" w:ascii="宋体" w:hAnsi="宋体" w:eastAsia="宋体" w:cs="宋体"/>
          <w:sz w:val="22"/>
          <w:szCs w:val="22"/>
        </w:rPr>
        <w:t>并能正常使用所需的一切费用，包括但不限于包装费、运输费、装卸费、保险费、安装调试费、技术服务费、培训费以及保修费、税费等。</w:t>
      </w:r>
    </w:p>
    <w:p>
      <w:pPr>
        <w:pStyle w:val="5"/>
        <w:keepLines w:val="0"/>
        <w:pageBreakBefore w:val="0"/>
        <w:kinsoku/>
        <w:wordWrap/>
        <w:topLinePunct w:val="0"/>
        <w:bidi w:val="0"/>
        <w:spacing w:before="0" w:line="460" w:lineRule="exact"/>
        <w:ind w:left="0"/>
        <w:rPr>
          <w:rFonts w:hint="eastAsia" w:ascii="宋体" w:hAnsi="宋体" w:eastAsia="宋体" w:cs="宋体"/>
          <w:sz w:val="22"/>
          <w:szCs w:val="22"/>
        </w:rPr>
      </w:pPr>
      <w:r>
        <w:rPr>
          <w:rFonts w:hint="eastAsia" w:ascii="宋体" w:hAnsi="宋体" w:eastAsia="宋体" w:cs="宋体"/>
          <w:sz w:val="22"/>
          <w:szCs w:val="22"/>
        </w:rPr>
        <w:t>二、技术资料</w:t>
      </w:r>
    </w:p>
    <w:p>
      <w:pPr>
        <w:pStyle w:val="329"/>
        <w:keepLines w:val="0"/>
        <w:pageBreakBefore w:val="0"/>
        <w:numPr>
          <w:ilvl w:val="0"/>
          <w:numId w:val="0"/>
        </w:numPr>
        <w:tabs>
          <w:tab w:val="left" w:pos="522"/>
        </w:tabs>
        <w:kinsoku/>
        <w:wordWrap/>
        <w:topLinePunct w:val="0"/>
        <w:bidi w:val="0"/>
        <w:spacing w:before="0"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乙方应按招标文件规定的时间向甲方提供使用货物</w:t>
      </w:r>
      <w:r>
        <w:rPr>
          <w:rFonts w:hint="eastAsia" w:ascii="宋体" w:hAnsi="宋体" w:eastAsia="宋体" w:cs="宋体"/>
          <w:sz w:val="22"/>
          <w:szCs w:val="22"/>
          <w:lang w:eastAsia="zh-CN"/>
        </w:rPr>
        <w:t>（货物包括耗材和设备）</w:t>
      </w:r>
      <w:r>
        <w:rPr>
          <w:rFonts w:hint="eastAsia" w:ascii="宋体" w:hAnsi="宋体" w:eastAsia="宋体" w:cs="宋体"/>
          <w:sz w:val="22"/>
          <w:szCs w:val="22"/>
        </w:rPr>
        <w:t>的有关技术资料。</w:t>
      </w:r>
    </w:p>
    <w:p>
      <w:pPr>
        <w:pStyle w:val="329"/>
        <w:keepLines w:val="0"/>
        <w:pageBreakBefore w:val="0"/>
        <w:numPr>
          <w:ilvl w:val="0"/>
          <w:numId w:val="0"/>
        </w:numPr>
        <w:tabs>
          <w:tab w:val="left" w:pos="522"/>
        </w:tabs>
        <w:kinsoku/>
        <w:wordWrap/>
        <w:topLinePunct w:val="0"/>
        <w:bidi w:val="0"/>
        <w:spacing w:before="0"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5"/>
        <w:keepLines w:val="0"/>
        <w:pageBreakBefore w:val="0"/>
        <w:kinsoku/>
        <w:wordWrap/>
        <w:topLinePunct w:val="0"/>
        <w:bidi w:val="0"/>
        <w:spacing w:before="0" w:line="460" w:lineRule="exact"/>
        <w:ind w:left="0"/>
        <w:rPr>
          <w:rFonts w:hint="eastAsia" w:ascii="宋体" w:hAnsi="宋体" w:eastAsia="宋体" w:cs="宋体"/>
          <w:sz w:val="22"/>
          <w:szCs w:val="22"/>
        </w:rPr>
      </w:pPr>
      <w:r>
        <w:rPr>
          <w:rFonts w:hint="eastAsia" w:ascii="宋体" w:hAnsi="宋体" w:eastAsia="宋体" w:cs="宋体"/>
          <w:sz w:val="22"/>
          <w:szCs w:val="22"/>
        </w:rPr>
        <w:t>三、知识产权</w:t>
      </w:r>
    </w:p>
    <w:p>
      <w:pPr>
        <w:keepLines w:val="0"/>
        <w:pageBreakBefore w:val="0"/>
        <w:kinsoku/>
        <w:wordWrap/>
        <w:topLinePunct w:val="0"/>
        <w:bidi w:val="0"/>
        <w:spacing w:line="460" w:lineRule="exact"/>
        <w:ind w:left="0" w:leftChars="0" w:firstLine="440" w:firstLineChars="200"/>
        <w:rPr>
          <w:rFonts w:hint="eastAsia" w:ascii="宋体" w:hAnsi="宋体" w:eastAsia="宋体" w:cs="宋体"/>
          <w:sz w:val="22"/>
          <w:szCs w:val="22"/>
          <w:highlight w:val="none"/>
        </w:rPr>
      </w:pPr>
      <w:r>
        <w:rPr>
          <w:rFonts w:hint="eastAsia" w:ascii="宋体" w:hAnsi="宋体" w:eastAsia="宋体" w:cs="宋体"/>
          <w:sz w:val="22"/>
          <w:szCs w:val="22"/>
        </w:rPr>
        <w:t>乙方应保证所提供的货物或其任何一部分均不会侵犯任何第三方的知识产</w:t>
      </w:r>
      <w:r>
        <w:rPr>
          <w:rFonts w:hint="eastAsia" w:ascii="宋体" w:hAnsi="宋体" w:eastAsia="宋体" w:cs="宋体"/>
          <w:kern w:val="0"/>
          <w:sz w:val="22"/>
          <w:szCs w:val="22"/>
          <w:lang w:val="zh-CN" w:eastAsia="zh-CN" w:bidi="ar-SA"/>
        </w:rPr>
        <w:t>权。</w:t>
      </w:r>
      <w:r>
        <w:rPr>
          <w:rFonts w:hint="eastAsia" w:ascii="宋体" w:hAnsi="宋体" w:eastAsia="宋体" w:cs="宋体"/>
          <w:kern w:val="0"/>
          <w:sz w:val="22"/>
          <w:szCs w:val="22"/>
          <w:highlight w:val="none"/>
          <w:lang w:val="zh-CN" w:eastAsia="zh-CN" w:bidi="ar-SA"/>
        </w:rPr>
        <w:t>乙方应承担由此可能产生的一切法律责任和费用。</w:t>
      </w:r>
    </w:p>
    <w:p>
      <w:pPr>
        <w:pStyle w:val="5"/>
        <w:keepLines w:val="0"/>
        <w:pageBreakBefore w:val="0"/>
        <w:kinsoku/>
        <w:wordWrap/>
        <w:topLinePunct w:val="0"/>
        <w:bidi w:val="0"/>
        <w:spacing w:before="0" w:line="460" w:lineRule="exact"/>
        <w:ind w:left="0"/>
        <w:rPr>
          <w:rFonts w:hint="eastAsia" w:ascii="宋体" w:hAnsi="宋体" w:eastAsia="宋体" w:cs="宋体"/>
          <w:sz w:val="22"/>
          <w:szCs w:val="22"/>
        </w:rPr>
      </w:pPr>
      <w:r>
        <w:rPr>
          <w:rFonts w:hint="eastAsia" w:ascii="宋体" w:hAnsi="宋体" w:eastAsia="宋体" w:cs="宋体"/>
          <w:sz w:val="22"/>
          <w:szCs w:val="22"/>
        </w:rPr>
        <w:t>四、产权担保</w:t>
      </w:r>
    </w:p>
    <w:p>
      <w:pPr>
        <w:pStyle w:val="22"/>
        <w:keepLines w:val="0"/>
        <w:pageBreakBefore w:val="0"/>
        <w:kinsoku/>
        <w:wordWrap/>
        <w:topLinePunct w:val="0"/>
        <w:bidi w:val="0"/>
        <w:spacing w:line="460" w:lineRule="exact"/>
        <w:ind w:firstLine="442" w:firstLineChars="200"/>
        <w:rPr>
          <w:rFonts w:hint="eastAsia" w:ascii="宋体" w:hAnsi="宋体" w:eastAsia="宋体" w:cs="宋体"/>
          <w:sz w:val="22"/>
          <w:szCs w:val="22"/>
        </w:rPr>
      </w:pPr>
      <w:r>
        <w:rPr>
          <w:rFonts w:hint="eastAsia" w:ascii="宋体" w:hAnsi="宋体" w:eastAsia="宋体" w:cs="宋体"/>
          <w:sz w:val="22"/>
          <w:szCs w:val="22"/>
        </w:rPr>
        <w:t>乙方保证所交付的货物的所有权完全属于乙方且无任何抵押、查封等产权瑕疵。</w:t>
      </w:r>
    </w:p>
    <w:p>
      <w:pPr>
        <w:pStyle w:val="5"/>
        <w:keepLines w:val="0"/>
        <w:pageBreakBefore w:val="0"/>
        <w:kinsoku/>
        <w:wordWrap/>
        <w:topLinePunct w:val="0"/>
        <w:bidi w:val="0"/>
        <w:spacing w:before="0" w:line="460" w:lineRule="exact"/>
        <w:ind w:left="0"/>
        <w:rPr>
          <w:rFonts w:hint="eastAsia" w:ascii="宋体" w:hAnsi="宋体" w:eastAsia="宋体" w:cs="宋体"/>
          <w:sz w:val="22"/>
          <w:szCs w:val="22"/>
        </w:rPr>
      </w:pPr>
      <w:r>
        <w:rPr>
          <w:rFonts w:hint="eastAsia" w:ascii="宋体" w:hAnsi="宋体" w:eastAsia="宋体" w:cs="宋体"/>
          <w:sz w:val="22"/>
          <w:szCs w:val="22"/>
        </w:rPr>
        <w:t>五、转包或分包</w:t>
      </w:r>
    </w:p>
    <w:p>
      <w:pPr>
        <w:pStyle w:val="22"/>
        <w:keepLines w:val="0"/>
        <w:pageBreakBefore w:val="0"/>
        <w:kinsoku/>
        <w:wordWrap/>
        <w:topLinePunct w:val="0"/>
        <w:bidi w:val="0"/>
        <w:spacing w:line="460" w:lineRule="exact"/>
        <w:ind w:firstLine="442" w:firstLineChars="200"/>
        <w:rPr>
          <w:rFonts w:hint="eastAsia" w:ascii="宋体" w:hAnsi="宋体" w:eastAsia="宋体" w:cs="宋体"/>
          <w:sz w:val="22"/>
          <w:szCs w:val="22"/>
        </w:rPr>
      </w:pPr>
      <w:r>
        <w:rPr>
          <w:rFonts w:hint="eastAsia" w:ascii="宋体" w:hAnsi="宋体" w:eastAsia="宋体" w:cs="宋体"/>
          <w:sz w:val="22"/>
          <w:szCs w:val="22"/>
        </w:rPr>
        <w:t>本合同范围的货物，应由乙方直接供应，不得转让他人供应，否则，甲方有权解除合同，没收</w:t>
      </w:r>
      <w:r>
        <w:rPr>
          <w:rFonts w:hint="eastAsia" w:ascii="宋体" w:hAnsi="宋体" w:eastAsia="宋体" w:cs="宋体"/>
          <w:sz w:val="22"/>
          <w:szCs w:val="22"/>
          <w:lang w:eastAsia="zh-CN"/>
        </w:rPr>
        <w:t>质量</w:t>
      </w:r>
      <w:r>
        <w:rPr>
          <w:rFonts w:hint="eastAsia" w:ascii="宋体" w:hAnsi="宋体" w:eastAsia="宋体" w:cs="宋体"/>
          <w:sz w:val="22"/>
          <w:szCs w:val="22"/>
        </w:rPr>
        <w:t>保证金并追究乙方的违约责任。</w:t>
      </w:r>
    </w:p>
    <w:p>
      <w:pPr>
        <w:pStyle w:val="5"/>
        <w:keepLines w:val="0"/>
        <w:pageBreakBefore w:val="0"/>
        <w:kinsoku/>
        <w:wordWrap/>
        <w:topLinePunct w:val="0"/>
        <w:bidi w:val="0"/>
        <w:spacing w:before="0" w:line="460" w:lineRule="exact"/>
        <w:ind w:left="0"/>
        <w:rPr>
          <w:rFonts w:hint="eastAsia" w:ascii="宋体" w:hAnsi="宋体" w:eastAsia="宋体" w:cs="宋体"/>
          <w:sz w:val="22"/>
          <w:szCs w:val="22"/>
        </w:rPr>
      </w:pPr>
      <w:r>
        <w:rPr>
          <w:rFonts w:hint="eastAsia" w:ascii="宋体" w:hAnsi="宋体" w:eastAsia="宋体" w:cs="宋体"/>
          <w:sz w:val="22"/>
          <w:szCs w:val="22"/>
        </w:rPr>
        <w:t>六、质保期和质保金</w:t>
      </w:r>
    </w:p>
    <w:p>
      <w:pPr>
        <w:pStyle w:val="329"/>
        <w:keepLines w:val="0"/>
        <w:pageBreakBefore w:val="0"/>
        <w:numPr>
          <w:ilvl w:val="0"/>
          <w:numId w:val="0"/>
        </w:numPr>
        <w:tabs>
          <w:tab w:val="left" w:pos="522"/>
        </w:tabs>
        <w:kinsoku/>
        <w:wordWrap/>
        <w:topLinePunct w:val="0"/>
        <w:bidi w:val="0"/>
        <w:spacing w:before="0" w:line="460" w:lineRule="exact"/>
        <w:ind w:firstLine="416" w:firstLineChars="200"/>
        <w:rPr>
          <w:rFonts w:hint="eastAsia" w:ascii="宋体" w:hAnsi="宋体" w:eastAsia="宋体" w:cs="宋体"/>
          <w:sz w:val="22"/>
          <w:szCs w:val="22"/>
          <w:highlight w:val="none"/>
        </w:rPr>
      </w:pPr>
      <w:r>
        <w:rPr>
          <w:rFonts w:hint="eastAsia" w:ascii="宋体" w:hAnsi="宋体" w:eastAsia="宋体" w:cs="宋体"/>
          <w:spacing w:val="-6"/>
          <w:sz w:val="22"/>
          <w:szCs w:val="22"/>
          <w:highlight w:val="none"/>
          <w:lang w:val="en-US" w:eastAsia="zh-CN"/>
        </w:rPr>
        <w:t>1、</w:t>
      </w:r>
      <w:r>
        <w:rPr>
          <w:rFonts w:hint="eastAsia" w:ascii="宋体" w:hAnsi="宋体" w:eastAsia="宋体" w:cs="宋体"/>
          <w:spacing w:val="-6"/>
          <w:sz w:val="22"/>
          <w:szCs w:val="22"/>
          <w:highlight w:val="none"/>
          <w:lang w:eastAsia="zh-CN"/>
        </w:rPr>
        <w:t>耗材</w:t>
      </w:r>
      <w:r>
        <w:rPr>
          <w:rFonts w:hint="eastAsia" w:ascii="宋体" w:hAnsi="宋体" w:eastAsia="宋体" w:cs="宋体"/>
          <w:spacing w:val="-6"/>
          <w:sz w:val="22"/>
          <w:szCs w:val="22"/>
          <w:highlight w:val="none"/>
        </w:rPr>
        <w:t xml:space="preserve">质保期为 </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年。（自交货验收合格之日起计）</w:t>
      </w:r>
    </w:p>
    <w:p>
      <w:pPr>
        <w:pStyle w:val="329"/>
        <w:keepLines w:val="0"/>
        <w:pageBreakBefore w:val="0"/>
        <w:numPr>
          <w:ilvl w:val="0"/>
          <w:numId w:val="0"/>
        </w:numPr>
        <w:tabs>
          <w:tab w:val="left" w:pos="522"/>
          <w:tab w:val="left" w:pos="1530"/>
        </w:tabs>
        <w:kinsoku/>
        <w:wordWrap/>
        <w:topLinePunct w:val="0"/>
        <w:bidi w:val="0"/>
        <w:spacing w:before="0" w:line="46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履约保证金</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元。</w:t>
      </w:r>
      <w:r>
        <w:rPr>
          <w:rFonts w:hint="eastAsia" w:ascii="宋体" w:hAnsi="宋体" w:eastAsia="宋体" w:cs="宋体"/>
          <w:spacing w:val="-5"/>
          <w:sz w:val="22"/>
          <w:szCs w:val="22"/>
          <w:highlight w:val="none"/>
        </w:rPr>
        <w:t>[</w:t>
      </w:r>
      <w:r>
        <w:rPr>
          <w:rFonts w:hint="eastAsia" w:ascii="宋体" w:hAnsi="宋体" w:eastAsia="宋体" w:cs="宋体"/>
          <w:sz w:val="22"/>
          <w:szCs w:val="22"/>
          <w:highlight w:val="none"/>
          <w:lang w:eastAsia="zh-CN"/>
        </w:rPr>
        <w:t>履约</w:t>
      </w:r>
      <w:r>
        <w:rPr>
          <w:rFonts w:hint="eastAsia" w:ascii="宋体" w:hAnsi="宋体" w:eastAsia="宋体" w:cs="宋体"/>
          <w:sz w:val="22"/>
          <w:szCs w:val="22"/>
          <w:highlight w:val="none"/>
        </w:rPr>
        <w:t>保证金</w:t>
      </w:r>
      <w:r>
        <w:rPr>
          <w:rFonts w:hint="eastAsia" w:ascii="宋体" w:hAnsi="宋体" w:eastAsia="宋体" w:cs="宋体"/>
          <w:sz w:val="22"/>
          <w:szCs w:val="22"/>
          <w:highlight w:val="none"/>
          <w:lang w:val="zh-CN"/>
        </w:rPr>
        <w:t>于合同签订后</w:t>
      </w:r>
      <w:r>
        <w:rPr>
          <w:rFonts w:hint="eastAsia" w:ascii="宋体" w:hAnsi="宋体" w:eastAsia="宋体" w:cs="宋体"/>
          <w:sz w:val="22"/>
          <w:szCs w:val="22"/>
          <w:highlight w:val="none"/>
          <w:u w:val="single"/>
          <w:lang w:val="zh-CN"/>
        </w:rPr>
        <w:t xml:space="preserve">   </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lang w:val="zh-CN"/>
        </w:rPr>
        <w:t>日</w:t>
      </w:r>
      <w:r>
        <w:rPr>
          <w:rFonts w:hint="eastAsia" w:ascii="宋体" w:hAnsi="宋体" w:eastAsia="宋体" w:cs="宋体"/>
          <w:sz w:val="22"/>
          <w:szCs w:val="22"/>
          <w:highlight w:val="none"/>
        </w:rPr>
        <w:t>交给</w:t>
      </w:r>
      <w:r>
        <w:rPr>
          <w:rFonts w:hint="eastAsia" w:ascii="宋体" w:hAnsi="宋体" w:eastAsia="宋体" w:cs="宋体"/>
          <w:sz w:val="22"/>
          <w:szCs w:val="22"/>
          <w:highlight w:val="none"/>
          <w:lang w:eastAsia="zh-CN"/>
        </w:rPr>
        <w:t>甲方</w:t>
      </w:r>
      <w:r>
        <w:rPr>
          <w:rFonts w:hint="eastAsia" w:ascii="宋体" w:hAnsi="宋体" w:eastAsia="宋体" w:cs="宋体"/>
          <w:sz w:val="22"/>
          <w:szCs w:val="22"/>
          <w:highlight w:val="none"/>
        </w:rPr>
        <w:t>，在验收合格</w:t>
      </w:r>
      <w:r>
        <w:rPr>
          <w:rFonts w:hint="eastAsia" w:ascii="宋体" w:hAnsi="宋体" w:eastAsia="宋体" w:cs="宋体"/>
          <w:sz w:val="22"/>
          <w:szCs w:val="22"/>
          <w:highlight w:val="none"/>
          <w:lang w:eastAsia="zh-CN"/>
        </w:rPr>
        <w:t>后</w:t>
      </w:r>
      <w:r>
        <w:rPr>
          <w:rFonts w:hint="eastAsia" w:ascii="宋体" w:hAnsi="宋体" w:eastAsia="宋体" w:cs="宋体"/>
          <w:sz w:val="22"/>
          <w:szCs w:val="22"/>
          <w:highlight w:val="none"/>
        </w:rPr>
        <w:t>履约保证金转为质量保证金；质保期满后，如无质量问题，则无息退还质量保证金。]</w:t>
      </w:r>
    </w:p>
    <w:p>
      <w:pPr>
        <w:pStyle w:val="5"/>
        <w:keepLines w:val="0"/>
        <w:pageBreakBefore w:val="0"/>
        <w:kinsoku/>
        <w:wordWrap/>
        <w:topLinePunct w:val="0"/>
        <w:bidi w:val="0"/>
        <w:spacing w:before="0" w:line="460" w:lineRule="exact"/>
        <w:ind w:left="0"/>
        <w:rPr>
          <w:rFonts w:hint="eastAsia" w:ascii="宋体" w:hAnsi="宋体" w:eastAsia="宋体" w:cs="宋体"/>
          <w:sz w:val="22"/>
          <w:szCs w:val="22"/>
        </w:rPr>
      </w:pPr>
      <w:r>
        <w:rPr>
          <w:rFonts w:hint="eastAsia" w:ascii="宋体" w:hAnsi="宋体" w:eastAsia="宋体" w:cs="宋体"/>
          <w:sz w:val="22"/>
          <w:szCs w:val="22"/>
        </w:rPr>
        <w:t>七、交货期、交货方式及交货地点</w:t>
      </w:r>
    </w:p>
    <w:p>
      <w:pPr>
        <w:pStyle w:val="329"/>
        <w:keepLines w:val="0"/>
        <w:pageBreakBefore w:val="0"/>
        <w:numPr>
          <w:ilvl w:val="0"/>
          <w:numId w:val="0"/>
        </w:numPr>
        <w:tabs>
          <w:tab w:val="left" w:pos="522"/>
        </w:tabs>
        <w:kinsoku/>
        <w:wordWrap/>
        <w:topLinePunct w:val="0"/>
        <w:bidi w:val="0"/>
        <w:spacing w:before="0" w:line="460" w:lineRule="exact"/>
        <w:ind w:firstLine="428" w:firstLineChars="200"/>
        <w:rPr>
          <w:rFonts w:hint="eastAsia" w:ascii="宋体" w:hAnsi="宋体" w:eastAsia="宋体" w:cs="宋体"/>
          <w:spacing w:val="-3"/>
          <w:sz w:val="22"/>
          <w:szCs w:val="22"/>
        </w:rPr>
      </w:pPr>
      <w:r>
        <w:rPr>
          <w:rFonts w:hint="eastAsia" w:ascii="宋体" w:hAnsi="宋体" w:eastAsia="宋体" w:cs="宋体"/>
          <w:spacing w:val="-3"/>
          <w:sz w:val="22"/>
          <w:szCs w:val="22"/>
          <w:lang w:val="en-US" w:eastAsia="zh-CN"/>
        </w:rPr>
        <w:t>1、</w:t>
      </w:r>
      <w:r>
        <w:rPr>
          <w:rFonts w:hint="eastAsia" w:ascii="宋体" w:hAnsi="宋体" w:eastAsia="宋体" w:cs="宋体"/>
          <w:spacing w:val="-3"/>
          <w:sz w:val="22"/>
          <w:szCs w:val="22"/>
        </w:rPr>
        <w:t>交货期：</w:t>
      </w:r>
    </w:p>
    <w:p>
      <w:pPr>
        <w:pStyle w:val="329"/>
        <w:keepLines w:val="0"/>
        <w:pageBreakBefore w:val="0"/>
        <w:numPr>
          <w:ilvl w:val="0"/>
          <w:numId w:val="0"/>
        </w:numPr>
        <w:tabs>
          <w:tab w:val="left" w:pos="522"/>
        </w:tabs>
        <w:kinsoku/>
        <w:wordWrap/>
        <w:topLinePunct w:val="0"/>
        <w:bidi w:val="0"/>
        <w:spacing w:before="0" w:line="460" w:lineRule="exact"/>
        <w:ind w:firstLine="428" w:firstLineChars="200"/>
        <w:rPr>
          <w:rFonts w:hint="eastAsia" w:ascii="宋体" w:hAnsi="宋体" w:eastAsia="宋体" w:cs="宋体"/>
          <w:sz w:val="22"/>
          <w:szCs w:val="22"/>
        </w:rPr>
      </w:pPr>
      <w:r>
        <w:rPr>
          <w:rFonts w:hint="eastAsia" w:ascii="宋体" w:hAnsi="宋体" w:eastAsia="宋体" w:cs="宋体"/>
          <w:spacing w:val="-3"/>
          <w:sz w:val="22"/>
          <w:szCs w:val="22"/>
          <w:lang w:eastAsia="zh-CN"/>
        </w:rPr>
        <w:t>（</w:t>
      </w:r>
      <w:r>
        <w:rPr>
          <w:rFonts w:hint="eastAsia" w:ascii="宋体" w:hAnsi="宋体" w:eastAsia="宋体" w:cs="宋体"/>
          <w:spacing w:val="-3"/>
          <w:sz w:val="22"/>
          <w:szCs w:val="22"/>
          <w:lang w:val="en-US" w:eastAsia="zh-CN"/>
        </w:rPr>
        <w:t>1</w:t>
      </w:r>
      <w:r>
        <w:rPr>
          <w:rFonts w:hint="eastAsia" w:ascii="宋体" w:hAnsi="宋体" w:eastAsia="宋体" w:cs="宋体"/>
          <w:spacing w:val="-3"/>
          <w:sz w:val="22"/>
          <w:szCs w:val="22"/>
          <w:lang w:eastAsia="zh-CN"/>
        </w:rPr>
        <w:t>）耗材：</w:t>
      </w:r>
      <w:r>
        <w:rPr>
          <w:rFonts w:hint="eastAsia" w:ascii="宋体" w:hAnsi="宋体" w:eastAsia="宋体" w:cs="宋体"/>
          <w:spacing w:val="-3"/>
          <w:sz w:val="22"/>
          <w:szCs w:val="22"/>
        </w:rPr>
        <w:t>合同签订后</w:t>
      </w:r>
      <w:r>
        <w:rPr>
          <w:rFonts w:hint="eastAsia" w:ascii="宋体" w:hAnsi="宋体" w:eastAsia="宋体" w:cs="宋体"/>
          <w:sz w:val="22"/>
          <w:szCs w:val="22"/>
          <w:u w:val="single"/>
        </w:rPr>
        <w:t xml:space="preserve">    </w:t>
      </w:r>
      <w:r>
        <w:rPr>
          <w:rFonts w:hint="eastAsia" w:ascii="宋体" w:hAnsi="宋体" w:eastAsia="宋体" w:cs="宋体"/>
          <w:sz w:val="22"/>
          <w:szCs w:val="22"/>
        </w:rPr>
        <w:t>个工作日</w:t>
      </w:r>
    </w:p>
    <w:p>
      <w:pPr>
        <w:pStyle w:val="329"/>
        <w:keepLines w:val="0"/>
        <w:pageBreakBefore w:val="0"/>
        <w:numPr>
          <w:ilvl w:val="0"/>
          <w:numId w:val="0"/>
        </w:numPr>
        <w:tabs>
          <w:tab w:val="left" w:pos="522"/>
        </w:tabs>
        <w:kinsoku/>
        <w:wordWrap/>
        <w:topLinePunct w:val="0"/>
        <w:bidi w:val="0"/>
        <w:spacing w:before="0"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2</w:t>
      </w:r>
      <w:r>
        <w:rPr>
          <w:rFonts w:hint="eastAsia" w:ascii="宋体" w:hAnsi="宋体" w:eastAsia="宋体" w:cs="宋体"/>
          <w:sz w:val="22"/>
          <w:szCs w:val="22"/>
          <w:lang w:eastAsia="zh-CN"/>
        </w:rPr>
        <w:t>）设备：</w:t>
      </w:r>
      <w:r>
        <w:rPr>
          <w:rFonts w:hint="eastAsia" w:ascii="宋体" w:hAnsi="宋体" w:eastAsia="宋体" w:cs="宋体"/>
          <w:spacing w:val="-3"/>
          <w:sz w:val="22"/>
          <w:szCs w:val="22"/>
        </w:rPr>
        <w:t>合同签订后</w:t>
      </w:r>
      <w:r>
        <w:rPr>
          <w:rFonts w:hint="eastAsia" w:ascii="宋体" w:hAnsi="宋体" w:eastAsia="宋体" w:cs="宋体"/>
          <w:sz w:val="22"/>
          <w:szCs w:val="22"/>
          <w:u w:val="single"/>
        </w:rPr>
        <w:t xml:space="preserve">    </w:t>
      </w:r>
      <w:r>
        <w:rPr>
          <w:rFonts w:hint="eastAsia" w:ascii="宋体" w:hAnsi="宋体" w:eastAsia="宋体" w:cs="宋体"/>
          <w:sz w:val="22"/>
          <w:szCs w:val="22"/>
        </w:rPr>
        <w:t>个工作日</w:t>
      </w:r>
    </w:p>
    <w:p>
      <w:pPr>
        <w:pStyle w:val="329"/>
        <w:keepLines w:val="0"/>
        <w:pageBreakBefore w:val="0"/>
        <w:numPr>
          <w:ilvl w:val="0"/>
          <w:numId w:val="0"/>
        </w:numPr>
        <w:tabs>
          <w:tab w:val="left" w:pos="522"/>
        </w:tabs>
        <w:kinsoku/>
        <w:wordWrap/>
        <w:topLinePunct w:val="0"/>
        <w:bidi w:val="0"/>
        <w:spacing w:before="0" w:line="460" w:lineRule="exact"/>
        <w:ind w:firstLine="420" w:firstLineChars="200"/>
        <w:rPr>
          <w:rFonts w:hint="eastAsia" w:ascii="宋体" w:hAnsi="宋体" w:eastAsia="宋体" w:cs="宋体"/>
          <w:sz w:val="22"/>
          <w:szCs w:val="22"/>
        </w:rPr>
      </w:pPr>
      <w:r>
        <w:rPr>
          <w:rFonts w:hint="eastAsia" w:ascii="宋体" w:hAnsi="宋体" w:eastAsia="宋体" w:cs="宋体"/>
          <w:spacing w:val="-5"/>
          <w:sz w:val="22"/>
          <w:szCs w:val="22"/>
          <w:lang w:val="en-US" w:eastAsia="zh-CN"/>
        </w:rPr>
        <w:t>2、</w:t>
      </w:r>
      <w:r>
        <w:rPr>
          <w:rFonts w:hint="eastAsia" w:ascii="宋体" w:hAnsi="宋体" w:eastAsia="宋体" w:cs="宋体"/>
          <w:spacing w:val="-5"/>
          <w:sz w:val="22"/>
          <w:szCs w:val="22"/>
        </w:rPr>
        <w:t>交货方式： 按甲方指定地点</w:t>
      </w:r>
      <w:r>
        <w:rPr>
          <w:rFonts w:hint="eastAsia" w:ascii="宋体" w:hAnsi="宋体" w:eastAsia="宋体" w:cs="宋体"/>
          <w:sz w:val="22"/>
          <w:szCs w:val="22"/>
        </w:rPr>
        <w:t>送货上门</w:t>
      </w:r>
    </w:p>
    <w:p>
      <w:pPr>
        <w:pStyle w:val="329"/>
        <w:keepLines w:val="0"/>
        <w:pageBreakBefore w:val="0"/>
        <w:numPr>
          <w:ilvl w:val="0"/>
          <w:numId w:val="0"/>
        </w:numPr>
        <w:tabs>
          <w:tab w:val="left" w:pos="522"/>
        </w:tabs>
        <w:kinsoku/>
        <w:wordWrap/>
        <w:topLinePunct w:val="0"/>
        <w:bidi w:val="0"/>
        <w:spacing w:before="0" w:line="460" w:lineRule="exact"/>
        <w:ind w:firstLine="396" w:firstLineChars="200"/>
        <w:rPr>
          <w:rFonts w:hint="eastAsia" w:ascii="宋体" w:hAnsi="宋体" w:eastAsia="宋体" w:cs="宋体"/>
          <w:sz w:val="22"/>
          <w:szCs w:val="22"/>
        </w:rPr>
      </w:pPr>
      <w:r>
        <w:rPr>
          <w:rFonts w:hint="eastAsia" w:ascii="宋体" w:hAnsi="宋体" w:eastAsia="宋体" w:cs="宋体"/>
          <w:spacing w:val="-11"/>
          <w:sz w:val="22"/>
          <w:szCs w:val="22"/>
          <w:lang w:val="en-US" w:eastAsia="zh-CN"/>
        </w:rPr>
        <w:t>3、</w:t>
      </w:r>
      <w:r>
        <w:rPr>
          <w:rFonts w:hint="eastAsia" w:ascii="宋体" w:hAnsi="宋体" w:eastAsia="宋体" w:cs="宋体"/>
          <w:spacing w:val="-11"/>
          <w:sz w:val="22"/>
          <w:szCs w:val="22"/>
        </w:rPr>
        <w:t>交货地点：</w:t>
      </w:r>
      <w:r>
        <w:rPr>
          <w:rFonts w:hint="eastAsia" w:ascii="宋体" w:hAnsi="宋体" w:eastAsia="宋体" w:cs="宋体"/>
          <w:spacing w:val="-11"/>
          <w:sz w:val="22"/>
          <w:szCs w:val="22"/>
          <w:lang w:eastAsia="zh-CN"/>
        </w:rPr>
        <w:t>甲方指定地点</w:t>
      </w:r>
    </w:p>
    <w:p>
      <w:pPr>
        <w:keepLines w:val="0"/>
        <w:pageBreakBefore w:val="0"/>
        <w:tabs>
          <w:tab w:val="left" w:pos="522"/>
        </w:tabs>
        <w:kinsoku/>
        <w:wordWrap/>
        <w:topLinePunct w:val="0"/>
        <w:bidi w:val="0"/>
        <w:spacing w:line="460" w:lineRule="exact"/>
        <w:ind w:right="5231" w:rightChars="2491"/>
        <w:rPr>
          <w:rFonts w:hint="eastAsia" w:ascii="宋体" w:hAnsi="宋体" w:eastAsia="宋体" w:cs="宋体"/>
          <w:b/>
          <w:sz w:val="22"/>
          <w:szCs w:val="22"/>
        </w:rPr>
      </w:pPr>
      <w:r>
        <w:rPr>
          <w:rFonts w:hint="eastAsia" w:ascii="宋体" w:hAnsi="宋体" w:eastAsia="宋体" w:cs="宋体"/>
          <w:b/>
          <w:spacing w:val="10"/>
          <w:sz w:val="22"/>
          <w:szCs w:val="22"/>
        </w:rPr>
        <w:t>八、货款支付</w:t>
      </w:r>
    </w:p>
    <w:p>
      <w:pPr>
        <w:pStyle w:val="22"/>
        <w:keepLines w:val="0"/>
        <w:pageBreakBefore w:val="0"/>
        <w:numPr>
          <w:ilvl w:val="0"/>
          <w:numId w:val="0"/>
        </w:numPr>
        <w:kinsoku/>
        <w:wordWrap/>
        <w:topLinePunct w:val="0"/>
        <w:bidi w:val="0"/>
        <w:spacing w:line="460" w:lineRule="exact"/>
        <w:ind w:leftChars="0" w:firstLine="442"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耗材付款：甲方对耗材验收合格后每月</w:t>
      </w:r>
      <w:r>
        <w:rPr>
          <w:rFonts w:hint="eastAsia" w:ascii="宋体" w:hAnsi="宋体" w:eastAsia="宋体" w:cs="宋体"/>
          <w:sz w:val="22"/>
          <w:szCs w:val="22"/>
          <w:highlight w:val="none"/>
          <w:lang w:eastAsia="zh-CN"/>
        </w:rPr>
        <w:t>按</w:t>
      </w:r>
      <w:r>
        <w:rPr>
          <w:rFonts w:hint="eastAsia" w:ascii="宋体" w:hAnsi="宋体" w:eastAsia="宋体" w:cs="宋体"/>
          <w:sz w:val="22"/>
          <w:szCs w:val="22"/>
          <w:highlight w:val="none"/>
        </w:rPr>
        <w:t>实际使用量乘以成交单价进行计算。乙方开具发票，甲方在收到乙方发票后三个月内支付。（乙方必须开具</w:t>
      </w:r>
      <w:r>
        <w:rPr>
          <w:rFonts w:hint="eastAsia" w:ascii="宋体" w:hAnsi="宋体" w:eastAsia="宋体" w:cs="宋体"/>
          <w:sz w:val="22"/>
          <w:szCs w:val="22"/>
          <w:highlight w:val="none"/>
          <w:lang w:eastAsia="zh-CN"/>
        </w:rPr>
        <w:t>相应</w:t>
      </w:r>
      <w:r>
        <w:rPr>
          <w:rFonts w:hint="eastAsia" w:ascii="宋体" w:hAnsi="宋体" w:eastAsia="宋体" w:cs="宋体"/>
          <w:sz w:val="22"/>
          <w:szCs w:val="22"/>
          <w:highlight w:val="none"/>
        </w:rPr>
        <w:t>金额100%的增值税</w:t>
      </w:r>
      <w:r>
        <w:rPr>
          <w:rFonts w:hint="eastAsia" w:ascii="宋体" w:hAnsi="宋体" w:eastAsia="宋体" w:cs="宋体"/>
          <w:sz w:val="22"/>
          <w:szCs w:val="22"/>
          <w:highlight w:val="none"/>
          <w:lang w:eastAsia="zh-CN"/>
        </w:rPr>
        <w:t>专用</w:t>
      </w:r>
      <w:r>
        <w:rPr>
          <w:rFonts w:hint="eastAsia" w:ascii="宋体" w:hAnsi="宋体" w:eastAsia="宋体" w:cs="宋体"/>
          <w:sz w:val="22"/>
          <w:szCs w:val="22"/>
          <w:highlight w:val="none"/>
        </w:rPr>
        <w:t>发票）</w:t>
      </w:r>
    </w:p>
    <w:p>
      <w:pPr>
        <w:pStyle w:val="22"/>
        <w:keepLines w:val="0"/>
        <w:pageBreakBefore w:val="0"/>
        <w:numPr>
          <w:ilvl w:val="0"/>
          <w:numId w:val="0"/>
        </w:numPr>
        <w:kinsoku/>
        <w:wordWrap/>
        <w:topLinePunct w:val="0"/>
        <w:bidi w:val="0"/>
        <w:spacing w:line="460" w:lineRule="exact"/>
        <w:ind w:leftChars="0" w:firstLine="442"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租赁设备付款：</w:t>
      </w:r>
      <w:r>
        <w:rPr>
          <w:rFonts w:hint="eastAsia" w:ascii="宋体" w:hAnsi="宋体" w:eastAsia="宋体" w:cs="宋体"/>
          <w:sz w:val="22"/>
          <w:szCs w:val="22"/>
          <w:highlight w:val="none"/>
        </w:rPr>
        <w:t>设备租赁费在合作期满后</w:t>
      </w:r>
      <w:r>
        <w:rPr>
          <w:rFonts w:hint="eastAsia" w:ascii="宋体" w:hAnsi="宋体" w:eastAsia="宋体" w:cs="宋体"/>
          <w:sz w:val="22"/>
          <w:szCs w:val="22"/>
          <w:highlight w:val="none"/>
          <w:u w:val="single"/>
          <w:lang w:val="en-US" w:eastAsia="zh-CN"/>
        </w:rPr>
        <w:t xml:space="preserve">  7  </w:t>
      </w:r>
      <w:r>
        <w:rPr>
          <w:rFonts w:hint="eastAsia" w:ascii="宋体" w:hAnsi="宋体" w:eastAsia="宋体" w:cs="宋体"/>
          <w:sz w:val="22"/>
          <w:szCs w:val="22"/>
          <w:highlight w:val="none"/>
          <w:u w:val="none"/>
          <w:lang w:val="en-US" w:eastAsia="zh-CN"/>
        </w:rPr>
        <w:t>日内</w:t>
      </w:r>
      <w:r>
        <w:rPr>
          <w:rFonts w:hint="eastAsia" w:ascii="宋体" w:hAnsi="宋体" w:eastAsia="宋体" w:cs="宋体"/>
          <w:sz w:val="22"/>
          <w:szCs w:val="22"/>
          <w:highlight w:val="none"/>
        </w:rPr>
        <w:t>，</w:t>
      </w:r>
      <w:r>
        <w:rPr>
          <w:rFonts w:hint="eastAsia" w:ascii="宋体" w:hAnsi="宋体" w:eastAsia="宋体" w:cs="宋体"/>
          <w:sz w:val="22"/>
          <w:szCs w:val="22"/>
          <w:highlight w:val="none"/>
          <w:lang w:eastAsia="zh-CN"/>
        </w:rPr>
        <w:t>按实际租赁期限计算租赁费，</w:t>
      </w:r>
      <w:r>
        <w:rPr>
          <w:rFonts w:hint="eastAsia" w:ascii="宋体" w:hAnsi="宋体" w:eastAsia="宋体" w:cs="宋体"/>
          <w:sz w:val="22"/>
          <w:szCs w:val="22"/>
          <w:highlight w:val="none"/>
        </w:rPr>
        <w:t>乙方开具发票，甲方在收到乙方发票后三个月内一次性支付</w:t>
      </w:r>
      <w:r>
        <w:rPr>
          <w:rFonts w:hint="eastAsia" w:ascii="宋体" w:hAnsi="宋体" w:eastAsia="宋体" w:cs="宋体"/>
          <w:sz w:val="22"/>
          <w:szCs w:val="22"/>
          <w:highlight w:val="none"/>
          <w:lang w:eastAsia="zh-CN"/>
        </w:rPr>
        <w:t>。</w:t>
      </w:r>
    </w:p>
    <w:p>
      <w:pPr>
        <w:pStyle w:val="5"/>
        <w:keepLines w:val="0"/>
        <w:pageBreakBefore w:val="0"/>
        <w:kinsoku/>
        <w:wordWrap/>
        <w:topLinePunct w:val="0"/>
        <w:bidi w:val="0"/>
        <w:spacing w:before="0" w:line="460" w:lineRule="exact"/>
        <w:ind w:left="0"/>
        <w:rPr>
          <w:rFonts w:hint="eastAsia" w:ascii="宋体" w:hAnsi="宋体" w:eastAsia="宋体" w:cs="宋体"/>
          <w:sz w:val="22"/>
          <w:szCs w:val="22"/>
        </w:rPr>
      </w:pPr>
      <w:r>
        <w:rPr>
          <w:rFonts w:hint="eastAsia" w:ascii="宋体" w:hAnsi="宋体" w:eastAsia="宋体" w:cs="宋体"/>
          <w:sz w:val="22"/>
          <w:szCs w:val="22"/>
        </w:rPr>
        <w:t>九、税费</w:t>
      </w:r>
    </w:p>
    <w:p>
      <w:pPr>
        <w:pStyle w:val="22"/>
        <w:keepLines w:val="0"/>
        <w:pageBreakBefore w:val="0"/>
        <w:kinsoku/>
        <w:wordWrap/>
        <w:topLinePunct w:val="0"/>
        <w:bidi w:val="0"/>
        <w:spacing w:line="460" w:lineRule="exact"/>
        <w:ind w:firstLine="442" w:firstLineChars="200"/>
        <w:rPr>
          <w:rFonts w:hint="eastAsia" w:ascii="宋体" w:hAnsi="宋体" w:eastAsia="宋体" w:cs="宋体"/>
          <w:sz w:val="22"/>
          <w:szCs w:val="22"/>
        </w:rPr>
      </w:pPr>
      <w:r>
        <w:rPr>
          <w:rFonts w:hint="eastAsia" w:ascii="宋体" w:hAnsi="宋体" w:eastAsia="宋体" w:cs="宋体"/>
          <w:sz w:val="22"/>
          <w:szCs w:val="22"/>
        </w:rPr>
        <w:t>本合同执行中相关的一切税费均由乙方负担。</w:t>
      </w:r>
    </w:p>
    <w:p>
      <w:pPr>
        <w:pStyle w:val="5"/>
        <w:keepLines w:val="0"/>
        <w:pageBreakBefore w:val="0"/>
        <w:kinsoku/>
        <w:wordWrap/>
        <w:topLinePunct w:val="0"/>
        <w:bidi w:val="0"/>
        <w:spacing w:before="0" w:line="460" w:lineRule="exact"/>
        <w:ind w:left="0"/>
        <w:rPr>
          <w:rFonts w:hint="eastAsia" w:ascii="宋体" w:hAnsi="宋体" w:eastAsia="宋体" w:cs="宋体"/>
          <w:sz w:val="22"/>
          <w:szCs w:val="22"/>
        </w:rPr>
      </w:pPr>
      <w:r>
        <w:rPr>
          <w:rFonts w:hint="eastAsia" w:ascii="宋体" w:hAnsi="宋体" w:eastAsia="宋体" w:cs="宋体"/>
          <w:sz w:val="22"/>
          <w:szCs w:val="22"/>
        </w:rPr>
        <w:t>十、质量保证及售后服务</w:t>
      </w:r>
    </w:p>
    <w:p>
      <w:pPr>
        <w:pStyle w:val="329"/>
        <w:keepLines w:val="0"/>
        <w:pageBreakBefore w:val="0"/>
        <w:numPr>
          <w:ilvl w:val="0"/>
          <w:numId w:val="0"/>
        </w:numPr>
        <w:tabs>
          <w:tab w:val="left" w:pos="522"/>
        </w:tabs>
        <w:kinsoku/>
        <w:wordWrap/>
        <w:topLinePunct w:val="0"/>
        <w:bidi w:val="0"/>
        <w:spacing w:before="0"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乙方保证本合同中所供应的</w:t>
      </w:r>
      <w:r>
        <w:rPr>
          <w:rFonts w:hint="eastAsia" w:ascii="宋体" w:hAnsi="宋体" w:eastAsia="宋体" w:cs="宋体"/>
          <w:sz w:val="22"/>
          <w:szCs w:val="22"/>
          <w:lang w:eastAsia="zh-CN"/>
        </w:rPr>
        <w:t>货物</w:t>
      </w:r>
      <w:r>
        <w:rPr>
          <w:rFonts w:hint="eastAsia" w:ascii="宋体" w:hAnsi="宋体" w:eastAsia="宋体" w:cs="宋体"/>
          <w:sz w:val="22"/>
          <w:szCs w:val="22"/>
        </w:rPr>
        <w:t>是最新生产的符合国家技术规格和质量标准的出厂原装合格产品。如发生所供</w:t>
      </w:r>
      <w:r>
        <w:rPr>
          <w:rFonts w:hint="eastAsia" w:ascii="宋体" w:hAnsi="宋体" w:eastAsia="宋体" w:cs="宋体"/>
          <w:sz w:val="22"/>
          <w:szCs w:val="22"/>
          <w:lang w:eastAsia="zh-CN"/>
        </w:rPr>
        <w:t>货物</w:t>
      </w:r>
      <w:r>
        <w:rPr>
          <w:rFonts w:hint="eastAsia" w:ascii="宋体" w:hAnsi="宋体" w:eastAsia="宋体" w:cs="宋体"/>
          <w:sz w:val="22"/>
          <w:szCs w:val="22"/>
        </w:rPr>
        <w:t>与合同不符，甲方有权拒收或退货，由此产生的一切责任和后果由乙方承担。</w:t>
      </w:r>
    </w:p>
    <w:p>
      <w:pPr>
        <w:pStyle w:val="329"/>
        <w:keepLines w:val="0"/>
        <w:pageBreakBefore w:val="0"/>
        <w:numPr>
          <w:ilvl w:val="0"/>
          <w:numId w:val="0"/>
        </w:numPr>
        <w:tabs>
          <w:tab w:val="left" w:pos="522"/>
        </w:tabs>
        <w:kinsoku/>
        <w:wordWrap/>
        <w:topLinePunct w:val="0"/>
        <w:bidi w:val="0"/>
        <w:spacing w:before="0"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乙方提供的货物在质保期内因货物本身质量</w:t>
      </w:r>
      <w:r>
        <w:rPr>
          <w:rFonts w:hint="eastAsia" w:ascii="宋体" w:hAnsi="宋体" w:eastAsia="宋体" w:cs="宋体"/>
          <w:sz w:val="22"/>
          <w:szCs w:val="22"/>
          <w:lang w:eastAsia="zh-CN"/>
        </w:rPr>
        <w:t>存在问题</w:t>
      </w:r>
      <w:r>
        <w:rPr>
          <w:rFonts w:hint="eastAsia" w:ascii="宋体" w:hAnsi="宋体" w:eastAsia="宋体" w:cs="宋体"/>
          <w:sz w:val="22"/>
          <w:szCs w:val="22"/>
        </w:rPr>
        <w:t>，乙方应负责免费更换。对达不到</w:t>
      </w:r>
      <w:r>
        <w:rPr>
          <w:rFonts w:hint="eastAsia" w:ascii="宋体" w:hAnsi="宋体" w:eastAsia="宋体" w:cs="宋体"/>
          <w:sz w:val="22"/>
          <w:szCs w:val="22"/>
          <w:lang w:eastAsia="zh-CN"/>
        </w:rPr>
        <w:t>质量标准</w:t>
      </w:r>
      <w:r>
        <w:rPr>
          <w:rFonts w:hint="eastAsia" w:ascii="宋体" w:hAnsi="宋体" w:eastAsia="宋体" w:cs="宋体"/>
          <w:sz w:val="22"/>
          <w:szCs w:val="22"/>
        </w:rPr>
        <w:t>要求者，根据实际情况，经双方协商，可按以下办法处理：</w:t>
      </w:r>
    </w:p>
    <w:p>
      <w:pPr>
        <w:pStyle w:val="329"/>
        <w:keepLines w:val="0"/>
        <w:pageBreakBefore w:val="0"/>
        <w:numPr>
          <w:ilvl w:val="0"/>
          <w:numId w:val="0"/>
        </w:numPr>
        <w:tabs>
          <w:tab w:val="left" w:pos="797"/>
        </w:tabs>
        <w:kinsoku/>
        <w:wordWrap/>
        <w:topLinePunct w:val="0"/>
        <w:bidi w:val="0"/>
        <w:spacing w:before="0"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w:t>
      </w:r>
      <w:r>
        <w:rPr>
          <w:rFonts w:hint="eastAsia" w:ascii="宋体" w:hAnsi="宋体" w:eastAsia="宋体" w:cs="宋体"/>
          <w:sz w:val="22"/>
          <w:szCs w:val="22"/>
          <w:lang w:eastAsia="zh-CN"/>
        </w:rPr>
        <w:t>）</w:t>
      </w:r>
      <w:r>
        <w:rPr>
          <w:rFonts w:hint="eastAsia" w:ascii="宋体" w:hAnsi="宋体" w:eastAsia="宋体" w:cs="宋体"/>
          <w:sz w:val="22"/>
          <w:szCs w:val="22"/>
        </w:rPr>
        <w:t>更换：由乙方承担所发生的全部费用。</w:t>
      </w:r>
    </w:p>
    <w:p>
      <w:pPr>
        <w:pStyle w:val="329"/>
        <w:keepLines w:val="0"/>
        <w:pageBreakBefore w:val="0"/>
        <w:numPr>
          <w:ilvl w:val="0"/>
          <w:numId w:val="0"/>
        </w:numPr>
        <w:tabs>
          <w:tab w:val="left" w:pos="797"/>
        </w:tabs>
        <w:kinsoku/>
        <w:wordWrap/>
        <w:topLinePunct w:val="0"/>
        <w:bidi w:val="0"/>
        <w:spacing w:before="0"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2</w:t>
      </w:r>
      <w:r>
        <w:rPr>
          <w:rFonts w:hint="eastAsia" w:ascii="宋体" w:hAnsi="宋体" w:eastAsia="宋体" w:cs="宋体"/>
          <w:sz w:val="22"/>
          <w:szCs w:val="22"/>
          <w:lang w:eastAsia="zh-CN"/>
        </w:rPr>
        <w:t>）</w:t>
      </w:r>
      <w:r>
        <w:rPr>
          <w:rFonts w:hint="eastAsia" w:ascii="宋体" w:hAnsi="宋体" w:eastAsia="宋体" w:cs="宋体"/>
          <w:sz w:val="22"/>
          <w:szCs w:val="22"/>
        </w:rPr>
        <w:t>退货处理：乙方应退还甲方支付的合同款，同时应承担该货物的直接费用（运输、保险、检验、货款利息及银行手续费等）。</w:t>
      </w:r>
    </w:p>
    <w:p>
      <w:pPr>
        <w:pStyle w:val="329"/>
        <w:keepLines w:val="0"/>
        <w:pageBreakBefore w:val="0"/>
        <w:numPr>
          <w:ilvl w:val="0"/>
          <w:numId w:val="0"/>
        </w:numPr>
        <w:tabs>
          <w:tab w:val="left" w:pos="522"/>
        </w:tabs>
        <w:kinsoku/>
        <w:wordWrap/>
        <w:topLinePunct w:val="0"/>
        <w:bidi w:val="0"/>
        <w:spacing w:before="0"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在质保期内，乙方应对货物出现的质量及安全问题负责处理解决并承担一切费用。</w:t>
      </w:r>
    </w:p>
    <w:p>
      <w:pPr>
        <w:pStyle w:val="329"/>
        <w:keepLines w:val="0"/>
        <w:pageBreakBefore w:val="0"/>
        <w:numPr>
          <w:ilvl w:val="0"/>
          <w:numId w:val="0"/>
        </w:numPr>
        <w:tabs>
          <w:tab w:val="left" w:pos="522"/>
        </w:tabs>
        <w:kinsoku/>
        <w:wordWrap/>
        <w:topLinePunct w:val="0"/>
        <w:bidi w:val="0"/>
        <w:spacing w:before="0"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lang w:eastAsia="zh-CN"/>
        </w:rPr>
        <w:t>租赁的设备</w:t>
      </w:r>
      <w:r>
        <w:rPr>
          <w:rFonts w:hint="eastAsia" w:ascii="宋体" w:hAnsi="宋体" w:eastAsia="宋体" w:cs="宋体"/>
          <w:sz w:val="22"/>
          <w:szCs w:val="22"/>
        </w:rPr>
        <w:t>在</w:t>
      </w:r>
      <w:r>
        <w:rPr>
          <w:rFonts w:hint="eastAsia" w:ascii="宋体" w:hAnsi="宋体" w:eastAsia="宋体" w:cs="宋体"/>
          <w:sz w:val="22"/>
          <w:szCs w:val="22"/>
          <w:lang w:eastAsia="zh-CN"/>
        </w:rPr>
        <w:t>租赁</w:t>
      </w:r>
      <w:r>
        <w:rPr>
          <w:rFonts w:hint="eastAsia" w:ascii="宋体" w:hAnsi="宋体" w:eastAsia="宋体" w:cs="宋体"/>
          <w:sz w:val="22"/>
          <w:szCs w:val="22"/>
        </w:rPr>
        <w:t>期内免费保修，因人为因素出现的故障不在免费保修范围内。</w:t>
      </w:r>
      <w:r>
        <w:rPr>
          <w:rFonts w:hint="eastAsia" w:ascii="宋体" w:hAnsi="宋体" w:eastAsia="宋体" w:cs="宋体"/>
          <w:sz w:val="22"/>
          <w:szCs w:val="22"/>
          <w:lang w:eastAsia="zh-CN"/>
        </w:rPr>
        <w:t>若设备发生故障，</w:t>
      </w:r>
      <w:r>
        <w:rPr>
          <w:rFonts w:hint="eastAsia" w:ascii="宋体" w:hAnsi="宋体" w:eastAsia="宋体" w:cs="宋体"/>
          <w:sz w:val="22"/>
          <w:szCs w:val="22"/>
        </w:rPr>
        <w:t>乙方应当在甲方通知维修后</w:t>
      </w:r>
      <w:r>
        <w:rPr>
          <w:rFonts w:hint="eastAsia" w:ascii="宋体" w:hAnsi="宋体" w:eastAsia="宋体" w:cs="宋体"/>
          <w:sz w:val="22"/>
          <w:szCs w:val="22"/>
          <w:lang w:val="en-US" w:eastAsia="zh-CN"/>
        </w:rPr>
        <w:t>2小时</w:t>
      </w:r>
      <w:r>
        <w:rPr>
          <w:rFonts w:hint="eastAsia" w:ascii="宋体" w:hAnsi="宋体" w:eastAsia="宋体" w:cs="宋体"/>
          <w:sz w:val="22"/>
          <w:szCs w:val="22"/>
        </w:rPr>
        <w:t>内到达</w:t>
      </w:r>
      <w:r>
        <w:rPr>
          <w:rFonts w:hint="eastAsia" w:ascii="宋体" w:hAnsi="宋体" w:eastAsia="宋体" w:cs="宋体"/>
          <w:sz w:val="22"/>
          <w:szCs w:val="22"/>
          <w:lang w:eastAsia="zh-CN"/>
        </w:rPr>
        <w:t>设备</w:t>
      </w:r>
      <w:r>
        <w:rPr>
          <w:rFonts w:hint="eastAsia" w:ascii="宋体" w:hAnsi="宋体" w:eastAsia="宋体" w:cs="宋体"/>
          <w:sz w:val="22"/>
          <w:szCs w:val="22"/>
        </w:rPr>
        <w:t>所在地进行</w:t>
      </w:r>
      <w:r>
        <w:rPr>
          <w:rFonts w:hint="eastAsia" w:ascii="宋体" w:hAnsi="宋体" w:eastAsia="宋体" w:cs="宋体"/>
          <w:color w:val="auto"/>
          <w:sz w:val="22"/>
          <w:szCs w:val="22"/>
        </w:rPr>
        <w:t>维修。</w:t>
      </w:r>
      <w:r>
        <w:rPr>
          <w:rFonts w:hint="eastAsia" w:ascii="宋体" w:hAnsi="宋体" w:eastAsia="宋体" w:cs="宋体"/>
          <w:color w:val="auto"/>
          <w:sz w:val="22"/>
          <w:szCs w:val="22"/>
          <w:lang w:eastAsia="zh-CN"/>
        </w:rPr>
        <w:t>若设备在</w:t>
      </w:r>
      <w:r>
        <w:rPr>
          <w:rFonts w:hint="eastAsia" w:ascii="宋体" w:hAnsi="宋体" w:eastAsia="宋体" w:cs="宋体"/>
          <w:color w:val="auto"/>
          <w:sz w:val="22"/>
          <w:szCs w:val="22"/>
          <w:lang w:val="en-US" w:eastAsia="zh-CN"/>
        </w:rPr>
        <w:t>X小时内无法维修，</w:t>
      </w:r>
      <w:r>
        <w:rPr>
          <w:rFonts w:hint="eastAsia" w:ascii="宋体" w:hAnsi="宋体" w:eastAsia="宋体" w:cs="宋体"/>
          <w:sz w:val="22"/>
          <w:szCs w:val="22"/>
          <w:lang w:val="en-US" w:eastAsia="zh-CN"/>
        </w:rPr>
        <w:t>乙方应当提供备用的设备供甲方使用。</w:t>
      </w:r>
    </w:p>
    <w:p>
      <w:pPr>
        <w:pStyle w:val="5"/>
        <w:keepLines w:val="0"/>
        <w:pageBreakBefore w:val="0"/>
        <w:kinsoku/>
        <w:wordWrap/>
        <w:topLinePunct w:val="0"/>
        <w:bidi w:val="0"/>
        <w:spacing w:before="0" w:line="460" w:lineRule="exact"/>
        <w:ind w:left="0"/>
        <w:rPr>
          <w:rFonts w:hint="eastAsia" w:ascii="宋体" w:hAnsi="宋体" w:eastAsia="宋体" w:cs="宋体"/>
          <w:sz w:val="22"/>
          <w:szCs w:val="22"/>
        </w:rPr>
      </w:pPr>
      <w:r>
        <w:rPr>
          <w:rFonts w:hint="eastAsia" w:ascii="宋体" w:hAnsi="宋体" w:eastAsia="宋体" w:cs="宋体"/>
          <w:sz w:val="22"/>
          <w:szCs w:val="22"/>
        </w:rPr>
        <w:t>十一、调试和验收</w:t>
      </w:r>
    </w:p>
    <w:p>
      <w:pPr>
        <w:pStyle w:val="329"/>
        <w:keepLines w:val="0"/>
        <w:pageBreakBefore w:val="0"/>
        <w:numPr>
          <w:ilvl w:val="0"/>
          <w:numId w:val="0"/>
        </w:numPr>
        <w:tabs>
          <w:tab w:val="left" w:pos="522"/>
        </w:tabs>
        <w:kinsoku/>
        <w:wordWrap/>
        <w:topLinePunct w:val="0"/>
        <w:bidi w:val="0"/>
        <w:spacing w:before="0"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甲方对乙方提交的货物依据招标文件上的技术规格要求和国家有关质量标准进行现场验收。货到后，甲方需在二十个工作日内验收（质量等隐蔽瑕疵除外）。</w:t>
      </w:r>
    </w:p>
    <w:p>
      <w:pPr>
        <w:pStyle w:val="329"/>
        <w:keepLines w:val="0"/>
        <w:pageBreakBefore w:val="0"/>
        <w:numPr>
          <w:ilvl w:val="0"/>
          <w:numId w:val="0"/>
        </w:numPr>
        <w:tabs>
          <w:tab w:val="left" w:pos="522"/>
        </w:tabs>
        <w:kinsoku/>
        <w:wordWrap/>
        <w:topLinePunct w:val="0"/>
        <w:bidi w:val="0"/>
        <w:spacing w:before="0"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乙方交货前应对</w:t>
      </w:r>
      <w:r>
        <w:rPr>
          <w:rFonts w:hint="eastAsia" w:ascii="宋体" w:hAnsi="宋体" w:eastAsia="宋体" w:cs="宋体"/>
          <w:sz w:val="22"/>
          <w:szCs w:val="22"/>
          <w:lang w:eastAsia="zh-CN"/>
        </w:rPr>
        <w:t>货物</w:t>
      </w:r>
      <w:r>
        <w:rPr>
          <w:rFonts w:hint="eastAsia" w:ascii="宋体" w:hAnsi="宋体" w:eastAsia="宋体" w:cs="宋体"/>
          <w:sz w:val="22"/>
          <w:szCs w:val="22"/>
        </w:rPr>
        <w:t>作出全面检查和对验收文件进行整理，并列出清单，作为甲方收货验收和使用的技术条件依据，检验的结果应随货物交甲方。</w:t>
      </w:r>
    </w:p>
    <w:p>
      <w:pPr>
        <w:pStyle w:val="329"/>
        <w:keepLines w:val="0"/>
        <w:pageBreakBefore w:val="0"/>
        <w:numPr>
          <w:ilvl w:val="0"/>
          <w:numId w:val="0"/>
        </w:numPr>
        <w:tabs>
          <w:tab w:val="left" w:pos="522"/>
        </w:tabs>
        <w:kinsoku/>
        <w:wordWrap/>
        <w:topLinePunct w:val="0"/>
        <w:bidi w:val="0"/>
        <w:spacing w:before="0"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甲方对乙方提供的</w:t>
      </w:r>
      <w:r>
        <w:rPr>
          <w:rFonts w:hint="eastAsia" w:ascii="宋体" w:hAnsi="宋体" w:eastAsia="宋体" w:cs="宋体"/>
          <w:sz w:val="22"/>
          <w:szCs w:val="22"/>
          <w:lang w:eastAsia="zh-CN"/>
        </w:rPr>
        <w:t>设备</w:t>
      </w:r>
      <w:r>
        <w:rPr>
          <w:rFonts w:hint="eastAsia" w:ascii="宋体" w:hAnsi="宋体" w:eastAsia="宋体" w:cs="宋体"/>
          <w:sz w:val="22"/>
          <w:szCs w:val="22"/>
        </w:rPr>
        <w:t>在使用前进行调试时，乙方需负责安装并培训甲方的使用操作人员，并协助甲方一起调试，直到符合技术要求，甲方才做最终验收。</w:t>
      </w:r>
    </w:p>
    <w:p>
      <w:pPr>
        <w:pStyle w:val="329"/>
        <w:keepLines w:val="0"/>
        <w:pageBreakBefore w:val="0"/>
        <w:numPr>
          <w:ilvl w:val="0"/>
          <w:numId w:val="0"/>
        </w:numPr>
        <w:tabs>
          <w:tab w:val="left" w:pos="522"/>
        </w:tabs>
        <w:kinsoku/>
        <w:wordWrap/>
        <w:topLinePunct w:val="0"/>
        <w:bidi w:val="0"/>
        <w:spacing w:before="0"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对技术复杂的货物，甲方应请国家认可的专业检测机构参与验收，并由其出具质量检测报告。</w:t>
      </w:r>
    </w:p>
    <w:p>
      <w:pPr>
        <w:pStyle w:val="329"/>
        <w:keepLines w:val="0"/>
        <w:pageBreakBefore w:val="0"/>
        <w:numPr>
          <w:ilvl w:val="0"/>
          <w:numId w:val="0"/>
        </w:numPr>
        <w:tabs>
          <w:tab w:val="left" w:pos="522"/>
        </w:tabs>
        <w:kinsoku/>
        <w:wordWrap/>
        <w:topLinePunct w:val="0"/>
        <w:bidi w:val="0"/>
        <w:spacing w:before="0"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5、</w:t>
      </w:r>
      <w:r>
        <w:rPr>
          <w:rFonts w:hint="eastAsia" w:ascii="宋体" w:hAnsi="宋体" w:eastAsia="宋体" w:cs="宋体"/>
          <w:sz w:val="22"/>
          <w:szCs w:val="22"/>
        </w:rPr>
        <w:t>验收时乙方必须在现场，验收完毕后作出验收结果报告；验收费用由乙方负责。</w:t>
      </w:r>
    </w:p>
    <w:p>
      <w:pPr>
        <w:pStyle w:val="5"/>
        <w:keepLines w:val="0"/>
        <w:pageBreakBefore w:val="0"/>
        <w:kinsoku/>
        <w:wordWrap/>
        <w:topLinePunct w:val="0"/>
        <w:bidi w:val="0"/>
        <w:spacing w:before="0" w:line="460" w:lineRule="exact"/>
        <w:ind w:left="0"/>
        <w:rPr>
          <w:rFonts w:hint="eastAsia" w:ascii="宋体" w:hAnsi="宋体" w:eastAsia="宋体" w:cs="宋体"/>
          <w:sz w:val="22"/>
          <w:szCs w:val="22"/>
        </w:rPr>
      </w:pPr>
      <w:r>
        <w:rPr>
          <w:rFonts w:hint="eastAsia" w:ascii="宋体" w:hAnsi="宋体" w:eastAsia="宋体" w:cs="宋体"/>
          <w:sz w:val="22"/>
          <w:szCs w:val="22"/>
        </w:rPr>
        <w:t>十二、货物包装</w:t>
      </w:r>
    </w:p>
    <w:p>
      <w:pPr>
        <w:pStyle w:val="329"/>
        <w:keepLines w:val="0"/>
        <w:pageBreakBefore w:val="0"/>
        <w:numPr>
          <w:ilvl w:val="0"/>
          <w:numId w:val="0"/>
        </w:numPr>
        <w:tabs>
          <w:tab w:val="left" w:pos="522"/>
        </w:tabs>
        <w:kinsoku/>
        <w:wordWrap/>
        <w:topLinePunct w:val="0"/>
        <w:bidi w:val="0"/>
        <w:spacing w:before="0"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乙方应在货物发运前对其进行满足运输距离、防潮、防震、防锈和防破损装卸等要求包装，以保证货物安全运达甲方指定地点。</w:t>
      </w:r>
    </w:p>
    <w:p>
      <w:pPr>
        <w:pStyle w:val="329"/>
        <w:keepLines w:val="0"/>
        <w:pageBreakBefore w:val="0"/>
        <w:numPr>
          <w:ilvl w:val="0"/>
          <w:numId w:val="0"/>
        </w:numPr>
        <w:tabs>
          <w:tab w:val="left" w:pos="522"/>
        </w:tabs>
        <w:kinsoku/>
        <w:wordWrap/>
        <w:topLinePunct w:val="0"/>
        <w:bidi w:val="0"/>
        <w:spacing w:before="0"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使用说明书、质量检验证明书、随配附件和工具以及清单一并附于货物内</w:t>
      </w:r>
      <w:r>
        <w:rPr>
          <w:rFonts w:hint="eastAsia" w:ascii="宋体" w:hAnsi="宋体" w:eastAsia="宋体" w:cs="宋体"/>
          <w:spacing w:val="-1"/>
          <w:w w:val="95"/>
          <w:sz w:val="22"/>
          <w:szCs w:val="22"/>
        </w:rPr>
        <w:t>。</w:t>
      </w:r>
    </w:p>
    <w:p>
      <w:pPr>
        <w:pStyle w:val="329"/>
        <w:keepLines w:val="0"/>
        <w:pageBreakBefore w:val="0"/>
        <w:tabs>
          <w:tab w:val="left" w:pos="522"/>
        </w:tabs>
        <w:kinsoku/>
        <w:wordWrap/>
        <w:topLinePunct w:val="0"/>
        <w:bidi w:val="0"/>
        <w:spacing w:before="0" w:line="460" w:lineRule="exact"/>
        <w:ind w:left="0" w:right="4267" w:rightChars="2032" w:firstLine="0"/>
        <w:rPr>
          <w:rFonts w:hint="eastAsia" w:ascii="宋体" w:hAnsi="宋体" w:eastAsia="宋体" w:cs="宋体"/>
          <w:b/>
          <w:sz w:val="22"/>
          <w:szCs w:val="22"/>
        </w:rPr>
      </w:pPr>
      <w:r>
        <w:rPr>
          <w:rFonts w:hint="eastAsia" w:ascii="宋体" w:hAnsi="宋体" w:eastAsia="宋体" w:cs="宋体"/>
          <w:b/>
          <w:spacing w:val="10"/>
          <w:sz w:val="22"/>
          <w:szCs w:val="22"/>
        </w:rPr>
        <w:t>十三、违约责任</w:t>
      </w:r>
    </w:p>
    <w:p>
      <w:pPr>
        <w:pStyle w:val="329"/>
        <w:keepLines w:val="0"/>
        <w:pageBreakBefore w:val="0"/>
        <w:numPr>
          <w:ilvl w:val="0"/>
          <w:numId w:val="0"/>
        </w:numPr>
        <w:tabs>
          <w:tab w:val="left" w:pos="522"/>
        </w:tabs>
        <w:kinsoku/>
        <w:wordWrap/>
        <w:topLinePunct w:val="0"/>
        <w:bidi w:val="0"/>
        <w:spacing w:before="0"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甲方无正当理由拒收货物的，甲方向乙方偿付拒收货款总值的</w:t>
      </w:r>
      <w:r>
        <w:rPr>
          <w:rFonts w:hint="eastAsia" w:ascii="宋体" w:hAnsi="宋体" w:eastAsia="宋体" w:cs="宋体"/>
          <w:spacing w:val="3"/>
          <w:sz w:val="22"/>
          <w:szCs w:val="22"/>
          <w:u w:val="single"/>
        </w:rPr>
        <w:t xml:space="preserve"> 百分之五</w:t>
      </w:r>
      <w:r>
        <w:rPr>
          <w:rFonts w:hint="eastAsia" w:ascii="宋体" w:hAnsi="宋体" w:eastAsia="宋体" w:cs="宋体"/>
          <w:spacing w:val="45"/>
          <w:sz w:val="22"/>
          <w:szCs w:val="22"/>
        </w:rPr>
        <w:t xml:space="preserve"> </w:t>
      </w:r>
      <w:r>
        <w:rPr>
          <w:rFonts w:hint="eastAsia" w:ascii="宋体" w:hAnsi="宋体" w:eastAsia="宋体" w:cs="宋体"/>
          <w:sz w:val="22"/>
          <w:szCs w:val="22"/>
        </w:rPr>
        <w:t>违约金。</w:t>
      </w:r>
    </w:p>
    <w:p>
      <w:pPr>
        <w:pStyle w:val="329"/>
        <w:keepLines w:val="0"/>
        <w:pageBreakBefore w:val="0"/>
        <w:numPr>
          <w:ilvl w:val="0"/>
          <w:numId w:val="0"/>
        </w:numPr>
        <w:tabs>
          <w:tab w:val="left" w:pos="522"/>
        </w:tabs>
        <w:kinsoku/>
        <w:wordWrap/>
        <w:topLinePunct w:val="0"/>
        <w:bidi w:val="0"/>
        <w:spacing w:before="0"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乙方逾期交付货物的，乙方应按逾期交货总额每日</w:t>
      </w:r>
      <w:r>
        <w:rPr>
          <w:rFonts w:hint="eastAsia" w:ascii="宋体" w:hAnsi="宋体" w:eastAsia="宋体" w:cs="宋体"/>
          <w:spacing w:val="15"/>
          <w:sz w:val="22"/>
          <w:szCs w:val="22"/>
          <w:u w:val="single"/>
        </w:rPr>
        <w:t xml:space="preserve"> 千分之六</w:t>
      </w:r>
      <w:r>
        <w:rPr>
          <w:rFonts w:hint="eastAsia" w:ascii="宋体" w:hAnsi="宋体" w:eastAsia="宋体" w:cs="宋体"/>
          <w:spacing w:val="29"/>
          <w:sz w:val="22"/>
          <w:szCs w:val="22"/>
        </w:rPr>
        <w:t xml:space="preserve"> </w:t>
      </w:r>
      <w:r>
        <w:rPr>
          <w:rFonts w:hint="eastAsia" w:ascii="宋体" w:hAnsi="宋体" w:eastAsia="宋体" w:cs="宋体"/>
          <w:sz w:val="22"/>
          <w:szCs w:val="22"/>
        </w:rPr>
        <w:t>向甲方支付违约金，由甲方从待付货款中扣除。逾期超过约定日期</w:t>
      </w:r>
      <w:r>
        <w:rPr>
          <w:rFonts w:hint="eastAsia" w:ascii="宋体" w:hAnsi="宋体" w:eastAsia="宋体" w:cs="宋体"/>
          <w:w w:val="98"/>
          <w:sz w:val="22"/>
          <w:szCs w:val="22"/>
          <w:u w:val="single"/>
        </w:rPr>
        <w:t xml:space="preserve"> </w:t>
      </w:r>
      <w:r>
        <w:rPr>
          <w:rFonts w:hint="eastAsia" w:ascii="宋体" w:hAnsi="宋体" w:eastAsia="宋体" w:cs="宋体"/>
          <w:sz w:val="22"/>
          <w:szCs w:val="22"/>
          <w:u w:val="single"/>
        </w:rPr>
        <w:t xml:space="preserve">  10 </w:t>
      </w:r>
      <w:r>
        <w:rPr>
          <w:rFonts w:hint="eastAsia" w:ascii="宋体" w:hAnsi="宋体" w:eastAsia="宋体" w:cs="宋体"/>
          <w:sz w:val="22"/>
          <w:szCs w:val="22"/>
        </w:rPr>
        <w:t>个工作日不能交货的，甲方可解除本合同。乙方因逾期交货或因其他违约行为导致甲方解除合同的，乙方应向甲方支付合同总值</w:t>
      </w:r>
      <w:r>
        <w:rPr>
          <w:rFonts w:hint="eastAsia" w:ascii="宋体" w:hAnsi="宋体" w:eastAsia="宋体" w:cs="宋体"/>
          <w:sz w:val="22"/>
          <w:szCs w:val="22"/>
          <w:lang w:val="en-US" w:eastAsia="zh-CN"/>
        </w:rPr>
        <w:t xml:space="preserve"> </w:t>
      </w:r>
      <w:r>
        <w:rPr>
          <w:rFonts w:hint="eastAsia" w:ascii="宋体" w:hAnsi="宋体" w:eastAsia="宋体" w:cs="宋体"/>
          <w:sz w:val="22"/>
          <w:szCs w:val="22"/>
          <w:u w:val="single"/>
        </w:rPr>
        <w:t>5</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%的违约金，如造成甲方损失超过违约金的，超出部分由乙方继续承担赔偿责任。</w:t>
      </w:r>
    </w:p>
    <w:p>
      <w:pPr>
        <w:pStyle w:val="329"/>
        <w:keepLines w:val="0"/>
        <w:pageBreakBefore w:val="0"/>
        <w:numPr>
          <w:ilvl w:val="0"/>
          <w:numId w:val="0"/>
        </w:numPr>
        <w:tabs>
          <w:tab w:val="left" w:pos="522"/>
        </w:tabs>
        <w:kinsoku/>
        <w:wordWrap/>
        <w:topLinePunct w:val="0"/>
        <w:bidi w:val="0"/>
        <w:spacing w:before="0"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29"/>
        <w:keepLines w:val="0"/>
        <w:pageBreakBefore w:val="0"/>
        <w:numPr>
          <w:ilvl w:val="0"/>
          <w:numId w:val="0"/>
        </w:numPr>
        <w:tabs>
          <w:tab w:val="left" w:pos="522"/>
        </w:tabs>
        <w:kinsoku/>
        <w:wordWrap/>
        <w:topLinePunct w:val="0"/>
        <w:bidi w:val="0"/>
        <w:spacing w:before="0"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lang w:eastAsia="zh-CN"/>
        </w:rPr>
        <w:t>由于乙方所提供的货物存在问题，给第三人人身或财产造成损害的，由乙方承担赔偿责任。若甲方承担赔偿责任后，有权向乙方追偿，包括但不限于律师费、诉讼费、交通费等。</w:t>
      </w:r>
    </w:p>
    <w:p>
      <w:pPr>
        <w:pStyle w:val="5"/>
        <w:keepLines w:val="0"/>
        <w:pageBreakBefore w:val="0"/>
        <w:kinsoku/>
        <w:wordWrap/>
        <w:topLinePunct w:val="0"/>
        <w:bidi w:val="0"/>
        <w:spacing w:before="0" w:line="460" w:lineRule="exact"/>
        <w:ind w:left="0"/>
        <w:rPr>
          <w:rFonts w:hint="eastAsia" w:ascii="宋体" w:hAnsi="宋体" w:eastAsia="宋体" w:cs="宋体"/>
          <w:sz w:val="22"/>
          <w:szCs w:val="22"/>
        </w:rPr>
      </w:pPr>
      <w:r>
        <w:rPr>
          <w:rFonts w:hint="eastAsia" w:ascii="宋体" w:hAnsi="宋体" w:eastAsia="宋体" w:cs="宋体"/>
          <w:sz w:val="22"/>
          <w:szCs w:val="22"/>
        </w:rPr>
        <w:t>十四、不可抗力事件处理</w:t>
      </w:r>
    </w:p>
    <w:p>
      <w:pPr>
        <w:pStyle w:val="329"/>
        <w:keepLines w:val="0"/>
        <w:pageBreakBefore w:val="0"/>
        <w:numPr>
          <w:ilvl w:val="0"/>
          <w:numId w:val="0"/>
        </w:numPr>
        <w:tabs>
          <w:tab w:val="left" w:pos="522"/>
        </w:tabs>
        <w:kinsoku/>
        <w:wordWrap/>
        <w:topLinePunct w:val="0"/>
        <w:bidi w:val="0"/>
        <w:spacing w:before="0"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在合同有效期内，任何一方因不可抗力事件导致不能履行合同，则合同履行期可延长，其延长期与不可抗力影响期相同。</w:t>
      </w:r>
    </w:p>
    <w:p>
      <w:pPr>
        <w:pStyle w:val="329"/>
        <w:keepLines w:val="0"/>
        <w:pageBreakBefore w:val="0"/>
        <w:numPr>
          <w:ilvl w:val="0"/>
          <w:numId w:val="0"/>
        </w:numPr>
        <w:tabs>
          <w:tab w:val="left" w:pos="522"/>
        </w:tabs>
        <w:kinsoku/>
        <w:wordWrap/>
        <w:topLinePunct w:val="0"/>
        <w:bidi w:val="0"/>
        <w:spacing w:before="0"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不可抗力事件发生后，应立即通知对方，并寄送有关权威机构出具的证明。</w:t>
      </w:r>
    </w:p>
    <w:p>
      <w:pPr>
        <w:pStyle w:val="329"/>
        <w:keepLines w:val="0"/>
        <w:pageBreakBefore w:val="0"/>
        <w:numPr>
          <w:ilvl w:val="0"/>
          <w:numId w:val="0"/>
        </w:numPr>
        <w:tabs>
          <w:tab w:val="left" w:pos="522"/>
        </w:tabs>
        <w:kinsoku/>
        <w:wordWrap/>
        <w:topLinePunct w:val="0"/>
        <w:bidi w:val="0"/>
        <w:spacing w:before="0" w:line="460" w:lineRule="exact"/>
        <w:ind w:firstLine="428" w:firstLineChars="200"/>
        <w:rPr>
          <w:rFonts w:hint="eastAsia" w:ascii="宋体" w:hAnsi="宋体" w:eastAsia="宋体" w:cs="宋体"/>
          <w:sz w:val="22"/>
          <w:szCs w:val="22"/>
        </w:rPr>
      </w:pPr>
      <w:r>
        <w:rPr>
          <w:rFonts w:hint="eastAsia" w:ascii="宋体" w:hAnsi="宋体" w:eastAsia="宋体" w:cs="宋体"/>
          <w:spacing w:val="-3"/>
          <w:sz w:val="22"/>
          <w:szCs w:val="22"/>
          <w:lang w:val="en-US" w:eastAsia="zh-CN"/>
        </w:rPr>
        <w:t>3、</w:t>
      </w:r>
      <w:r>
        <w:rPr>
          <w:rFonts w:hint="eastAsia" w:ascii="宋体" w:hAnsi="宋体" w:eastAsia="宋体" w:cs="宋体"/>
          <w:spacing w:val="-3"/>
          <w:sz w:val="22"/>
          <w:szCs w:val="22"/>
        </w:rPr>
        <w:t xml:space="preserve">不可抗力事件延续 </w:t>
      </w:r>
      <w:r>
        <w:rPr>
          <w:rFonts w:hint="eastAsia" w:ascii="宋体" w:hAnsi="宋体" w:eastAsia="宋体" w:cs="宋体"/>
          <w:sz w:val="22"/>
          <w:szCs w:val="22"/>
        </w:rPr>
        <w:t>120天以上，双方应通过友好协商，确定是否继续履行合同。</w:t>
      </w:r>
    </w:p>
    <w:p>
      <w:pPr>
        <w:pStyle w:val="5"/>
        <w:keepLines w:val="0"/>
        <w:pageBreakBefore w:val="0"/>
        <w:kinsoku/>
        <w:wordWrap/>
        <w:topLinePunct w:val="0"/>
        <w:bidi w:val="0"/>
        <w:spacing w:before="0" w:line="460" w:lineRule="exact"/>
        <w:ind w:left="0"/>
        <w:rPr>
          <w:rFonts w:hint="eastAsia" w:ascii="宋体" w:hAnsi="宋体" w:eastAsia="宋体" w:cs="宋体"/>
          <w:sz w:val="22"/>
          <w:szCs w:val="22"/>
        </w:rPr>
      </w:pPr>
      <w:r>
        <w:rPr>
          <w:rFonts w:hint="eastAsia" w:ascii="宋体" w:hAnsi="宋体" w:eastAsia="宋体" w:cs="宋体"/>
          <w:sz w:val="22"/>
          <w:szCs w:val="22"/>
        </w:rPr>
        <w:t>十五、诉讼</w:t>
      </w:r>
    </w:p>
    <w:p>
      <w:pPr>
        <w:pStyle w:val="22"/>
        <w:keepLines w:val="0"/>
        <w:pageBreakBefore w:val="0"/>
        <w:kinsoku/>
        <w:wordWrap/>
        <w:topLinePunct w:val="0"/>
        <w:bidi w:val="0"/>
        <w:spacing w:line="460" w:lineRule="exact"/>
        <w:ind w:firstLine="442" w:firstLineChars="200"/>
        <w:rPr>
          <w:rFonts w:hint="eastAsia" w:ascii="宋体" w:hAnsi="宋体" w:eastAsia="宋体" w:cs="宋体"/>
          <w:sz w:val="22"/>
          <w:szCs w:val="22"/>
        </w:rPr>
      </w:pPr>
      <w:r>
        <w:rPr>
          <w:rFonts w:hint="eastAsia" w:ascii="宋体" w:hAnsi="宋体" w:eastAsia="宋体" w:cs="宋体"/>
          <w:sz w:val="22"/>
          <w:szCs w:val="22"/>
        </w:rPr>
        <w:t>双方在</w:t>
      </w:r>
      <w:r>
        <w:rPr>
          <w:rFonts w:hint="eastAsia" w:ascii="宋体" w:hAnsi="宋体" w:eastAsia="宋体" w:cs="宋体"/>
          <w:sz w:val="22"/>
          <w:szCs w:val="22"/>
          <w:lang w:eastAsia="zh-CN"/>
        </w:rPr>
        <w:t>履行</w:t>
      </w:r>
      <w:r>
        <w:rPr>
          <w:rFonts w:hint="eastAsia" w:ascii="宋体" w:hAnsi="宋体" w:eastAsia="宋体" w:cs="宋体"/>
          <w:sz w:val="22"/>
          <w:szCs w:val="22"/>
        </w:rPr>
        <w:t>合同中所发生的一切争议，应通过协商解决。如协商不成，可向甲方所在地法院起诉。</w:t>
      </w:r>
    </w:p>
    <w:p>
      <w:pPr>
        <w:pStyle w:val="5"/>
        <w:keepLines w:val="0"/>
        <w:pageBreakBefore w:val="0"/>
        <w:kinsoku/>
        <w:wordWrap/>
        <w:topLinePunct w:val="0"/>
        <w:bidi w:val="0"/>
        <w:spacing w:before="0" w:line="460" w:lineRule="exact"/>
        <w:ind w:left="0"/>
        <w:rPr>
          <w:rFonts w:hint="eastAsia" w:ascii="宋体" w:hAnsi="宋体" w:eastAsia="宋体" w:cs="宋体"/>
          <w:sz w:val="22"/>
          <w:szCs w:val="22"/>
        </w:rPr>
      </w:pPr>
      <w:r>
        <w:rPr>
          <w:rFonts w:hint="eastAsia" w:ascii="宋体" w:hAnsi="宋体" w:eastAsia="宋体" w:cs="宋体"/>
          <w:sz w:val="22"/>
          <w:szCs w:val="22"/>
        </w:rPr>
        <w:t>十六、合同生效及其它</w:t>
      </w:r>
    </w:p>
    <w:p>
      <w:pPr>
        <w:pStyle w:val="329"/>
        <w:keepLines w:val="0"/>
        <w:pageBreakBefore w:val="0"/>
        <w:numPr>
          <w:ilvl w:val="0"/>
          <w:numId w:val="0"/>
        </w:numPr>
        <w:tabs>
          <w:tab w:val="left" w:pos="522"/>
        </w:tabs>
        <w:kinsoku/>
        <w:wordWrap/>
        <w:topLinePunct w:val="0"/>
        <w:bidi w:val="0"/>
        <w:spacing w:before="0"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本合同经甲、乙双方签字并加盖单位公章后生效。</w:t>
      </w:r>
    </w:p>
    <w:p>
      <w:pPr>
        <w:pStyle w:val="329"/>
        <w:keepLines w:val="0"/>
        <w:pageBreakBefore w:val="0"/>
        <w:numPr>
          <w:ilvl w:val="0"/>
          <w:numId w:val="0"/>
        </w:numPr>
        <w:tabs>
          <w:tab w:val="left" w:pos="522"/>
        </w:tabs>
        <w:kinsoku/>
        <w:wordWrap/>
        <w:topLinePunct w:val="0"/>
        <w:bidi w:val="0"/>
        <w:spacing w:before="0" w:line="46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本合同期限：</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rPr>
        <w:t>年，自</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年</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月</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rPr>
        <w:t>日起至</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年</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rPr>
        <w:t>月</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rPr>
        <w:t>日止。合同签订后，设备验收合格后合作期</w:t>
      </w:r>
      <w:r>
        <w:rPr>
          <w:rFonts w:hint="eastAsia" w:ascii="宋体" w:hAnsi="宋体" w:eastAsia="宋体" w:cs="宋体"/>
          <w:sz w:val="22"/>
          <w:szCs w:val="22"/>
          <w:highlight w:val="none"/>
          <w:lang w:eastAsia="zh-CN"/>
        </w:rPr>
        <w:t>满</w:t>
      </w:r>
      <w:r>
        <w:rPr>
          <w:rFonts w:hint="eastAsia" w:ascii="宋体" w:hAnsi="宋体" w:eastAsia="宋体" w:cs="宋体"/>
          <w:sz w:val="22"/>
          <w:szCs w:val="22"/>
          <w:highlight w:val="none"/>
        </w:rPr>
        <w:t>1年或耗材采购量达到合同金额，任一条件达到即视为合作期结束，合作期结束后根据</w:t>
      </w:r>
      <w:r>
        <w:rPr>
          <w:rFonts w:hint="eastAsia" w:ascii="宋体" w:hAnsi="宋体" w:eastAsia="宋体" w:cs="宋体"/>
          <w:sz w:val="22"/>
          <w:szCs w:val="22"/>
          <w:highlight w:val="none"/>
          <w:lang w:eastAsia="zh-CN"/>
        </w:rPr>
        <w:t>甲方</w:t>
      </w:r>
      <w:r>
        <w:rPr>
          <w:rFonts w:hint="eastAsia" w:ascii="宋体" w:hAnsi="宋体" w:eastAsia="宋体" w:cs="宋体"/>
          <w:sz w:val="22"/>
          <w:szCs w:val="22"/>
          <w:highlight w:val="none"/>
        </w:rPr>
        <w:t>需要，</w:t>
      </w:r>
      <w:r>
        <w:rPr>
          <w:rFonts w:hint="eastAsia" w:ascii="宋体" w:hAnsi="宋体" w:eastAsia="宋体" w:cs="宋体"/>
          <w:sz w:val="22"/>
          <w:szCs w:val="22"/>
          <w:highlight w:val="none"/>
          <w:lang w:eastAsia="zh-CN"/>
        </w:rPr>
        <w:t>双方协商一致后</w:t>
      </w:r>
      <w:r>
        <w:rPr>
          <w:rFonts w:hint="eastAsia" w:ascii="宋体" w:hAnsi="宋体" w:eastAsia="宋体" w:cs="宋体"/>
          <w:sz w:val="22"/>
          <w:szCs w:val="22"/>
          <w:highlight w:val="none"/>
        </w:rPr>
        <w:t>可延长1年合作期（合作期满条件同第一年一样）。合作期内如</w:t>
      </w:r>
      <w:r>
        <w:rPr>
          <w:rFonts w:hint="eastAsia" w:ascii="宋体" w:hAnsi="宋体" w:eastAsia="宋体" w:cs="宋体"/>
          <w:sz w:val="22"/>
          <w:szCs w:val="22"/>
          <w:highlight w:val="none"/>
          <w:lang w:eastAsia="zh-CN"/>
        </w:rPr>
        <w:t>因政策变更</w:t>
      </w:r>
      <w:r>
        <w:rPr>
          <w:rFonts w:hint="eastAsia" w:ascii="宋体" w:hAnsi="宋体" w:eastAsia="宋体" w:cs="宋体"/>
          <w:sz w:val="22"/>
          <w:szCs w:val="22"/>
          <w:highlight w:val="none"/>
        </w:rPr>
        <w:t>，导致合同无法履行，则合同自行终止</w:t>
      </w:r>
      <w:r>
        <w:rPr>
          <w:rFonts w:hint="eastAsia" w:ascii="宋体" w:hAnsi="宋体" w:eastAsia="宋体" w:cs="宋体"/>
          <w:sz w:val="22"/>
          <w:szCs w:val="22"/>
          <w:highlight w:val="none"/>
          <w:lang w:eastAsia="zh-CN"/>
        </w:rPr>
        <w:t>，双方互不承担责任。</w:t>
      </w:r>
    </w:p>
    <w:p>
      <w:pPr>
        <w:pStyle w:val="329"/>
        <w:keepLines w:val="0"/>
        <w:pageBreakBefore w:val="0"/>
        <w:numPr>
          <w:ilvl w:val="0"/>
          <w:numId w:val="0"/>
        </w:numPr>
        <w:tabs>
          <w:tab w:val="left" w:pos="522"/>
        </w:tabs>
        <w:kinsoku/>
        <w:wordWrap/>
        <w:topLinePunct w:val="0"/>
        <w:bidi w:val="0"/>
        <w:spacing w:before="0"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招标文件、投标文件、项目采购协议或入围承诺书与本合同具有同等法律效力。如前述各项文件之间约定不一致的，应以最新签署的文件内容为准。</w:t>
      </w:r>
    </w:p>
    <w:p>
      <w:pPr>
        <w:pStyle w:val="329"/>
        <w:keepLines w:val="0"/>
        <w:pageBreakBefore w:val="0"/>
        <w:numPr>
          <w:ilvl w:val="0"/>
          <w:numId w:val="0"/>
        </w:numPr>
        <w:tabs>
          <w:tab w:val="left" w:pos="522"/>
        </w:tabs>
        <w:kinsoku/>
        <w:wordWrap/>
        <w:topLinePunct w:val="0"/>
        <w:bidi w:val="0"/>
        <w:spacing w:before="0"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本合同未尽事宜，以招投标文件为准。</w:t>
      </w:r>
    </w:p>
    <w:p>
      <w:pPr>
        <w:pStyle w:val="329"/>
        <w:keepLines w:val="0"/>
        <w:pageBreakBefore w:val="0"/>
        <w:numPr>
          <w:ilvl w:val="0"/>
          <w:numId w:val="0"/>
        </w:numPr>
        <w:tabs>
          <w:tab w:val="left" w:pos="522"/>
        </w:tabs>
        <w:kinsoku/>
        <w:wordWrap/>
        <w:topLinePunct w:val="0"/>
        <w:bidi w:val="0"/>
        <w:spacing w:before="0"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5、</w:t>
      </w:r>
      <w:r>
        <w:rPr>
          <w:rFonts w:hint="eastAsia" w:ascii="宋体" w:hAnsi="宋体" w:eastAsia="宋体" w:cs="宋体"/>
          <w:sz w:val="22"/>
          <w:szCs w:val="22"/>
        </w:rPr>
        <w:t>本合同一式三份，甲方执二份，乙方执一份，具有同等法律效力。</w:t>
      </w:r>
    </w:p>
    <w:p>
      <w:pPr>
        <w:keepLines w:val="0"/>
        <w:pageBreakBefore w:val="0"/>
        <w:tabs>
          <w:tab w:val="left" w:pos="522"/>
        </w:tabs>
        <w:kinsoku/>
        <w:wordWrap/>
        <w:topLinePunct w:val="0"/>
        <w:bidi w:val="0"/>
        <w:spacing w:line="460" w:lineRule="exact"/>
        <w:rPr>
          <w:rFonts w:hint="eastAsia" w:ascii="宋体" w:hAnsi="宋体" w:eastAsia="宋体" w:cs="宋体"/>
          <w:sz w:val="22"/>
          <w:szCs w:val="22"/>
        </w:rPr>
      </w:pPr>
    </w:p>
    <w:p>
      <w:pPr>
        <w:keepLines w:val="0"/>
        <w:pageBreakBefore w:val="0"/>
        <w:kinsoku/>
        <w:wordWrap/>
        <w:topLinePunct w:val="0"/>
        <w:bidi w:val="0"/>
        <w:spacing w:line="460" w:lineRule="exact"/>
        <w:rPr>
          <w:rFonts w:hint="eastAsia" w:ascii="宋体" w:hAnsi="宋体" w:eastAsia="宋体" w:cs="宋体"/>
          <w:sz w:val="22"/>
          <w:szCs w:val="22"/>
        </w:rPr>
      </w:pPr>
      <w:r>
        <w:rPr>
          <w:rFonts w:hint="eastAsia" w:ascii="宋体" w:hAnsi="宋体" w:eastAsia="宋体" w:cs="宋体"/>
          <w:sz w:val="22"/>
          <w:szCs w:val="22"/>
        </w:rPr>
        <w:t>甲方（盖章）： 温州市中医院</w:t>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 xml:space="preserve">乙方（盖章）： </w:t>
      </w:r>
    </w:p>
    <w:p>
      <w:pPr>
        <w:keepLines w:val="0"/>
        <w:pageBreakBefore w:val="0"/>
        <w:kinsoku/>
        <w:wordWrap/>
        <w:topLinePunct w:val="0"/>
        <w:bidi w:val="0"/>
        <w:spacing w:line="460" w:lineRule="exact"/>
        <w:rPr>
          <w:rFonts w:hint="eastAsia" w:ascii="宋体" w:hAnsi="宋体" w:eastAsia="宋体" w:cs="宋体"/>
          <w:sz w:val="22"/>
          <w:szCs w:val="22"/>
        </w:rPr>
      </w:pPr>
    </w:p>
    <w:p>
      <w:pPr>
        <w:keepLines w:val="0"/>
        <w:pageBreakBefore w:val="0"/>
        <w:kinsoku/>
        <w:wordWrap/>
        <w:topLinePunct w:val="0"/>
        <w:bidi w:val="0"/>
        <w:spacing w:line="460" w:lineRule="exact"/>
        <w:rPr>
          <w:rFonts w:hint="eastAsia" w:ascii="宋体" w:hAnsi="宋体" w:eastAsia="宋体" w:cs="宋体"/>
          <w:sz w:val="22"/>
          <w:szCs w:val="22"/>
        </w:rPr>
      </w:pPr>
      <w:r>
        <w:rPr>
          <w:rFonts w:hint="eastAsia" w:ascii="宋体" w:hAnsi="宋体" w:eastAsia="宋体" w:cs="宋体"/>
          <w:sz w:val="22"/>
          <w:szCs w:val="22"/>
        </w:rPr>
        <w:t>地址：温州市六虹桥路蛟尾路9号</w:t>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地址：</w:t>
      </w:r>
    </w:p>
    <w:p>
      <w:pPr>
        <w:keepLines w:val="0"/>
        <w:pageBreakBefore w:val="0"/>
        <w:kinsoku/>
        <w:wordWrap/>
        <w:topLinePunct w:val="0"/>
        <w:bidi w:val="0"/>
        <w:spacing w:line="460" w:lineRule="exact"/>
        <w:rPr>
          <w:rFonts w:hint="eastAsia" w:ascii="宋体" w:hAnsi="宋体" w:eastAsia="宋体" w:cs="宋体"/>
          <w:sz w:val="22"/>
          <w:szCs w:val="22"/>
        </w:rPr>
      </w:pPr>
    </w:p>
    <w:p>
      <w:pPr>
        <w:keepLines w:val="0"/>
        <w:pageBreakBefore w:val="0"/>
        <w:kinsoku/>
        <w:wordWrap/>
        <w:topLinePunct w:val="0"/>
        <w:bidi w:val="0"/>
        <w:spacing w:line="460" w:lineRule="exact"/>
        <w:rPr>
          <w:rFonts w:hint="eastAsia" w:ascii="宋体" w:hAnsi="宋体" w:eastAsia="宋体" w:cs="宋体"/>
          <w:sz w:val="22"/>
          <w:szCs w:val="22"/>
        </w:rPr>
      </w:pPr>
      <w:r>
        <w:rPr>
          <w:rFonts w:hint="eastAsia" w:ascii="宋体" w:hAnsi="宋体" w:eastAsia="宋体" w:cs="宋体"/>
          <w:sz w:val="22"/>
          <w:szCs w:val="22"/>
        </w:rPr>
        <w:t>法定（授权）代表人：</w:t>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法定（授权）代表人：</w:t>
      </w:r>
    </w:p>
    <w:p>
      <w:pPr>
        <w:keepLines w:val="0"/>
        <w:pageBreakBefore w:val="0"/>
        <w:kinsoku/>
        <w:wordWrap/>
        <w:topLinePunct w:val="0"/>
        <w:bidi w:val="0"/>
        <w:spacing w:line="460" w:lineRule="exact"/>
        <w:rPr>
          <w:rFonts w:hint="eastAsia" w:ascii="宋体" w:hAnsi="宋体" w:eastAsia="宋体" w:cs="宋体"/>
          <w:sz w:val="22"/>
          <w:szCs w:val="22"/>
        </w:rPr>
      </w:pPr>
    </w:p>
    <w:p>
      <w:pPr>
        <w:keepLines w:val="0"/>
        <w:pageBreakBefore w:val="0"/>
        <w:kinsoku/>
        <w:wordWrap/>
        <w:topLinePunct w:val="0"/>
        <w:bidi w:val="0"/>
        <w:spacing w:line="460" w:lineRule="exact"/>
        <w:rPr>
          <w:rFonts w:hint="eastAsia" w:ascii="宋体" w:hAnsi="宋体" w:eastAsia="宋体" w:cs="宋体"/>
          <w:sz w:val="22"/>
          <w:szCs w:val="22"/>
        </w:rPr>
      </w:pPr>
      <w:r>
        <w:rPr>
          <w:rFonts w:hint="eastAsia" w:ascii="宋体" w:hAnsi="宋体" w:eastAsia="宋体" w:cs="宋体"/>
          <w:sz w:val="22"/>
          <w:szCs w:val="22"/>
        </w:rPr>
        <w:t xml:space="preserve">签字日期：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年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月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日</w:t>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 xml:space="preserve">签字日期：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年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月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日</w:t>
      </w:r>
    </w:p>
    <w:p/>
    <w:p>
      <w:pPr>
        <w:spacing w:line="360" w:lineRule="auto"/>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pPr>
        <w:pStyle w:val="4"/>
        <w:bidi w:val="0"/>
        <w:rPr>
          <w:rFonts w:hint="eastAsia" w:ascii="宋体" w:hAnsi="宋体" w:eastAsia="宋体" w:cs="宋体"/>
        </w:rPr>
      </w:pPr>
      <w:bookmarkStart w:id="26" w:name="_Toc18439"/>
      <w:bookmarkStart w:id="27" w:name="_Toc19081"/>
      <w:r>
        <w:rPr>
          <w:rFonts w:hint="eastAsia" w:ascii="宋体" w:hAnsi="宋体" w:eastAsia="宋体" w:cs="宋体"/>
        </w:rPr>
        <w:t>第三部分    附件</w:t>
      </w:r>
      <w:bookmarkEnd w:id="26"/>
      <w:bookmarkEnd w:id="27"/>
    </w:p>
    <w:p>
      <w:pPr>
        <w:pStyle w:val="23"/>
        <w:spacing w:line="460" w:lineRule="exact"/>
        <w:ind w:left="433" w:hanging="433" w:hangingChars="196"/>
        <w:outlineLvl w:val="1"/>
        <w:rPr>
          <w:rFonts w:hint="eastAsia" w:ascii="宋体" w:hAnsi="宋体" w:eastAsia="宋体" w:cs="宋体"/>
          <w:b/>
          <w:color w:val="auto"/>
          <w:sz w:val="22"/>
          <w:highlight w:val="none"/>
        </w:rPr>
      </w:pPr>
      <w:bookmarkStart w:id="28" w:name="_Toc6368"/>
      <w:bookmarkStart w:id="29" w:name="_Toc7056"/>
      <w:r>
        <w:rPr>
          <w:rFonts w:hint="eastAsia" w:ascii="宋体" w:hAnsi="宋体" w:eastAsia="宋体" w:cs="宋体"/>
          <w:b/>
          <w:color w:val="auto"/>
          <w:sz w:val="22"/>
          <w:highlight w:val="none"/>
        </w:rPr>
        <w:t>附件一</w:t>
      </w:r>
      <w:bookmarkEnd w:id="28"/>
      <w:bookmarkEnd w:id="29"/>
    </w:p>
    <w:p>
      <w:pPr>
        <w:spacing w:line="400" w:lineRule="exact"/>
        <w:jc w:val="center"/>
        <w:outlineLvl w:val="2"/>
        <w:rPr>
          <w:rFonts w:hint="eastAsia" w:ascii="宋体" w:hAnsi="宋体" w:eastAsia="宋体" w:cs="宋体"/>
          <w:b/>
          <w:bCs/>
          <w:color w:val="auto"/>
          <w:sz w:val="28"/>
          <w:szCs w:val="28"/>
          <w:highlight w:val="none"/>
        </w:rPr>
      </w:pPr>
      <w:bookmarkStart w:id="30" w:name="_Toc5430"/>
      <w:bookmarkStart w:id="31" w:name="_Toc13365"/>
      <w:r>
        <w:rPr>
          <w:rFonts w:hint="eastAsia" w:ascii="宋体" w:hAnsi="宋体" w:eastAsia="宋体" w:cs="宋体"/>
          <w:b/>
          <w:bCs/>
          <w:color w:val="auto"/>
          <w:sz w:val="28"/>
          <w:szCs w:val="28"/>
          <w:highlight w:val="none"/>
        </w:rPr>
        <w:t>报价文件</w:t>
      </w:r>
      <w:bookmarkEnd w:id="30"/>
      <w:bookmarkEnd w:id="31"/>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lang w:val="zh-CN"/>
        </w:rPr>
        <w:t>投标函</w:t>
      </w:r>
    </w:p>
    <w:p>
      <w:pPr>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致：</w:t>
      </w:r>
      <w:r>
        <w:rPr>
          <w:rFonts w:hint="eastAsia" w:ascii="宋体" w:hAnsi="宋体" w:cs="宋体"/>
          <w:color w:val="auto"/>
          <w:sz w:val="22"/>
          <w:szCs w:val="22"/>
          <w:highlight w:val="none"/>
          <w:lang w:eastAsia="zh-CN"/>
        </w:rPr>
        <w:t>温州市中医院</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项目（招标编号：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（投标人名称）作为投标人正式授权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（授权代表全名，职务）代表我方处理有关本投标的一切事宜。为此：</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1、我方同意在投标人</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规定的开标日期起遵守本投标书中的承诺且在投标有效期满之前均具有约束力。</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2、我方承诺已经具备《中华人民共和国政府采购法》中规定的参加政府采购活动的供应商应当具备的条件：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(1)具有独立承担民事责任的能力；</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(2)遵守国家法律、行政法规，具有良好的信誉和商业道德；</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(3)具有履行合同的能力和良好的履行合同记录；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(4)良好的资金、财务状况；</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(5)提供的产品和服务符合中国政府规定的相应标准和环保标准；</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(6)没有违反政府采购法规、政策的记录；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(7)没有发生重大经济纠纷和走私犯罪记录。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3、提供</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规定的全部投标文件，包括资格文件、报价文件、商务技术文件。具体内容为：</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(1)资格文件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(2)报价文件；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商务</w:t>
      </w:r>
      <w:r>
        <w:rPr>
          <w:rFonts w:hint="eastAsia" w:ascii="宋体" w:hAnsi="宋体" w:eastAsia="宋体" w:cs="宋体"/>
          <w:color w:val="auto"/>
          <w:kern w:val="0"/>
          <w:sz w:val="22"/>
          <w:szCs w:val="22"/>
          <w:highlight w:val="none"/>
          <w:lang w:val="zh-CN"/>
        </w:rPr>
        <w:t>技术文件</w:t>
      </w:r>
      <w:r>
        <w:rPr>
          <w:rFonts w:hint="eastAsia" w:ascii="宋体" w:hAnsi="宋体" w:eastAsia="宋体" w:cs="宋体"/>
          <w:color w:val="auto"/>
          <w:sz w:val="22"/>
          <w:szCs w:val="22"/>
          <w:highlight w:val="none"/>
        </w:rPr>
        <w:t>；</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要求投标人提交的全部文件；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(5)按招标文件要求提供和交付的货物和服务的投标报价详见开标一览表；</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(6)保证忠实地执行双方所签订的合同，并承担合同规定的责任和义务；</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(7)保证遵守招标文件中的其他有关规定。</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4、投标有效期内不撤销投标文件，如中标，有效期将延至合同终止日为止。</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5、我方完全理解贵方不一定要接受最低价的投标。</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7、如中标，按招标文件规定的招标代理服务费标准，在领取中标通知书时向招标代理机构支付招标代理服务费。</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(1)提供虚假材料谋取中标、成交的；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(2)采取不正当手段诋毁、排挤其他供应商的；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(3)与招标人、其它供应商或者招标代理机构恶意串通的；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(4)向招标人、招标代理机构行贿或者提供其他不正当利益的；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(5)在招标采购过程中与招标人进行协商谈判的；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(6)拒绝有关部门监督检查或提供虚假情况的。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供应商有前款第(1)至(5)项情形之一的，中标、成交无效。</w:t>
      </w:r>
    </w:p>
    <w:p>
      <w:pPr>
        <w:shd w:val="clear" w:color="auto" w:fill="FFFFFF"/>
        <w:snapToGrid w:val="0"/>
        <w:spacing w:line="360" w:lineRule="auto"/>
        <w:rPr>
          <w:rFonts w:hint="eastAsia" w:ascii="宋体" w:hAnsi="宋体" w:eastAsia="宋体" w:cs="宋体"/>
          <w:color w:val="auto"/>
          <w:kern w:val="0"/>
          <w:sz w:val="22"/>
          <w:szCs w:val="22"/>
          <w:highlight w:val="none"/>
          <w:lang w:val="zh-CN"/>
        </w:rPr>
      </w:pP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法定（授权）代表人（签字）：</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lang w:val="zh-CN"/>
        </w:rPr>
      </w:pPr>
      <w:r>
        <w:rPr>
          <w:rFonts w:hint="eastAsia" w:ascii="宋体" w:hAnsi="宋体" w:eastAsia="宋体" w:cs="宋体"/>
          <w:color w:val="auto"/>
          <w:kern w:val="0"/>
          <w:sz w:val="22"/>
          <w:szCs w:val="22"/>
          <w:highlight w:val="none"/>
          <w:lang w:val="zh-CN"/>
        </w:rPr>
        <w:t>投标人盖 章：</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 xml:space="preserve">联系电话：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传真：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电子邮件：  </w:t>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联系地址：</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邮政编码：</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传真号码：</w:t>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lang w:val="zh-CN"/>
        </w:rPr>
        <w:t>日</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期</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val="zh-CN"/>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rPr>
        <w:tab/>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日</w:t>
      </w:r>
    </w:p>
    <w:p>
      <w:pPr>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zh-CN"/>
        </w:rPr>
        <w:t>注：未按照本投标响应函要求填报的将被视为非实质性响应，从而可能导致该投标文件被拒绝。</w:t>
      </w:r>
    </w:p>
    <w:p>
      <w:pPr>
        <w:pStyle w:val="23"/>
        <w:ind w:left="442" w:hanging="442"/>
        <w:rPr>
          <w:rFonts w:hint="eastAsia" w:ascii="宋体" w:hAnsi="宋体" w:eastAsia="宋体" w:cs="宋体"/>
          <w:b/>
          <w:bCs/>
          <w:color w:val="auto"/>
          <w:sz w:val="22"/>
          <w:szCs w:val="22"/>
          <w:highlight w:val="none"/>
        </w:rPr>
      </w:pPr>
    </w:p>
    <w:p>
      <w:pPr>
        <w:pStyle w:val="23"/>
        <w:ind w:left="442" w:hanging="442"/>
        <w:rPr>
          <w:rFonts w:hint="eastAsia" w:ascii="宋体" w:hAnsi="宋体" w:eastAsia="宋体" w:cs="宋体"/>
          <w:b/>
          <w:bCs/>
          <w:color w:val="auto"/>
          <w:sz w:val="22"/>
          <w:szCs w:val="22"/>
          <w:highlight w:val="none"/>
        </w:rPr>
      </w:pPr>
    </w:p>
    <w:p>
      <w:pPr>
        <w:pStyle w:val="23"/>
        <w:ind w:left="442" w:hanging="442"/>
        <w:rPr>
          <w:rFonts w:hint="eastAsia" w:ascii="宋体" w:hAnsi="宋体" w:eastAsia="宋体" w:cs="宋体"/>
          <w:b/>
          <w:bCs/>
          <w:color w:val="auto"/>
          <w:sz w:val="22"/>
          <w:szCs w:val="22"/>
          <w:highlight w:val="none"/>
        </w:rPr>
      </w:pPr>
    </w:p>
    <w:p>
      <w:pPr>
        <w:pStyle w:val="23"/>
        <w:ind w:left="442" w:hanging="442"/>
        <w:rPr>
          <w:rFonts w:hint="eastAsia" w:ascii="宋体" w:hAnsi="宋体" w:eastAsia="宋体" w:cs="宋体"/>
          <w:b/>
          <w:bCs/>
          <w:color w:val="auto"/>
          <w:sz w:val="22"/>
          <w:szCs w:val="22"/>
          <w:highlight w:val="none"/>
        </w:rPr>
      </w:pPr>
    </w:p>
    <w:p>
      <w:pPr>
        <w:pStyle w:val="23"/>
        <w:ind w:left="442" w:hanging="442"/>
        <w:rPr>
          <w:rFonts w:hint="eastAsia" w:ascii="宋体" w:hAnsi="宋体" w:eastAsia="宋体" w:cs="宋体"/>
          <w:b/>
          <w:bCs/>
          <w:color w:val="auto"/>
          <w:sz w:val="22"/>
          <w:szCs w:val="22"/>
          <w:highlight w:val="none"/>
        </w:rPr>
      </w:pPr>
    </w:p>
    <w:p>
      <w:pPr>
        <w:pStyle w:val="23"/>
        <w:ind w:left="442" w:hanging="442"/>
        <w:rPr>
          <w:rFonts w:hint="eastAsia" w:ascii="宋体" w:hAnsi="宋体" w:eastAsia="宋体" w:cs="宋体"/>
          <w:b/>
          <w:bCs/>
          <w:color w:val="auto"/>
          <w:sz w:val="22"/>
          <w:szCs w:val="22"/>
          <w:highlight w:val="none"/>
        </w:rPr>
      </w:pPr>
    </w:p>
    <w:p>
      <w:pPr>
        <w:pStyle w:val="23"/>
        <w:ind w:left="442" w:hanging="442"/>
        <w:rPr>
          <w:rFonts w:hint="eastAsia" w:ascii="宋体" w:hAnsi="宋体" w:eastAsia="宋体" w:cs="宋体"/>
          <w:b/>
          <w:bCs/>
          <w:color w:val="auto"/>
          <w:sz w:val="22"/>
          <w:szCs w:val="22"/>
          <w:highlight w:val="none"/>
        </w:rPr>
      </w:pPr>
    </w:p>
    <w:p>
      <w:pPr>
        <w:pStyle w:val="23"/>
        <w:ind w:left="442" w:hanging="442"/>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pPr>
        <w:pStyle w:val="23"/>
        <w:ind w:left="0" w:firstLine="0" w:firstLineChars="0"/>
        <w:rPr>
          <w:rFonts w:hint="eastAsia" w:ascii="宋体" w:hAnsi="宋体" w:eastAsia="宋体" w:cs="宋体"/>
          <w:b/>
          <w:bCs/>
          <w:color w:val="auto"/>
          <w:sz w:val="22"/>
          <w:szCs w:val="22"/>
          <w:highlight w:val="none"/>
        </w:rPr>
      </w:pPr>
    </w:p>
    <w:p>
      <w:pPr>
        <w:pStyle w:val="23"/>
        <w:ind w:left="0" w:firstLine="0" w:firstLineChars="0"/>
        <w:rPr>
          <w:rFonts w:hint="eastAsia" w:ascii="宋体" w:hAnsi="宋体" w:eastAsia="宋体" w:cs="宋体"/>
          <w:b/>
          <w:bCs/>
          <w:color w:val="auto"/>
          <w:sz w:val="22"/>
          <w:szCs w:val="22"/>
          <w:highlight w:val="none"/>
        </w:rPr>
      </w:pPr>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lang w:val="zh-CN"/>
        </w:rPr>
        <w:t>投标报价一览表</w:t>
      </w:r>
    </w:p>
    <w:p>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pPr>
        <w:spacing w:line="380" w:lineRule="exact"/>
        <w:rPr>
          <w:rFonts w:hint="eastAsia" w:ascii="宋体" w:hAnsi="宋体" w:eastAsia="宋体" w:cs="宋体"/>
          <w:b/>
          <w:color w:val="auto"/>
          <w:sz w:val="22"/>
          <w:highlight w:val="none"/>
        </w:rPr>
      </w:pPr>
      <w:r>
        <w:rPr>
          <w:rFonts w:hint="eastAsia" w:ascii="宋体" w:hAnsi="宋体" w:eastAsia="宋体" w:cs="宋体"/>
          <w:b/>
          <w:bCs/>
          <w:color w:val="auto"/>
          <w:sz w:val="22"/>
          <w:szCs w:val="22"/>
          <w:highlight w:val="none"/>
        </w:rPr>
        <w:t>项目名称：                                         项目编号：</w:t>
      </w:r>
    </w:p>
    <w:tbl>
      <w:tblPr>
        <w:tblStyle w:val="53"/>
        <w:tblW w:w="9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820"/>
        <w:gridCol w:w="5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00" w:type="dxa"/>
            <w:vAlign w:val="center"/>
          </w:tcPr>
          <w:p>
            <w:pPr>
              <w:spacing w:line="380" w:lineRule="exact"/>
              <w:jc w:val="center"/>
              <w:rPr>
                <w:rFonts w:hint="eastAsia" w:ascii="宋体" w:hAnsi="宋体" w:eastAsia="宋体" w:cs="宋体"/>
                <w:b/>
                <w:bCs/>
                <w:color w:val="auto"/>
                <w:sz w:val="22"/>
                <w:highlight w:val="none"/>
                <w:lang w:eastAsia="zh-CN"/>
              </w:rPr>
            </w:pPr>
            <w:r>
              <w:rPr>
                <w:rFonts w:hint="eastAsia" w:ascii="宋体" w:hAnsi="宋体" w:cs="宋体"/>
                <w:b/>
                <w:bCs/>
                <w:color w:val="auto"/>
                <w:sz w:val="22"/>
                <w:highlight w:val="none"/>
                <w:lang w:val="en-US" w:eastAsia="zh-CN"/>
              </w:rPr>
              <w:t>标项</w:t>
            </w:r>
          </w:p>
        </w:tc>
        <w:tc>
          <w:tcPr>
            <w:tcW w:w="3820" w:type="dxa"/>
            <w:vAlign w:val="center"/>
          </w:tcPr>
          <w:p>
            <w:pPr>
              <w:spacing w:line="38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szCs w:val="22"/>
                <w:highlight w:val="none"/>
              </w:rPr>
              <w:t>名称</w:t>
            </w:r>
          </w:p>
        </w:tc>
        <w:tc>
          <w:tcPr>
            <w:tcW w:w="5136" w:type="dxa"/>
            <w:vAlign w:val="center"/>
          </w:tcPr>
          <w:p>
            <w:pPr>
              <w:tabs>
                <w:tab w:val="left" w:pos="360"/>
              </w:tabs>
              <w:spacing w:line="460" w:lineRule="exact"/>
              <w:jc w:val="center"/>
              <w:rPr>
                <w:rFonts w:hint="eastAsia" w:ascii="宋体" w:hAnsi="宋体" w:eastAsia="新宋体" w:cs="宋体"/>
                <w:b/>
                <w:bCs/>
                <w:color w:val="auto"/>
                <w:sz w:val="22"/>
                <w:highlight w:val="none"/>
                <w:lang w:val="en-US" w:eastAsia="zh-CN"/>
              </w:rPr>
            </w:pPr>
            <w:r>
              <w:rPr>
                <w:rFonts w:hint="eastAsia" w:ascii="新宋体" w:hAnsi="新宋体" w:eastAsia="新宋体" w:cs="新宋体"/>
                <w:b/>
                <w:bCs/>
                <w:color w:val="000000" w:themeColor="text1"/>
                <w:sz w:val="22"/>
                <w:szCs w:val="22"/>
                <w:lang w:val="en-US" w:eastAsia="zh-CN"/>
                <w14:textFill>
                  <w14:solidFill>
                    <w14:schemeClr w14:val="tx1"/>
                  </w14:solidFill>
                </w14:textFill>
              </w:rPr>
              <w:t>报价（人民币/元）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900" w:type="dxa"/>
            <w:vMerge w:val="restart"/>
            <w:vAlign w:val="center"/>
          </w:tcPr>
          <w:p>
            <w:pPr>
              <w:spacing w:line="380" w:lineRule="exact"/>
              <w:jc w:val="center"/>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1</w:t>
            </w:r>
          </w:p>
        </w:tc>
        <w:tc>
          <w:tcPr>
            <w:tcW w:w="3820" w:type="dxa"/>
            <w:vAlign w:val="center"/>
          </w:tcPr>
          <w:p>
            <w:pPr>
              <w:pStyle w:val="30"/>
              <w:keepNext w:val="0"/>
              <w:keepLines w:val="0"/>
              <w:pageBreakBefore w:val="0"/>
              <w:kinsoku/>
              <w:wordWrap/>
              <w:topLinePunct w:val="0"/>
              <w:bidi w:val="0"/>
              <w:snapToGrid w:val="0"/>
              <w:spacing w:line="460" w:lineRule="exact"/>
              <w:jc w:val="center"/>
              <w:rPr>
                <w:rFonts w:hint="eastAsia" w:ascii="宋体" w:hAnsi="宋体" w:eastAsia="宋体" w:cs="宋体"/>
                <w:color w:val="auto"/>
                <w:sz w:val="22"/>
                <w:highlight w:val="none"/>
                <w:lang w:eastAsia="zh-CN"/>
              </w:rPr>
            </w:pPr>
            <w:r>
              <w:rPr>
                <w:rFonts w:hint="eastAsia" w:ascii="新宋体" w:hAnsi="新宋体" w:eastAsia="新宋体"/>
                <w:b w:val="0"/>
                <w:bCs/>
                <w:kern w:val="2"/>
                <w:sz w:val="22"/>
                <w:szCs w:val="22"/>
              </w:rPr>
              <w:t>全自动血型仪检测系统耗材（试剂）及配套设备租赁</w:t>
            </w:r>
          </w:p>
        </w:tc>
        <w:tc>
          <w:tcPr>
            <w:tcW w:w="5136" w:type="dxa"/>
            <w:vAlign w:val="center"/>
          </w:tcPr>
          <w:p>
            <w:pPr>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p>
          <w:p>
            <w:pPr>
              <w:tabs>
                <w:tab w:val="left" w:pos="360"/>
              </w:tabs>
              <w:spacing w:line="460" w:lineRule="exact"/>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900" w:type="dxa"/>
            <w:vMerge w:val="continue"/>
            <w:vAlign w:val="center"/>
          </w:tcPr>
          <w:p>
            <w:pPr>
              <w:spacing w:line="380" w:lineRule="exact"/>
              <w:jc w:val="center"/>
              <w:rPr>
                <w:rFonts w:hint="eastAsia" w:ascii="宋体" w:hAnsi="宋体" w:eastAsia="宋体" w:cs="宋体"/>
                <w:color w:val="auto"/>
                <w:sz w:val="22"/>
                <w:highlight w:val="none"/>
                <w:lang w:val="en-US" w:eastAsia="zh-CN"/>
              </w:rPr>
            </w:pPr>
          </w:p>
        </w:tc>
        <w:tc>
          <w:tcPr>
            <w:tcW w:w="3820" w:type="dxa"/>
            <w:vAlign w:val="center"/>
          </w:tcPr>
          <w:p>
            <w:pPr>
              <w:pStyle w:val="30"/>
              <w:keepNext w:val="0"/>
              <w:keepLines w:val="0"/>
              <w:pageBreakBefore w:val="0"/>
              <w:kinsoku/>
              <w:wordWrap/>
              <w:topLinePunct w:val="0"/>
              <w:bidi w:val="0"/>
              <w:snapToGrid w:val="0"/>
              <w:spacing w:line="460" w:lineRule="exact"/>
              <w:jc w:val="center"/>
              <w:rPr>
                <w:rFonts w:hint="eastAsia" w:ascii="宋体" w:hAnsi="宋体" w:eastAsia="宋体" w:cs="宋体"/>
                <w:color w:val="auto"/>
                <w:sz w:val="22"/>
                <w:highlight w:val="none"/>
              </w:rPr>
            </w:pPr>
            <w:r>
              <w:rPr>
                <w:rFonts w:hint="eastAsia" w:ascii="新宋体" w:hAnsi="新宋体" w:eastAsia="新宋体"/>
                <w:b w:val="0"/>
                <w:bCs/>
                <w:kern w:val="2"/>
                <w:sz w:val="22"/>
                <w:szCs w:val="22"/>
              </w:rPr>
              <w:t>全自动血型仪检测系统耗材（试剂）</w:t>
            </w:r>
          </w:p>
        </w:tc>
        <w:tc>
          <w:tcPr>
            <w:tcW w:w="5136" w:type="dxa"/>
            <w:vAlign w:val="center"/>
          </w:tcPr>
          <w:p>
            <w:pPr>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p>
          <w:p>
            <w:pPr>
              <w:tabs>
                <w:tab w:val="left" w:pos="360"/>
              </w:tabs>
              <w:spacing w:line="460" w:lineRule="exact"/>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720" w:type="dxa"/>
            <w:gridSpan w:val="2"/>
            <w:vAlign w:val="center"/>
          </w:tcPr>
          <w:p>
            <w:pPr>
              <w:spacing w:line="380" w:lineRule="exact"/>
              <w:jc w:val="center"/>
              <w:rPr>
                <w:rFonts w:hint="eastAsia" w:ascii="宋体" w:hAnsi="宋体" w:eastAsia="宋体" w:cs="宋体"/>
                <w:b/>
                <w:bCs/>
                <w:color w:val="auto"/>
                <w:sz w:val="22"/>
                <w:highlight w:val="none"/>
                <w:lang w:val="en-US" w:eastAsia="zh-CN"/>
              </w:rPr>
            </w:pPr>
            <w:r>
              <w:rPr>
                <w:rFonts w:hint="eastAsia" w:ascii="宋体" w:hAnsi="宋体" w:cs="宋体"/>
                <w:b/>
                <w:bCs/>
                <w:color w:val="auto"/>
                <w:sz w:val="22"/>
                <w:highlight w:val="none"/>
                <w:lang w:val="en-US" w:eastAsia="zh-CN"/>
              </w:rPr>
              <w:t>总报价</w:t>
            </w:r>
            <w:r>
              <w:rPr>
                <w:rFonts w:hint="eastAsia" w:ascii="新宋体" w:hAnsi="新宋体" w:eastAsia="新宋体" w:cs="新宋体"/>
                <w:b/>
                <w:bCs/>
                <w:color w:val="000000"/>
                <w:sz w:val="22"/>
                <w:szCs w:val="22"/>
                <w:highlight w:val="none"/>
              </w:rPr>
              <w:t>（以上各报价之和）</w:t>
            </w:r>
          </w:p>
        </w:tc>
        <w:tc>
          <w:tcPr>
            <w:tcW w:w="5136" w:type="dxa"/>
            <w:vAlign w:val="center"/>
          </w:tcPr>
          <w:p>
            <w:pPr>
              <w:spacing w:line="360" w:lineRule="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大写：</w:t>
            </w:r>
          </w:p>
          <w:p>
            <w:pPr>
              <w:spacing w:line="360" w:lineRule="auto"/>
              <w:jc w:val="both"/>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小写：</w:t>
            </w:r>
          </w:p>
        </w:tc>
      </w:tr>
    </w:tbl>
    <w:p>
      <w:pPr>
        <w:spacing w:line="400" w:lineRule="exact"/>
        <w:ind w:firstLine="541" w:firstLineChars="245"/>
        <w:rPr>
          <w:rFonts w:hint="eastAsia" w:ascii="宋体" w:hAnsi="宋体" w:eastAsia="宋体" w:cs="宋体"/>
          <w:b/>
          <w:color w:val="auto"/>
          <w:sz w:val="22"/>
          <w:highlight w:val="none"/>
        </w:rPr>
      </w:pPr>
    </w:p>
    <w:p>
      <w:pPr>
        <w:spacing w:line="40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pPr>
        <w:numPr>
          <w:ilvl w:val="0"/>
          <w:numId w:val="6"/>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此栏投标报价应与“3、投标分项报价表”中的总计价相一致。</w:t>
      </w:r>
    </w:p>
    <w:p>
      <w:pPr>
        <w:numPr>
          <w:ilvl w:val="0"/>
          <w:numId w:val="6"/>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不提供此表格将被视为没有实质性响应招标文件</w:t>
      </w:r>
    </w:p>
    <w:p>
      <w:pPr>
        <w:spacing w:line="400" w:lineRule="exact"/>
        <w:jc w:val="center"/>
        <w:rPr>
          <w:rFonts w:hint="eastAsia" w:ascii="宋体" w:hAnsi="宋体" w:eastAsia="宋体" w:cs="宋体"/>
          <w:color w:val="auto"/>
          <w:sz w:val="22"/>
          <w:szCs w:val="22"/>
          <w:highlight w:val="none"/>
        </w:rPr>
      </w:pPr>
    </w:p>
    <w:p>
      <w:pPr>
        <w:spacing w:line="400" w:lineRule="exact"/>
        <w:jc w:val="center"/>
        <w:rPr>
          <w:rFonts w:hint="eastAsia" w:ascii="宋体" w:hAnsi="宋体" w:eastAsia="宋体" w:cs="宋体"/>
          <w:color w:val="auto"/>
          <w:sz w:val="22"/>
          <w:szCs w:val="22"/>
          <w:highlight w:val="none"/>
        </w:rPr>
      </w:pP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3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pPr>
        <w:pStyle w:val="24"/>
        <w:ind w:left="860" w:hanging="440"/>
        <w:rPr>
          <w:rFonts w:hint="eastAsia" w:ascii="宋体" w:hAnsi="宋体" w:eastAsia="宋体" w:cs="宋体"/>
          <w:color w:val="auto"/>
          <w:sz w:val="22"/>
          <w:szCs w:val="22"/>
          <w:highlight w:val="none"/>
        </w:rPr>
      </w:pPr>
    </w:p>
    <w:p>
      <w:pPr>
        <w:pStyle w:val="24"/>
        <w:ind w:left="860" w:hanging="440"/>
        <w:rPr>
          <w:rFonts w:hint="eastAsia" w:ascii="宋体" w:hAnsi="宋体" w:eastAsia="宋体" w:cs="宋体"/>
          <w:color w:val="auto"/>
          <w:sz w:val="22"/>
          <w:szCs w:val="22"/>
          <w:highlight w:val="none"/>
        </w:rPr>
      </w:pPr>
    </w:p>
    <w:p>
      <w:pPr>
        <w:pStyle w:val="24"/>
        <w:ind w:left="860" w:hanging="440"/>
        <w:rPr>
          <w:rFonts w:hint="eastAsia" w:ascii="宋体" w:hAnsi="宋体" w:eastAsia="宋体" w:cs="宋体"/>
          <w:color w:val="auto"/>
          <w:sz w:val="22"/>
          <w:szCs w:val="22"/>
          <w:highlight w:val="none"/>
        </w:rPr>
      </w:pPr>
    </w:p>
    <w:p>
      <w:pPr>
        <w:pStyle w:val="24"/>
        <w:ind w:left="860" w:hanging="440"/>
        <w:rPr>
          <w:rFonts w:hint="eastAsia" w:ascii="宋体" w:hAnsi="宋体" w:eastAsia="宋体" w:cs="宋体"/>
          <w:color w:val="auto"/>
          <w:sz w:val="22"/>
          <w:szCs w:val="22"/>
          <w:highlight w:val="none"/>
        </w:rPr>
      </w:pPr>
    </w:p>
    <w:p>
      <w:pPr>
        <w:pStyle w:val="24"/>
        <w:ind w:left="860" w:hanging="440"/>
        <w:rPr>
          <w:rFonts w:hint="eastAsia" w:ascii="宋体" w:hAnsi="宋体" w:eastAsia="宋体" w:cs="宋体"/>
          <w:color w:val="auto"/>
          <w:sz w:val="22"/>
          <w:szCs w:val="22"/>
          <w:highlight w:val="none"/>
        </w:rPr>
      </w:pPr>
    </w:p>
    <w:p>
      <w:pPr>
        <w:pStyle w:val="24"/>
        <w:ind w:left="860" w:hanging="440"/>
        <w:rPr>
          <w:rFonts w:hint="eastAsia" w:ascii="宋体" w:hAnsi="宋体" w:eastAsia="宋体" w:cs="宋体"/>
          <w:color w:val="auto"/>
          <w:sz w:val="22"/>
          <w:szCs w:val="22"/>
          <w:highlight w:val="none"/>
        </w:rPr>
      </w:pPr>
    </w:p>
    <w:p>
      <w:pPr>
        <w:pStyle w:val="24"/>
        <w:ind w:left="860" w:hanging="440"/>
        <w:rPr>
          <w:rFonts w:hint="eastAsia" w:ascii="宋体" w:hAnsi="宋体" w:eastAsia="宋体" w:cs="宋体"/>
          <w:color w:val="auto"/>
          <w:sz w:val="22"/>
          <w:szCs w:val="22"/>
          <w:highlight w:val="none"/>
        </w:rPr>
      </w:pPr>
    </w:p>
    <w:p>
      <w:pPr>
        <w:pStyle w:val="24"/>
        <w:ind w:left="860" w:hanging="440"/>
        <w:rPr>
          <w:rFonts w:hint="eastAsia" w:ascii="宋体" w:hAnsi="宋体" w:eastAsia="宋体" w:cs="宋体"/>
          <w:color w:val="auto"/>
          <w:sz w:val="22"/>
          <w:szCs w:val="22"/>
          <w:highlight w:val="none"/>
        </w:rPr>
      </w:pPr>
    </w:p>
    <w:p>
      <w:pPr>
        <w:pStyle w:val="24"/>
        <w:ind w:left="860" w:hanging="440"/>
        <w:rPr>
          <w:rFonts w:hint="eastAsia" w:ascii="宋体" w:hAnsi="宋体" w:eastAsia="宋体" w:cs="宋体"/>
          <w:color w:val="auto"/>
          <w:sz w:val="22"/>
          <w:szCs w:val="22"/>
          <w:highlight w:val="none"/>
        </w:rPr>
      </w:pPr>
    </w:p>
    <w:p>
      <w:pPr>
        <w:pStyle w:val="24"/>
        <w:ind w:left="860" w:hanging="440"/>
        <w:rPr>
          <w:rFonts w:hint="eastAsia" w:ascii="宋体" w:hAnsi="宋体" w:eastAsia="宋体" w:cs="宋体"/>
          <w:color w:val="auto"/>
          <w:sz w:val="22"/>
          <w:szCs w:val="22"/>
          <w:highlight w:val="none"/>
        </w:rPr>
      </w:pPr>
    </w:p>
    <w:p>
      <w:pPr>
        <w:pStyle w:val="24"/>
        <w:ind w:left="860" w:hanging="440"/>
        <w:rPr>
          <w:rFonts w:hint="eastAsia" w:ascii="宋体" w:hAnsi="宋体" w:eastAsia="宋体" w:cs="宋体"/>
          <w:color w:val="auto"/>
          <w:sz w:val="22"/>
          <w:szCs w:val="22"/>
          <w:highlight w:val="none"/>
        </w:rPr>
      </w:pPr>
    </w:p>
    <w:p>
      <w:pPr>
        <w:pStyle w:val="24"/>
        <w:ind w:left="860" w:hanging="440"/>
        <w:rPr>
          <w:rFonts w:hint="eastAsia" w:ascii="宋体" w:hAnsi="宋体" w:eastAsia="宋体" w:cs="宋体"/>
          <w:color w:val="auto"/>
          <w:sz w:val="22"/>
          <w:szCs w:val="22"/>
          <w:highlight w:val="none"/>
        </w:rPr>
      </w:pPr>
    </w:p>
    <w:p>
      <w:pPr>
        <w:pStyle w:val="24"/>
        <w:ind w:left="860" w:hanging="440"/>
        <w:rPr>
          <w:rFonts w:hint="eastAsia" w:ascii="宋体" w:hAnsi="宋体" w:eastAsia="宋体" w:cs="宋体"/>
          <w:color w:val="auto"/>
          <w:sz w:val="22"/>
          <w:szCs w:val="22"/>
          <w:highlight w:val="none"/>
        </w:rPr>
      </w:pPr>
    </w:p>
    <w:p>
      <w:pP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br w:type="page"/>
      </w:r>
    </w:p>
    <w:p>
      <w:pPr>
        <w:spacing w:line="400" w:lineRule="exact"/>
        <w:jc w:val="center"/>
        <w:outlineLvl w:val="3"/>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3、分项报价表</w:t>
      </w:r>
    </w:p>
    <w:p>
      <w:pPr>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5"/>
        <w:gridCol w:w="1477"/>
        <w:gridCol w:w="1570"/>
        <w:gridCol w:w="708"/>
        <w:gridCol w:w="1419"/>
        <w:gridCol w:w="1227"/>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项目</w:t>
            </w:r>
          </w:p>
        </w:tc>
        <w:tc>
          <w:tcPr>
            <w:tcW w:w="16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货物名称</w:t>
            </w:r>
          </w:p>
        </w:tc>
        <w:tc>
          <w:tcPr>
            <w:tcW w:w="147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品牌型号规格、产地</w:t>
            </w:r>
          </w:p>
        </w:tc>
        <w:tc>
          <w:tcPr>
            <w:tcW w:w="1570"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制造厂商名称</w:t>
            </w:r>
          </w:p>
        </w:tc>
        <w:tc>
          <w:tcPr>
            <w:tcW w:w="708"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数量</w:t>
            </w:r>
          </w:p>
        </w:tc>
        <w:tc>
          <w:tcPr>
            <w:tcW w:w="1419"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出厂单价</w:t>
            </w:r>
          </w:p>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（含税）</w:t>
            </w:r>
          </w:p>
        </w:tc>
        <w:tc>
          <w:tcPr>
            <w:tcW w:w="122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总价</w:t>
            </w:r>
          </w:p>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（含税）</w:t>
            </w:r>
          </w:p>
        </w:tc>
        <w:tc>
          <w:tcPr>
            <w:tcW w:w="12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免费</w:t>
            </w:r>
          </w:p>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1</w:t>
            </w:r>
          </w:p>
        </w:tc>
        <w:tc>
          <w:tcPr>
            <w:tcW w:w="160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p>
        </w:tc>
        <w:tc>
          <w:tcPr>
            <w:tcW w:w="1477"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570"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708"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419"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2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2</w:t>
            </w:r>
          </w:p>
        </w:tc>
        <w:tc>
          <w:tcPr>
            <w:tcW w:w="160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p>
        </w:tc>
        <w:tc>
          <w:tcPr>
            <w:tcW w:w="1477"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570"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708"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419"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2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3</w:t>
            </w:r>
          </w:p>
        </w:tc>
        <w:tc>
          <w:tcPr>
            <w:tcW w:w="160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p>
        </w:tc>
        <w:tc>
          <w:tcPr>
            <w:tcW w:w="1477"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570"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708"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419"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2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4</w:t>
            </w:r>
          </w:p>
        </w:tc>
        <w:tc>
          <w:tcPr>
            <w:tcW w:w="160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p>
        </w:tc>
        <w:tc>
          <w:tcPr>
            <w:tcW w:w="1477"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570"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708"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419"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2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5</w:t>
            </w:r>
          </w:p>
        </w:tc>
        <w:tc>
          <w:tcPr>
            <w:tcW w:w="160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p>
        </w:tc>
        <w:tc>
          <w:tcPr>
            <w:tcW w:w="1477"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570"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708"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419"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2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6</w:t>
            </w:r>
          </w:p>
        </w:tc>
        <w:tc>
          <w:tcPr>
            <w:tcW w:w="160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p>
        </w:tc>
        <w:tc>
          <w:tcPr>
            <w:tcW w:w="1477"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570"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708"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419"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2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widowControl/>
              <w:spacing w:line="460" w:lineRule="exact"/>
              <w:jc w:val="center"/>
              <w:textAlignment w:val="center"/>
              <w:rPr>
                <w:rFonts w:hint="eastAsia" w:ascii="新宋体" w:hAnsi="新宋体" w:eastAsia="新宋体" w:cs="新宋体"/>
                <w:color w:val="000000"/>
                <w:kern w:val="0"/>
                <w:sz w:val="22"/>
                <w:szCs w:val="22"/>
                <w:highlight w:val="none"/>
                <w:lang w:bidi="ar"/>
              </w:rPr>
            </w:pPr>
          </w:p>
        </w:tc>
        <w:tc>
          <w:tcPr>
            <w:tcW w:w="1605" w:type="dxa"/>
            <w:noWrap w:val="0"/>
            <w:vAlign w:val="center"/>
          </w:tcPr>
          <w:p>
            <w:pPr>
              <w:widowControl/>
              <w:spacing w:line="460" w:lineRule="exact"/>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 ...</w:t>
            </w:r>
          </w:p>
        </w:tc>
        <w:tc>
          <w:tcPr>
            <w:tcW w:w="1477"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570"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708"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419"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2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3707" w:type="dxa"/>
            <w:gridSpan w:val="3"/>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运杂及保险费（含卸货）</w:t>
            </w:r>
          </w:p>
        </w:tc>
        <w:tc>
          <w:tcPr>
            <w:tcW w:w="6129" w:type="dxa"/>
            <w:gridSpan w:val="5"/>
            <w:noWrap w:val="0"/>
            <w:vAlign w:val="top"/>
          </w:tcPr>
          <w:p>
            <w:pPr>
              <w:spacing w:line="46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3707" w:type="dxa"/>
            <w:gridSpan w:val="3"/>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安装调试费（包括设备的测试、调试、验收等费用）</w:t>
            </w:r>
          </w:p>
        </w:tc>
        <w:tc>
          <w:tcPr>
            <w:tcW w:w="6129" w:type="dxa"/>
            <w:gridSpan w:val="5"/>
            <w:noWrap w:val="0"/>
            <w:vAlign w:val="top"/>
          </w:tcPr>
          <w:p>
            <w:pPr>
              <w:spacing w:line="46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3707" w:type="dxa"/>
            <w:gridSpan w:val="3"/>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培训费、技术服务费、售后服务费等</w:t>
            </w:r>
          </w:p>
        </w:tc>
        <w:tc>
          <w:tcPr>
            <w:tcW w:w="6129" w:type="dxa"/>
            <w:gridSpan w:val="5"/>
            <w:noWrap w:val="0"/>
            <w:vAlign w:val="top"/>
          </w:tcPr>
          <w:p>
            <w:pPr>
              <w:spacing w:line="46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3707" w:type="dxa"/>
            <w:gridSpan w:val="3"/>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税金</w:t>
            </w:r>
          </w:p>
        </w:tc>
        <w:tc>
          <w:tcPr>
            <w:tcW w:w="6129" w:type="dxa"/>
            <w:gridSpan w:val="5"/>
            <w:noWrap w:val="0"/>
            <w:vAlign w:val="top"/>
          </w:tcPr>
          <w:p>
            <w:pPr>
              <w:spacing w:line="46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总计价</w:t>
            </w:r>
          </w:p>
        </w:tc>
        <w:tc>
          <w:tcPr>
            <w:tcW w:w="6129" w:type="dxa"/>
            <w:gridSpan w:val="5"/>
            <w:noWrap w:val="0"/>
            <w:vAlign w:val="top"/>
          </w:tcPr>
          <w:p>
            <w:pPr>
              <w:spacing w:line="460" w:lineRule="exact"/>
              <w:rPr>
                <w:rFonts w:hint="eastAsia" w:ascii="新宋体" w:hAnsi="新宋体" w:eastAsia="新宋体" w:cs="新宋体"/>
                <w:color w:val="000000"/>
                <w:sz w:val="22"/>
                <w:szCs w:val="22"/>
                <w:highlight w:val="none"/>
              </w:rPr>
            </w:pPr>
          </w:p>
        </w:tc>
      </w:tr>
    </w:tbl>
    <w:p>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 xml:space="preserve">说明： </w:t>
      </w:r>
      <w:r>
        <w:rPr>
          <w:rFonts w:hint="eastAsia" w:ascii="宋体" w:hAnsi="宋体" w:eastAsia="宋体" w:cs="宋体"/>
          <w:b/>
          <w:bCs/>
          <w:color w:val="auto"/>
          <w:sz w:val="22"/>
          <w:szCs w:val="22"/>
          <w:highlight w:val="none"/>
        </w:rPr>
        <w:t>1、此表总计价应与“2、报价一览表”中报价相一致。</w:t>
      </w:r>
    </w:p>
    <w:p>
      <w:pPr>
        <w:spacing w:line="380" w:lineRule="exact"/>
        <w:ind w:firstLine="755" w:firstLineChars="34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2、不提供详细分项报价将视为没有实质性响应</w:t>
      </w:r>
      <w:r>
        <w:rPr>
          <w:rFonts w:hint="eastAsia" w:ascii="宋体" w:hAnsi="宋体" w:eastAsia="宋体" w:cs="宋体"/>
          <w:b/>
          <w:bCs/>
          <w:color w:val="auto"/>
          <w:sz w:val="22"/>
          <w:szCs w:val="22"/>
          <w:highlight w:val="none"/>
          <w:lang w:val="en-US" w:eastAsia="zh-CN"/>
        </w:rPr>
        <w:t>招标</w:t>
      </w:r>
      <w:r>
        <w:rPr>
          <w:rFonts w:hint="eastAsia" w:ascii="宋体" w:hAnsi="宋体" w:eastAsia="宋体" w:cs="宋体"/>
          <w:b/>
          <w:bCs/>
          <w:color w:val="auto"/>
          <w:sz w:val="22"/>
          <w:szCs w:val="22"/>
          <w:highlight w:val="none"/>
        </w:rPr>
        <w:t>文件。</w:t>
      </w:r>
    </w:p>
    <w:p>
      <w:pPr>
        <w:spacing w:line="380" w:lineRule="exact"/>
        <w:ind w:firstLine="72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3、如果免费请在该项内容栏内注明“免”，如果含在产品价格中则填“含”，如无此项内容则填“无”。</w:t>
      </w:r>
    </w:p>
    <w:p>
      <w:pPr>
        <w:pStyle w:val="2"/>
        <w:rPr>
          <w:rFonts w:hint="eastAsia"/>
        </w:rPr>
      </w:pP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投标人全称（盖章）：</w:t>
      </w: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投标人代表（签字）：</w:t>
      </w:r>
    </w:p>
    <w:p>
      <w:pPr>
        <w:spacing w:line="3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日    期：</w:t>
      </w:r>
    </w:p>
    <w:p>
      <w:pPr>
        <w:outlineLvl w:val="9"/>
        <w:rPr>
          <w:rFonts w:hint="eastAsia" w:ascii="宋体" w:hAnsi="宋体" w:eastAsia="宋体" w:cs="宋体"/>
          <w:color w:val="auto"/>
          <w:sz w:val="22"/>
          <w:szCs w:val="22"/>
          <w:highlight w:val="none"/>
        </w:rPr>
      </w:pPr>
    </w:p>
    <w:p>
      <w:pPr>
        <w:outlineLvl w:val="9"/>
        <w:rPr>
          <w:rFonts w:hint="eastAsia" w:ascii="宋体" w:hAnsi="宋体" w:eastAsia="宋体" w:cs="宋体"/>
          <w:color w:val="auto"/>
          <w:sz w:val="22"/>
          <w:szCs w:val="22"/>
          <w:highlight w:val="none"/>
        </w:rPr>
      </w:pPr>
    </w:p>
    <w:p>
      <w:pPr>
        <w:outlineLvl w:val="9"/>
        <w:rPr>
          <w:rFonts w:hint="eastAsia" w:ascii="宋体" w:hAnsi="宋体" w:eastAsia="宋体" w:cs="宋体"/>
          <w:color w:val="auto"/>
          <w:sz w:val="22"/>
          <w:szCs w:val="22"/>
          <w:highlight w:val="none"/>
        </w:rPr>
      </w:pP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spacing w:line="420" w:lineRule="exact"/>
        <w:ind w:left="514" w:leftChars="245"/>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4、监狱企业的相关证明材料</w:t>
      </w:r>
    </w:p>
    <w:p>
      <w:pPr>
        <w:spacing w:line="460" w:lineRule="exact"/>
        <w:ind w:firstLine="571" w:firstLineChars="245"/>
        <w:rPr>
          <w:rFonts w:hint="eastAsia" w:ascii="宋体" w:hAnsi="宋体" w:eastAsia="宋体" w:cs="宋体"/>
          <w:b/>
          <w:bCs/>
          <w:color w:val="auto"/>
          <w:sz w:val="22"/>
          <w:szCs w:val="22"/>
          <w:highlight w:val="none"/>
          <w:u w:val="single"/>
          <w:lang w:val="zh-CN"/>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是监狱企业的按非监狱企业处理，所提供的证明材料应为最新的最近的</w:t>
      </w:r>
      <w:r>
        <w:rPr>
          <w:rFonts w:hint="eastAsia" w:ascii="宋体" w:hAnsi="宋体" w:eastAsia="宋体" w:cs="宋体"/>
          <w:b/>
          <w:bCs/>
          <w:color w:val="auto"/>
          <w:sz w:val="22"/>
          <w:szCs w:val="22"/>
          <w:highlight w:val="none"/>
          <w:u w:val="single"/>
          <w:lang w:val="zh-CN"/>
        </w:rPr>
        <w:t>。</w:t>
      </w: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color w:val="auto"/>
          <w:kern w:val="0"/>
          <w:sz w:val="22"/>
          <w:szCs w:val="22"/>
          <w:highlight w:val="none"/>
        </w:rPr>
      </w:pPr>
      <w:r>
        <w:rPr>
          <w:rFonts w:hint="eastAsia" w:ascii="宋体" w:hAnsi="宋体" w:eastAsia="宋体" w:cs="宋体"/>
          <w:b/>
          <w:color w:val="auto"/>
          <w:spacing w:val="6"/>
          <w:sz w:val="22"/>
          <w:szCs w:val="22"/>
          <w:highlight w:val="none"/>
        </w:rPr>
        <w:t>监狱企业声明函</w:t>
      </w:r>
    </w:p>
    <w:p>
      <w:pPr>
        <w:snapToGrid w:val="0"/>
        <w:spacing w:line="460" w:lineRule="exact"/>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【非监狱企业不用提供】</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本企业郑重声明，根据《关于政府采购支持监狱企业发展有关问题的通知》（财库[2014]68号）的规定，本企业为监狱企业。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根据上述标准，我企业属于监狱企业的理由为：</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本企业为参加（招标项目名称</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）（招标编号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）采购活动并承担本工程。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本企业对上述声明的真实性负责。如有虚假，将依法承担相应责任。  </w:t>
      </w:r>
    </w:p>
    <w:p>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 xml:space="preserve">                   </w:t>
      </w:r>
    </w:p>
    <w:p>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日期：    年    月   日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pPr>
        <w:adjustRightInd w:val="0"/>
        <w:snapToGrid w:val="0"/>
        <w:spacing w:line="460" w:lineRule="exact"/>
        <w:ind w:firstLine="464"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tabs>
          <w:tab w:val="left" w:pos="1620"/>
        </w:tabs>
        <w:spacing w:line="460" w:lineRule="exact"/>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5、中小企业的相关证明材料</w:t>
      </w:r>
    </w:p>
    <w:p>
      <w:pPr>
        <w:snapToGrid w:val="0"/>
        <w:spacing w:line="460" w:lineRule="exact"/>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w:t>
      </w:r>
      <w:r>
        <w:rPr>
          <w:rFonts w:hint="eastAsia" w:ascii="宋体" w:hAnsi="宋体" w:eastAsia="宋体" w:cs="宋体"/>
          <w:color w:val="auto"/>
          <w:spacing w:val="6"/>
          <w:sz w:val="22"/>
          <w:szCs w:val="22"/>
          <w:highlight w:val="none"/>
          <w:lang w:val="zh-CN"/>
        </w:rPr>
        <w:t>小型、微型</w:t>
      </w:r>
      <w:r>
        <w:rPr>
          <w:rFonts w:hint="eastAsia" w:ascii="宋体" w:hAnsi="宋体" w:eastAsia="宋体" w:cs="宋体"/>
          <w:color w:val="auto"/>
          <w:spacing w:val="6"/>
          <w:sz w:val="22"/>
          <w:szCs w:val="22"/>
          <w:highlight w:val="none"/>
        </w:rPr>
        <w:t>企业不用提供】</w:t>
      </w:r>
    </w:p>
    <w:p>
      <w:pPr>
        <w:spacing w:line="380" w:lineRule="exact"/>
        <w:rPr>
          <w:rFonts w:hint="eastAsia" w:ascii="宋体" w:hAnsi="宋体" w:eastAsia="宋体" w:cs="宋体"/>
          <w:color w:val="auto"/>
          <w:sz w:val="22"/>
          <w:szCs w:val="22"/>
          <w:highlight w:val="none"/>
        </w:rPr>
      </w:pPr>
    </w:p>
    <w:p>
      <w:pPr>
        <w:spacing w:line="460" w:lineRule="exact"/>
        <w:ind w:firstLine="539" w:firstLineChars="245"/>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根据《政府采购促进中小企业发展管理办法》（财库﹝2020﹞46号），对投标产品为小型或微型企业生产的，</w:t>
      </w:r>
      <w:r>
        <w:rPr>
          <w:rFonts w:hint="eastAsia" w:ascii="宋体" w:hAnsi="宋体" w:eastAsia="宋体" w:cs="宋体"/>
          <w:b/>
          <w:bCs/>
          <w:color w:val="auto"/>
          <w:sz w:val="22"/>
          <w:szCs w:val="22"/>
          <w:highlight w:val="none"/>
          <w:u w:val="single"/>
          <w:lang w:val="zh-CN"/>
        </w:rPr>
        <w:t>价格给予</w:t>
      </w:r>
      <w:r>
        <w:rPr>
          <w:rFonts w:hint="eastAsia" w:ascii="宋体" w:hAnsi="宋体" w:cs="宋体"/>
          <w:b/>
          <w:bCs/>
          <w:color w:val="auto"/>
          <w:sz w:val="22"/>
          <w:szCs w:val="22"/>
          <w:highlight w:val="none"/>
          <w:u w:val="single"/>
          <w:lang w:val="en-US" w:eastAsia="zh-CN"/>
        </w:rPr>
        <w:t>10</w:t>
      </w:r>
      <w:r>
        <w:rPr>
          <w:rFonts w:hint="eastAsia" w:ascii="宋体" w:hAnsi="宋体" w:eastAsia="宋体" w:cs="宋体"/>
          <w:b/>
          <w:bCs/>
          <w:color w:val="auto"/>
          <w:sz w:val="22"/>
          <w:szCs w:val="22"/>
          <w:highlight w:val="none"/>
          <w:u w:val="single"/>
          <w:lang w:val="zh-CN"/>
        </w:rPr>
        <w:t>%的扣除</w:t>
      </w:r>
      <w:r>
        <w:rPr>
          <w:rFonts w:hint="eastAsia" w:ascii="宋体" w:hAnsi="宋体" w:eastAsia="宋体" w:cs="宋体"/>
          <w:color w:val="auto"/>
          <w:sz w:val="22"/>
          <w:szCs w:val="22"/>
          <w:highlight w:val="none"/>
          <w:lang w:val="zh-CN"/>
        </w:rPr>
        <w:t>，用扣除后的价格参与价格评分。</w:t>
      </w:r>
    </w:p>
    <w:p>
      <w:pPr>
        <w:spacing w:line="460" w:lineRule="exact"/>
        <w:ind w:firstLine="541" w:firstLineChars="245"/>
        <w:rPr>
          <w:rFonts w:hint="eastAsia" w:ascii="宋体" w:hAnsi="宋体" w:eastAsia="宋体" w:cs="宋体"/>
          <w:color w:val="auto"/>
          <w:sz w:val="22"/>
          <w:szCs w:val="22"/>
          <w:highlight w:val="none"/>
          <w:lang w:val="zh-CN"/>
        </w:rPr>
      </w:pPr>
      <w:r>
        <w:rPr>
          <w:rFonts w:hint="eastAsia" w:ascii="宋体" w:hAnsi="宋体" w:eastAsia="宋体" w:cs="宋体"/>
          <w:b/>
          <w:bCs/>
          <w:color w:val="auto"/>
          <w:sz w:val="22"/>
          <w:szCs w:val="22"/>
          <w:highlight w:val="none"/>
          <w:u w:val="single"/>
          <w:lang w:val="en-US" w:eastAsia="zh-CN"/>
        </w:rPr>
        <w:t>同时</w:t>
      </w:r>
      <w:r>
        <w:rPr>
          <w:rFonts w:hint="eastAsia" w:ascii="宋体" w:hAnsi="宋体" w:eastAsia="宋体" w:cs="宋体"/>
          <w:b/>
          <w:bCs/>
          <w:color w:val="auto"/>
          <w:sz w:val="22"/>
          <w:szCs w:val="22"/>
          <w:highlight w:val="none"/>
          <w:u w:val="single"/>
          <w:lang w:val="zh-CN"/>
        </w:rPr>
        <w:t>符合以下所有要求的投标人被认定为小型、微型企业：</w:t>
      </w:r>
    </w:p>
    <w:p>
      <w:pPr>
        <w:spacing w:line="460" w:lineRule="exact"/>
        <w:ind w:firstLine="541" w:firstLineChars="245"/>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①投标产品生产企业按照《关于印发中小企业划型标准规定的通知》（工信部联企业〔2011〕300号）的所属行业规定为小型、微型企业。</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u w:val="single"/>
          <w:lang w:val="en-US" w:eastAsia="zh-CN"/>
        </w:rPr>
        <w:t>②</w:t>
      </w:r>
      <w:r>
        <w:rPr>
          <w:rFonts w:hint="eastAsia" w:ascii="宋体" w:hAnsi="宋体" w:eastAsia="宋体" w:cs="宋体"/>
          <w:b/>
          <w:bCs/>
          <w:color w:val="auto"/>
          <w:sz w:val="22"/>
          <w:szCs w:val="22"/>
          <w:highlight w:val="none"/>
          <w:u w:val="single"/>
          <w:lang w:val="zh-CN"/>
        </w:rPr>
        <w:t>投标文件中必须提供《中小企业声明函》。</w:t>
      </w:r>
    </w:p>
    <w:p>
      <w:pPr>
        <w:spacing w:line="460" w:lineRule="exact"/>
        <w:jc w:val="center"/>
        <w:rPr>
          <w:rFonts w:hint="eastAsia" w:ascii="宋体" w:hAnsi="宋体" w:eastAsia="宋体" w:cs="宋体"/>
          <w:b/>
          <w:bCs/>
          <w:color w:val="auto"/>
          <w:sz w:val="22"/>
          <w:szCs w:val="22"/>
          <w:highlight w:val="none"/>
        </w:rPr>
      </w:pPr>
    </w:p>
    <w:p>
      <w:pPr>
        <w:spacing w:line="460" w:lineRule="exact"/>
        <w:ind w:firstLine="420" w:firstLineChars="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w:t>
      </w:r>
      <w:r>
        <w:rPr>
          <w:rFonts w:hint="eastAsia" w:ascii="宋体" w:hAnsi="宋体" w:eastAsia="宋体" w:cs="宋体"/>
          <w:b/>
          <w:bCs/>
          <w:color w:val="auto"/>
          <w:spacing w:val="20"/>
          <w:sz w:val="22"/>
          <w:szCs w:val="22"/>
          <w:highlight w:val="none"/>
        </w:rPr>
        <w:t>中小企业声明函（货物</w:t>
      </w:r>
      <w:r>
        <w:rPr>
          <w:rFonts w:hint="eastAsia" w:ascii="宋体" w:hAnsi="宋体" w:eastAsia="宋体" w:cs="宋体"/>
          <w:b/>
          <w:bCs/>
          <w:color w:val="auto"/>
          <w:spacing w:val="20"/>
          <w:sz w:val="22"/>
          <w:szCs w:val="22"/>
          <w:highlight w:val="none"/>
          <w:lang w:eastAsia="zh-CN"/>
        </w:rPr>
        <w:t>）</w:t>
      </w:r>
      <w:r>
        <w:rPr>
          <w:rFonts w:hint="eastAsia" w:ascii="宋体" w:hAnsi="宋体" w:eastAsia="宋体" w:cs="宋体"/>
          <w:b/>
          <w:bCs/>
          <w:color w:val="auto"/>
          <w:sz w:val="22"/>
          <w:szCs w:val="22"/>
          <w:highlight w:val="none"/>
        </w:rPr>
        <w:t>》</w:t>
      </w:r>
    </w:p>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pPr>
        <w:spacing w:line="460" w:lineRule="exact"/>
        <w:ind w:firstLine="539" w:firstLineChars="245"/>
        <w:rPr>
          <w:rFonts w:hint="eastAsia" w:ascii="宋体" w:hAnsi="宋体" w:eastAsia="宋体" w:cs="宋体"/>
          <w:color w:val="auto"/>
          <w:spacing w:val="20"/>
          <w:sz w:val="22"/>
          <w:szCs w:val="22"/>
          <w:highlight w:val="none"/>
        </w:rPr>
      </w:pPr>
      <w:r>
        <w:rPr>
          <w:rFonts w:hint="eastAsia" w:ascii="宋体" w:hAnsi="宋体" w:eastAsia="宋体" w:cs="宋体"/>
          <w:b w:val="0"/>
          <w:bCs w:val="0"/>
          <w:color w:val="auto"/>
          <w:sz w:val="22"/>
          <w:szCs w:val="22"/>
          <w:highlight w:val="none"/>
          <w:lang w:val="zh-CN"/>
        </w:rPr>
        <w:t>1.</w:t>
      </w:r>
      <w:r>
        <w:rPr>
          <w:rFonts w:hint="eastAsia" w:ascii="宋体" w:hAnsi="宋体" w:eastAsia="宋体" w:cs="宋体"/>
          <w:b w:val="0"/>
          <w:bCs w:val="0"/>
          <w:color w:val="auto"/>
          <w:sz w:val="22"/>
          <w:szCs w:val="22"/>
          <w:highlight w:val="none"/>
          <w:u w:val="single"/>
          <w:lang w:val="zh-CN"/>
        </w:rPr>
        <w:t>（标的名称）</w:t>
      </w:r>
      <w:r>
        <w:rPr>
          <w:rFonts w:hint="eastAsia" w:ascii="宋体" w:hAnsi="宋体" w:eastAsia="宋体" w:cs="宋体"/>
          <w:b w:val="0"/>
          <w:bCs w:val="0"/>
          <w:color w:val="auto"/>
          <w:sz w:val="22"/>
          <w:szCs w:val="22"/>
          <w:highlight w:val="none"/>
          <w:lang w:val="zh-CN"/>
        </w:rPr>
        <w:t xml:space="preserve"> ，属于</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行业；制造商为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u w:val="single"/>
          <w:lang w:eastAsia="zh-CN"/>
        </w:rPr>
        <w:t>，</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（中型企业、小型企业、微型企业）</w:t>
      </w:r>
      <w:r>
        <w:rPr>
          <w:rFonts w:hint="eastAsia" w:ascii="宋体" w:hAnsi="宋体" w:eastAsia="宋体" w:cs="宋体"/>
          <w:color w:val="auto"/>
          <w:spacing w:val="20"/>
          <w:sz w:val="22"/>
          <w:szCs w:val="22"/>
          <w:highlight w:val="none"/>
        </w:rPr>
        <w:t>；</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 xml:space="preserve"> ，属于</w:t>
      </w:r>
      <w:r>
        <w:rPr>
          <w:rFonts w:hint="eastAsia" w:ascii="宋体" w:hAnsi="宋体" w:eastAsia="宋体" w:cs="宋体"/>
          <w:color w:val="auto"/>
          <w:spacing w:val="20"/>
          <w:sz w:val="22"/>
          <w:szCs w:val="22"/>
          <w:highlight w:val="none"/>
          <w:u w:val="single"/>
        </w:rPr>
        <w:t>（采购文件中明确的所属行业）</w:t>
      </w:r>
      <w:r>
        <w:rPr>
          <w:rFonts w:hint="eastAsia" w:ascii="宋体" w:hAnsi="宋体" w:eastAsia="宋体" w:cs="宋体"/>
          <w:color w:val="auto"/>
          <w:spacing w:val="20"/>
          <w:sz w:val="22"/>
          <w:szCs w:val="22"/>
          <w:highlight w:val="none"/>
        </w:rPr>
        <w:t>行业；制造商为（企业名称），从业人员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万元，属于（中型企业、小型企业、微型企业）；</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以上企业，不属于大企业的分支机构，不存在控股股东为大企业的情形，也不存在与大企业的负责人为同一人的情形。</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本企业对上述声明内容的真实性负责。如有虚假，将依法承担相应责任。</w:t>
      </w:r>
    </w:p>
    <w:p>
      <w:pPr>
        <w:spacing w:line="460" w:lineRule="exact"/>
        <w:rPr>
          <w:rFonts w:hint="eastAsia" w:ascii="宋体" w:hAnsi="宋体" w:eastAsia="宋体" w:cs="宋体"/>
          <w:color w:val="auto"/>
          <w:spacing w:val="20"/>
          <w:sz w:val="22"/>
          <w:szCs w:val="22"/>
          <w:highlight w:val="none"/>
        </w:rPr>
      </w:pPr>
    </w:p>
    <w:p>
      <w:pPr>
        <w:pStyle w:val="2"/>
        <w:rPr>
          <w:rFonts w:hint="eastAsia" w:ascii="宋体" w:hAnsi="宋体" w:eastAsia="宋体" w:cs="宋体"/>
          <w:color w:val="auto"/>
          <w:sz w:val="22"/>
          <w:szCs w:val="22"/>
          <w:highlight w:val="none"/>
        </w:rPr>
      </w:pP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w:t>
      </w:r>
      <w:r>
        <w:rPr>
          <w:rFonts w:hint="eastAsia" w:ascii="宋体" w:hAnsi="宋体" w:eastAsia="宋体" w:cs="宋体"/>
          <w:color w:val="auto"/>
          <w:spacing w:val="20"/>
          <w:sz w:val="22"/>
          <w:szCs w:val="22"/>
          <w:highlight w:val="none"/>
        </w:rPr>
        <w:t>企业名称（盖章）：</w:t>
      </w: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w:t>
      </w:r>
      <w:r>
        <w:rPr>
          <w:rFonts w:hint="eastAsia" w:ascii="宋体" w:hAnsi="宋体" w:eastAsia="宋体" w:cs="宋体"/>
          <w:color w:val="auto"/>
          <w:spacing w:val="20"/>
          <w:sz w:val="22"/>
          <w:szCs w:val="22"/>
          <w:highlight w:val="none"/>
        </w:rPr>
        <w:t>日 期：</w:t>
      </w:r>
    </w:p>
    <w:p>
      <w:pPr>
        <w:pStyle w:val="2"/>
        <w:rPr>
          <w:rFonts w:hint="eastAsia" w:ascii="宋体" w:hAnsi="宋体" w:eastAsia="宋体" w:cs="宋体"/>
          <w:color w:val="auto"/>
          <w:spacing w:val="20"/>
          <w:sz w:val="22"/>
          <w:szCs w:val="22"/>
          <w:highlight w:val="none"/>
        </w:rPr>
      </w:pPr>
    </w:p>
    <w:p>
      <w:pPr>
        <w:rPr>
          <w:rFonts w:hint="eastAsia" w:ascii="宋体" w:hAnsi="宋体" w:eastAsia="宋体" w:cs="宋体"/>
          <w:color w:val="auto"/>
          <w:spacing w:val="20"/>
          <w:sz w:val="22"/>
          <w:szCs w:val="22"/>
          <w:highlight w:val="none"/>
        </w:rPr>
      </w:pPr>
    </w:p>
    <w:p>
      <w:pPr>
        <w:pStyle w:val="2"/>
        <w:rPr>
          <w:rFonts w:hint="eastAsia" w:ascii="宋体" w:hAnsi="宋体" w:eastAsia="宋体" w:cs="宋体"/>
          <w:color w:val="auto"/>
          <w:spacing w:val="20"/>
          <w:sz w:val="22"/>
          <w:szCs w:val="22"/>
          <w:highlight w:val="none"/>
        </w:rPr>
      </w:pPr>
    </w:p>
    <w:p>
      <w:pPr>
        <w:rPr>
          <w:rFonts w:hint="eastAsia" w:ascii="宋体" w:hAnsi="宋体" w:eastAsia="宋体" w:cs="宋体"/>
          <w:color w:val="auto"/>
          <w:spacing w:val="20"/>
          <w:sz w:val="22"/>
          <w:szCs w:val="22"/>
          <w:highlight w:val="none"/>
        </w:rPr>
      </w:pPr>
    </w:p>
    <w:p>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中小企业声明函（工程、服务）</w:t>
      </w:r>
      <w:r>
        <w:rPr>
          <w:rFonts w:hint="eastAsia" w:ascii="宋体" w:hAnsi="宋体" w:eastAsia="宋体" w:cs="宋体"/>
          <w:b/>
          <w:bCs/>
          <w:color w:val="auto"/>
          <w:sz w:val="24"/>
          <w:szCs w:val="24"/>
          <w:highlight w:val="none"/>
          <w:lang w:eastAsia="zh-CN"/>
        </w:rPr>
        <w:t>》</w:t>
      </w:r>
    </w:p>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1.</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 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 xml:space="preserve">； </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w:t>
      </w:r>
    </w:p>
    <w:p>
      <w:pPr>
        <w:spacing w:line="460" w:lineRule="exact"/>
        <w:ind w:firstLine="639" w:firstLineChars="245"/>
        <w:rPr>
          <w:rFonts w:hint="eastAsia" w:ascii="宋体" w:hAnsi="宋体" w:eastAsia="宋体" w:cs="宋体"/>
          <w:b/>
          <w:bCs/>
          <w:color w:val="auto"/>
          <w:spacing w:val="20"/>
          <w:sz w:val="22"/>
          <w:szCs w:val="22"/>
          <w:highlight w:val="none"/>
        </w:rPr>
      </w:pPr>
      <w:r>
        <w:rPr>
          <w:rFonts w:hint="eastAsia" w:ascii="宋体" w:hAnsi="宋体" w:eastAsia="宋体" w:cs="宋体"/>
          <w:b/>
          <w:bCs/>
          <w:color w:val="auto"/>
          <w:spacing w:val="20"/>
          <w:sz w:val="22"/>
          <w:szCs w:val="22"/>
          <w:highlight w:val="none"/>
        </w:rPr>
        <w:t>……</w:t>
      </w:r>
    </w:p>
    <w:p>
      <w:pPr>
        <w:spacing w:line="460" w:lineRule="exact"/>
        <w:ind w:firstLine="637" w:firstLineChars="245"/>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460" w:lineRule="exact"/>
        <w:jc w:val="center"/>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lang w:val="en-US" w:eastAsia="zh-CN"/>
        </w:rPr>
        <w:t xml:space="preserve">           企业</w:t>
      </w:r>
      <w:r>
        <w:rPr>
          <w:rFonts w:hint="eastAsia" w:ascii="宋体" w:hAnsi="宋体" w:eastAsia="宋体" w:cs="宋体"/>
          <w:color w:val="auto"/>
          <w:spacing w:val="20"/>
          <w:sz w:val="22"/>
          <w:szCs w:val="22"/>
          <w:highlight w:val="none"/>
        </w:rPr>
        <w:t>名称（盖章）：</w:t>
      </w: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日</w:t>
      </w:r>
      <w:r>
        <w:rPr>
          <w:rFonts w:hint="eastAsia" w:ascii="宋体" w:hAnsi="宋体" w:eastAsia="宋体" w:cs="宋体"/>
          <w:color w:val="auto"/>
          <w:spacing w:val="20"/>
          <w:sz w:val="22"/>
          <w:szCs w:val="22"/>
          <w:highlight w:val="none"/>
        </w:rPr>
        <w:t xml:space="preserve"> 期：</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20" w:lineRule="exact"/>
        <w:ind w:left="514" w:leftChars="245"/>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6、残疾人福利性单位的相关证明材料</w:t>
      </w:r>
    </w:p>
    <w:p>
      <w:pPr>
        <w:spacing w:line="460" w:lineRule="exact"/>
        <w:ind w:firstLine="699" w:firstLineChars="300"/>
        <w:rPr>
          <w:rFonts w:hint="eastAsia" w:ascii="宋体" w:hAnsi="宋体" w:eastAsia="宋体" w:cs="宋体"/>
          <w:color w:val="auto"/>
          <w:spacing w:val="20"/>
          <w:sz w:val="22"/>
          <w:szCs w:val="22"/>
          <w:highlight w:val="none"/>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是残疾人福利性单位的按非残疾人福利性单位处理，所提供的证明材料应为最新的最近的</w:t>
      </w:r>
      <w:r>
        <w:rPr>
          <w:rFonts w:hint="eastAsia" w:ascii="宋体" w:hAnsi="宋体" w:eastAsia="宋体" w:cs="宋体"/>
          <w:b/>
          <w:bCs/>
          <w:color w:val="auto"/>
          <w:sz w:val="22"/>
          <w:szCs w:val="22"/>
          <w:highlight w:val="none"/>
          <w:u w:val="single"/>
          <w:lang w:val="zh-CN"/>
        </w:rPr>
        <w:t>。</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jc w:val="center"/>
        <w:rPr>
          <w:rFonts w:hint="eastAsia" w:ascii="宋体" w:hAnsi="宋体" w:eastAsia="宋体" w:cs="宋体"/>
          <w:color w:val="auto"/>
          <w:spacing w:val="6"/>
          <w:sz w:val="22"/>
          <w:szCs w:val="22"/>
          <w:highlight w:val="none"/>
        </w:rPr>
      </w:pPr>
      <w:r>
        <w:rPr>
          <w:rFonts w:hint="eastAsia" w:ascii="宋体" w:hAnsi="宋体" w:eastAsia="宋体" w:cs="宋体"/>
          <w:b/>
          <w:color w:val="auto"/>
          <w:spacing w:val="6"/>
          <w:sz w:val="22"/>
          <w:szCs w:val="22"/>
          <w:highlight w:val="none"/>
        </w:rPr>
        <w:t>残疾人福利性单位声明函</w:t>
      </w:r>
    </w:p>
    <w:p>
      <w:pPr>
        <w:widowControl/>
        <w:adjustRightInd w:val="0"/>
        <w:snapToGrid w:val="0"/>
        <w:spacing w:line="460" w:lineRule="exact"/>
        <w:ind w:firstLine="440" w:firstLineChars="20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【不属于残疾人福利性单位的无需填写、递交】</w:t>
      </w:r>
    </w:p>
    <w:p>
      <w:pPr>
        <w:snapToGrid w:val="0"/>
        <w:spacing w:line="460" w:lineRule="exact"/>
        <w:jc w:val="center"/>
        <w:rPr>
          <w:rFonts w:hint="eastAsia" w:ascii="宋体" w:hAnsi="宋体" w:eastAsia="宋体" w:cs="宋体"/>
          <w:b/>
          <w:bCs/>
          <w:color w:val="auto"/>
          <w:sz w:val="22"/>
          <w:szCs w:val="22"/>
          <w:highlight w:val="none"/>
        </w:rPr>
      </w:pP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eastAsia="宋体" w:cs="宋体"/>
          <w:color w:val="auto"/>
          <w:sz w:val="22"/>
          <w:szCs w:val="22"/>
          <w:highlight w:val="none"/>
        </w:rPr>
        <w:t>〔2017〕141</w:t>
      </w:r>
      <w:r>
        <w:rPr>
          <w:rFonts w:hint="eastAsia" w:ascii="宋体" w:hAnsi="宋体" w:eastAsia="宋体" w:cs="宋体"/>
          <w:color w:val="auto"/>
          <w:spacing w:val="6"/>
          <w:sz w:val="22"/>
          <w:szCs w:val="22"/>
          <w:highlight w:val="none"/>
        </w:rPr>
        <w:t>号）的规定，本单位为符合条件的残疾人福利性单位，且本单位参加</w:t>
      </w:r>
      <w:r>
        <w:rPr>
          <w:rFonts w:hint="eastAsia" w:ascii="宋体" w:hAnsi="宋体" w:eastAsia="宋体" w:cs="宋体"/>
          <w:color w:val="auto"/>
          <w:spacing w:val="6"/>
          <w:sz w:val="22"/>
          <w:szCs w:val="22"/>
          <w:highlight w:val="none"/>
          <w:u w:val="single"/>
        </w:rPr>
        <w:t>（招标人名称）</w:t>
      </w:r>
      <w:r>
        <w:rPr>
          <w:rFonts w:hint="eastAsia" w:ascii="宋体" w:hAnsi="宋体" w:eastAsia="宋体" w:cs="宋体"/>
          <w:color w:val="auto"/>
          <w:spacing w:val="6"/>
          <w:sz w:val="22"/>
          <w:szCs w:val="22"/>
          <w:highlight w:val="none"/>
        </w:rPr>
        <w:t>单位的</w:t>
      </w:r>
      <w:r>
        <w:rPr>
          <w:rFonts w:hint="eastAsia" w:ascii="宋体" w:hAnsi="宋体" w:eastAsia="宋体" w:cs="宋体"/>
          <w:color w:val="auto"/>
          <w:spacing w:val="6"/>
          <w:sz w:val="22"/>
          <w:szCs w:val="22"/>
          <w:highlight w:val="none"/>
          <w:u w:val="single"/>
        </w:rPr>
        <w:t>（招标项目名称）</w:t>
      </w:r>
      <w:r>
        <w:rPr>
          <w:rFonts w:hint="eastAsia" w:ascii="宋体" w:hAnsi="宋体" w:eastAsia="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pPr>
        <w:snapToGrid w:val="0"/>
        <w:spacing w:line="460" w:lineRule="exact"/>
        <w:ind w:firstLine="464" w:firstLineChars="200"/>
        <w:rPr>
          <w:rFonts w:hint="eastAsia" w:ascii="宋体" w:hAnsi="宋体" w:eastAsia="宋体" w:cs="宋体"/>
          <w:color w:val="auto"/>
          <w:spacing w:val="6"/>
          <w:sz w:val="22"/>
          <w:szCs w:val="22"/>
          <w:highlight w:val="none"/>
        </w:rPr>
      </w:pPr>
    </w:p>
    <w:p>
      <w:pPr>
        <w:snapToGrid w:val="0"/>
        <w:spacing w:line="460" w:lineRule="exact"/>
        <w:ind w:firstLine="464" w:firstLineChars="200"/>
        <w:rPr>
          <w:rFonts w:hint="eastAsia" w:ascii="宋体" w:hAnsi="宋体" w:eastAsia="宋体" w:cs="宋体"/>
          <w:color w:val="auto"/>
          <w:spacing w:val="6"/>
          <w:sz w:val="22"/>
          <w:szCs w:val="22"/>
          <w:highlight w:val="none"/>
        </w:rPr>
      </w:pPr>
    </w:p>
    <w:p>
      <w:pPr>
        <w:adjustRightInd w:val="0"/>
        <w:snapToGrid w:val="0"/>
        <w:spacing w:line="460" w:lineRule="exact"/>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p>
    <w:p>
      <w:pPr>
        <w:pStyle w:val="23"/>
        <w:spacing w:line="460" w:lineRule="exact"/>
        <w:ind w:left="437" w:leftChars="208"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pStyle w:val="23"/>
        <w:spacing w:line="460" w:lineRule="exact"/>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pPr>
        <w:pStyle w:val="23"/>
        <w:spacing w:line="460" w:lineRule="exact"/>
        <w:ind w:left="433" w:hanging="433" w:hangingChars="196"/>
        <w:outlineLvl w:val="1"/>
        <w:rPr>
          <w:rFonts w:hint="eastAsia" w:ascii="宋体" w:hAnsi="宋体" w:eastAsia="宋体" w:cs="宋体"/>
          <w:b/>
          <w:color w:val="auto"/>
          <w:sz w:val="22"/>
          <w:szCs w:val="22"/>
          <w:highlight w:val="none"/>
        </w:rPr>
      </w:pPr>
      <w:bookmarkStart w:id="32" w:name="_Toc19402"/>
      <w:bookmarkStart w:id="33" w:name="_Toc12035"/>
      <w:r>
        <w:rPr>
          <w:rFonts w:hint="eastAsia" w:ascii="宋体" w:hAnsi="宋体" w:eastAsia="宋体" w:cs="宋体"/>
          <w:b/>
          <w:color w:val="auto"/>
          <w:sz w:val="22"/>
          <w:szCs w:val="22"/>
          <w:highlight w:val="none"/>
        </w:rPr>
        <w:t>附件二</w:t>
      </w:r>
      <w:bookmarkEnd w:id="32"/>
      <w:bookmarkEnd w:id="33"/>
    </w:p>
    <w:p>
      <w:pPr>
        <w:spacing w:line="460" w:lineRule="exact"/>
        <w:jc w:val="center"/>
        <w:outlineLvl w:val="2"/>
        <w:rPr>
          <w:rFonts w:hint="eastAsia" w:ascii="宋体" w:hAnsi="宋体" w:eastAsia="宋体" w:cs="宋体"/>
          <w:color w:val="auto"/>
          <w:sz w:val="28"/>
          <w:szCs w:val="28"/>
          <w:highlight w:val="none"/>
        </w:rPr>
      </w:pPr>
      <w:bookmarkStart w:id="34" w:name="_Toc4718"/>
      <w:bookmarkStart w:id="35" w:name="_Toc25309"/>
      <w:r>
        <w:rPr>
          <w:rFonts w:hint="eastAsia" w:ascii="宋体" w:hAnsi="宋体" w:eastAsia="宋体" w:cs="宋体"/>
          <w:b/>
          <w:bCs/>
          <w:color w:val="auto"/>
          <w:sz w:val="28"/>
          <w:szCs w:val="28"/>
          <w:highlight w:val="none"/>
        </w:rPr>
        <w:t>资格证明文件</w:t>
      </w:r>
      <w:bookmarkEnd w:id="34"/>
      <w:bookmarkEnd w:id="35"/>
      <w:r>
        <w:rPr>
          <w:rFonts w:hint="eastAsia" w:ascii="宋体" w:hAnsi="宋体" w:eastAsia="宋体" w:cs="宋体"/>
          <w:color w:val="auto"/>
          <w:sz w:val="28"/>
          <w:szCs w:val="28"/>
          <w:highlight w:val="none"/>
        </w:rPr>
        <w:t xml:space="preserve"> </w:t>
      </w:r>
    </w:p>
    <w:p>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9"/>
        <w:rPr>
          <w:rFonts w:hint="eastAsia" w:cs="宋体"/>
          <w:b/>
          <w:bCs w:val="0"/>
          <w:color w:val="auto"/>
          <w:kern w:val="0"/>
          <w:sz w:val="28"/>
          <w:szCs w:val="28"/>
          <w:highlight w:val="none"/>
          <w:lang w:val="en-US" w:eastAsia="zh-CN" w:bidi="ar-SA"/>
        </w:rPr>
      </w:pPr>
    </w:p>
    <w:p>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ascii="宋体" w:hAnsi="宋体" w:eastAsia="宋体" w:cs="宋体"/>
          <w:b/>
          <w:bCs w:val="0"/>
          <w:color w:val="auto"/>
          <w:sz w:val="28"/>
          <w:szCs w:val="28"/>
          <w:highlight w:val="none"/>
        </w:rPr>
      </w:pPr>
      <w:r>
        <w:rPr>
          <w:rFonts w:hint="eastAsia" w:cs="宋体"/>
          <w:b/>
          <w:bCs w:val="0"/>
          <w:color w:val="auto"/>
          <w:kern w:val="0"/>
          <w:sz w:val="28"/>
          <w:szCs w:val="28"/>
          <w:highlight w:val="none"/>
          <w:lang w:val="en-US" w:eastAsia="zh-CN" w:bidi="ar-SA"/>
        </w:rPr>
        <w:t>1、</w:t>
      </w:r>
      <w:r>
        <w:rPr>
          <w:rFonts w:hint="eastAsia" w:ascii="宋体" w:hAnsi="宋体" w:eastAsia="宋体" w:cs="宋体"/>
          <w:b/>
          <w:bCs w:val="0"/>
          <w:color w:val="auto"/>
          <w:kern w:val="0"/>
          <w:sz w:val="28"/>
          <w:szCs w:val="28"/>
          <w:highlight w:val="none"/>
          <w:lang w:val="en-US" w:eastAsia="zh-CN" w:bidi="ar-SA"/>
        </w:rPr>
        <w:t>资格条件承诺函</w:t>
      </w:r>
    </w:p>
    <w:p>
      <w:pPr>
        <w:shd w:val="clear" w:color="auto" w:fill="FFFFFF"/>
        <w:snapToGrid w:val="0"/>
        <w:spacing w:line="44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p>
    <w:p>
      <w:pPr>
        <w:widowControl/>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（采购项目名称、编号）投标，现郑重承诺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rPr>
        <w:t>参加本次政府采购活动前3年内</w:t>
      </w:r>
      <w:r>
        <w:rPr>
          <w:rFonts w:hint="eastAsia" w:ascii="宋体" w:hAnsi="宋体" w:eastAsia="宋体" w:cs="宋体"/>
          <w:color w:val="auto"/>
          <w:sz w:val="22"/>
          <w:szCs w:val="22"/>
          <w:highlight w:val="none"/>
        </w:rPr>
        <w:t>：</w:t>
      </w:r>
    </w:p>
    <w:p>
      <w:pPr>
        <w:widowControl/>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1、我方符合《中华人民共和国政府采购法》第22条规定的资格条件，即</w:t>
      </w:r>
    </w:p>
    <w:p>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（1）我方具有独立承担民事责任的能力；</w:t>
      </w:r>
    </w:p>
    <w:p>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（2）我方具有良好的商业信誉和健全的财务会计制度；</w:t>
      </w:r>
    </w:p>
    <w:p>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（3）我方具有履行合同所必需的设备和专业技术能力；</w:t>
      </w:r>
    </w:p>
    <w:p>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（4）我方有依法缴纳税收和社会保障资金的良好记录；</w:t>
      </w:r>
    </w:p>
    <w:p>
      <w:pPr>
        <w:widowControl/>
        <w:snapToGrid w:val="0"/>
        <w:spacing w:line="440" w:lineRule="exact"/>
        <w:ind w:left="989" w:leftChars="314" w:hanging="330" w:hangingChars="15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2、到本项目投标截止时间为止，我方未被“信用中国（</w:t>
      </w:r>
      <w:r>
        <w:rPr>
          <w:rFonts w:hint="eastAsia" w:ascii="宋体" w:hAnsi="宋体" w:eastAsia="宋体" w:cs="宋体"/>
          <w:color w:val="auto"/>
          <w:kern w:val="0"/>
          <w:sz w:val="22"/>
          <w:szCs w:val="22"/>
          <w:highlight w:val="none"/>
        </w:rPr>
        <w:fldChar w:fldCharType="begin"/>
      </w:r>
      <w:r>
        <w:rPr>
          <w:rFonts w:hint="eastAsia" w:ascii="宋体" w:hAnsi="宋体" w:eastAsia="宋体" w:cs="宋体"/>
          <w:color w:val="auto"/>
          <w:kern w:val="0"/>
          <w:sz w:val="22"/>
          <w:szCs w:val="22"/>
          <w:highlight w:val="none"/>
        </w:rPr>
        <w:instrText xml:space="preserve"> HYPERLINK "http://www.creditchina.gov.cn）、" </w:instrText>
      </w:r>
      <w:r>
        <w:rPr>
          <w:rFonts w:hint="eastAsia" w:ascii="宋体" w:hAnsi="宋体" w:eastAsia="宋体" w:cs="宋体"/>
          <w:color w:val="auto"/>
          <w:kern w:val="0"/>
          <w:sz w:val="22"/>
          <w:szCs w:val="22"/>
          <w:highlight w:val="none"/>
        </w:rPr>
        <w:fldChar w:fldCharType="separate"/>
      </w:r>
      <w:r>
        <w:rPr>
          <w:rFonts w:hint="eastAsia" w:ascii="宋体" w:hAnsi="宋体" w:eastAsia="宋体" w:cs="宋体"/>
          <w:color w:val="auto"/>
          <w:kern w:val="0"/>
          <w:sz w:val="22"/>
          <w:szCs w:val="22"/>
          <w:highlight w:val="none"/>
        </w:rPr>
        <w:t>www.creditchina.gov.cn）、</w:t>
      </w:r>
      <w:r>
        <w:rPr>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rPr>
        <w:t xml:space="preserve"> 中国政府采购网（www.ccgp.gov.cn）列入失信被执行人名单、重大税收违法案件当事人名单、政府采购严重违法失信行为记录名单。</w:t>
      </w:r>
    </w:p>
    <w:p>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3、我方与参加本次项目同一合同项下政府采购活动的其他供应商不存在单位负责人为同一人或者直接控股、管理关系。</w:t>
      </w:r>
    </w:p>
    <w:p>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4、我方</w:t>
      </w:r>
      <w:r>
        <w:rPr>
          <w:rFonts w:hint="eastAsia" w:ascii="宋体" w:hAnsi="宋体" w:eastAsia="宋体" w:cs="宋体"/>
          <w:color w:val="auto"/>
          <w:kern w:val="0"/>
          <w:sz w:val="22"/>
          <w:szCs w:val="22"/>
          <w:highlight w:val="none"/>
        </w:rPr>
        <w:t>不属于公益一类事业单位。</w:t>
      </w:r>
    </w:p>
    <w:p>
      <w:pPr>
        <w:widowControl/>
        <w:snapToGrid w:val="0"/>
        <w:spacing w:line="440" w:lineRule="exact"/>
        <w:ind w:firstLine="440" w:firstLineChars="200"/>
        <w:jc w:val="left"/>
        <w:rPr>
          <w:rFonts w:hint="eastAsia" w:ascii="宋体" w:hAnsi="宋体" w:eastAsia="宋体" w:cs="宋体"/>
          <w:color w:val="auto"/>
          <w:kern w:val="0"/>
          <w:sz w:val="22"/>
          <w:szCs w:val="22"/>
          <w:highlight w:val="none"/>
          <w:lang w:val="en-US" w:eastAsia="zh-CN"/>
        </w:rPr>
      </w:pPr>
    </w:p>
    <w:p>
      <w:pPr>
        <w:widowControl/>
        <w:snapToGrid w:val="0"/>
        <w:spacing w:line="440" w:lineRule="exact"/>
        <w:ind w:left="210" w:leftChars="100"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以上承诺如有虚假，</w:t>
      </w:r>
      <w:r>
        <w:rPr>
          <w:rFonts w:hint="eastAsia" w:ascii="宋体" w:hAnsi="宋体" w:eastAsia="宋体" w:cs="宋体"/>
          <w:color w:val="auto"/>
          <w:sz w:val="22"/>
          <w:szCs w:val="22"/>
          <w:highlight w:val="none"/>
        </w:rPr>
        <w:t>愿接受取消</w:t>
      </w:r>
      <w:r>
        <w:rPr>
          <w:rFonts w:hint="eastAsia" w:ascii="宋体" w:hAnsi="宋体" w:eastAsia="宋体" w:cs="宋体"/>
          <w:color w:val="auto"/>
          <w:kern w:val="0"/>
          <w:sz w:val="22"/>
          <w:szCs w:val="22"/>
          <w:highlight w:val="none"/>
        </w:rPr>
        <w:t>我方任何资格（投标/成交/签订合同）</w:t>
      </w:r>
      <w:r>
        <w:rPr>
          <w:rFonts w:hint="eastAsia" w:ascii="宋体" w:hAnsi="宋体" w:eastAsia="宋体" w:cs="宋体"/>
          <w:color w:val="auto"/>
          <w:sz w:val="22"/>
          <w:szCs w:val="22"/>
          <w:highlight w:val="none"/>
        </w:rPr>
        <w:t>及其他任何形式的处理。</w:t>
      </w:r>
    </w:p>
    <w:p>
      <w:pPr>
        <w:widowControl/>
        <w:snapToGrid w:val="0"/>
        <w:spacing w:line="440" w:lineRule="exact"/>
        <w:ind w:firstLine="440" w:firstLineChars="200"/>
        <w:jc w:val="left"/>
        <w:rPr>
          <w:rFonts w:hint="eastAsia" w:ascii="宋体" w:hAnsi="宋体" w:eastAsia="宋体" w:cs="宋体"/>
          <w:color w:val="auto"/>
          <w:kern w:val="0"/>
          <w:sz w:val="22"/>
          <w:szCs w:val="22"/>
          <w:highlight w:val="none"/>
        </w:rPr>
      </w:pPr>
    </w:p>
    <w:p>
      <w:pPr>
        <w:snapToGrid w:val="0"/>
        <w:spacing w:line="360" w:lineRule="auto"/>
        <w:ind w:firstLine="5060" w:firstLineChars="2300"/>
        <w:rPr>
          <w:rFonts w:hint="eastAsia" w:ascii="宋体" w:hAnsi="宋体" w:eastAsia="宋体" w:cs="宋体"/>
          <w:color w:val="auto"/>
          <w:kern w:val="0"/>
          <w:sz w:val="22"/>
          <w:szCs w:val="22"/>
          <w:highlight w:val="none"/>
          <w:lang w:val="zh-CN"/>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rPr>
          <w:rFonts w:hint="eastAsia" w:ascii="宋体" w:hAnsi="宋体" w:eastAsia="宋体" w:cs="宋体"/>
        </w:rPr>
      </w:pPr>
    </w:p>
    <w:p>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ascii="宋体" w:hAnsi="宋体" w:eastAsia="宋体" w:cs="宋体"/>
          <w:b/>
          <w:bCs w:val="0"/>
          <w:color w:val="auto"/>
          <w:sz w:val="28"/>
          <w:szCs w:val="28"/>
          <w:highlight w:val="none"/>
        </w:rPr>
      </w:pPr>
    </w:p>
    <w:p>
      <w:pPr>
        <w:rPr>
          <w:rFonts w:hint="eastAsia" w:ascii="宋体" w:hAnsi="宋体" w:eastAsia="宋体" w:cs="宋体"/>
          <w:b/>
          <w:bCs w:val="0"/>
          <w:color w:val="auto"/>
          <w:kern w:val="0"/>
          <w:sz w:val="32"/>
          <w:szCs w:val="32"/>
          <w:highlight w:val="none"/>
          <w:lang w:val="en-US" w:eastAsia="zh-CN" w:bidi="ar-SA"/>
        </w:rPr>
      </w:pPr>
      <w:r>
        <w:rPr>
          <w:rFonts w:hint="eastAsia" w:ascii="宋体" w:hAnsi="宋体" w:eastAsia="宋体" w:cs="宋体"/>
          <w:b/>
          <w:bCs w:val="0"/>
          <w:color w:val="auto"/>
          <w:kern w:val="0"/>
          <w:sz w:val="32"/>
          <w:szCs w:val="32"/>
          <w:highlight w:val="none"/>
          <w:lang w:val="en-US" w:eastAsia="zh-CN" w:bidi="ar-SA"/>
        </w:rPr>
        <w:br w:type="page"/>
      </w:r>
    </w:p>
    <w:p>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2、有效营业执照</w:t>
      </w:r>
    </w:p>
    <w:p>
      <w:pPr>
        <w:pStyle w:val="49"/>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auto"/>
          <w:sz w:val="24"/>
          <w:szCs w:val="24"/>
          <w:highlight w:val="none"/>
        </w:rPr>
      </w:pPr>
    </w:p>
    <w:p>
      <w:pPr>
        <w:pStyle w:val="49"/>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投标人须在投标文件中出具符合以下情况的证明材料复印件（五选一）：</w:t>
      </w:r>
    </w:p>
    <w:p>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①</w:t>
      </w:r>
      <w:r>
        <w:rPr>
          <w:rFonts w:hint="eastAsia" w:ascii="宋体" w:hAnsi="宋体" w:eastAsia="宋体" w:cs="宋体"/>
          <w:bCs/>
          <w:color w:val="auto"/>
          <w:sz w:val="22"/>
          <w:szCs w:val="22"/>
          <w:highlight w:val="none"/>
        </w:rPr>
        <w:t>如投标人是企业（包括合伙企业），提供在工商部门注册的有效“企业法人营业执照”或“营业执照”；</w:t>
      </w:r>
    </w:p>
    <w:p>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②</w:t>
      </w:r>
      <w:r>
        <w:rPr>
          <w:rFonts w:hint="eastAsia" w:ascii="宋体" w:hAnsi="宋体" w:eastAsia="宋体" w:cs="宋体"/>
          <w:bCs/>
          <w:color w:val="auto"/>
          <w:sz w:val="22"/>
          <w:szCs w:val="22"/>
          <w:highlight w:val="none"/>
        </w:rPr>
        <w:t>如投标人是事业单位，提供有效的“事业单位法人证书”；</w:t>
      </w:r>
    </w:p>
    <w:p>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③</w:t>
      </w:r>
      <w:r>
        <w:rPr>
          <w:rFonts w:hint="eastAsia" w:ascii="宋体" w:hAnsi="宋体" w:eastAsia="宋体" w:cs="宋体"/>
          <w:bCs/>
          <w:color w:val="auto"/>
          <w:sz w:val="22"/>
          <w:szCs w:val="22"/>
          <w:highlight w:val="none"/>
        </w:rPr>
        <w:t>如投标人是非企业专业服务机构的，提供执业许可证等证明文件；</w:t>
      </w:r>
    </w:p>
    <w:p>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④</w:t>
      </w:r>
      <w:r>
        <w:rPr>
          <w:rFonts w:hint="eastAsia" w:ascii="宋体" w:hAnsi="宋体" w:eastAsia="宋体" w:cs="宋体"/>
          <w:bCs/>
          <w:color w:val="auto"/>
          <w:sz w:val="22"/>
          <w:szCs w:val="22"/>
          <w:highlight w:val="none"/>
        </w:rPr>
        <w:t>如投标人是个体工商户，提供有效的“个体工商户营业执照”；</w:t>
      </w:r>
    </w:p>
    <w:p>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⑤</w:t>
      </w:r>
      <w:r>
        <w:rPr>
          <w:rFonts w:hint="eastAsia" w:ascii="宋体" w:hAnsi="宋体" w:eastAsia="宋体" w:cs="宋体"/>
          <w:bCs/>
          <w:color w:val="auto"/>
          <w:sz w:val="22"/>
          <w:szCs w:val="22"/>
          <w:highlight w:val="none"/>
        </w:rPr>
        <w:t>如投标人是自然人，提供有效的自然人身份证明（居民身份证正反面或公安机关出具的临时居民身份证正反面或港澳台胞证或护照）。</w:t>
      </w:r>
    </w:p>
    <w:p>
      <w:pPr>
        <w:pStyle w:val="49"/>
        <w:tabs>
          <w:tab w:val="left" w:pos="312"/>
        </w:tabs>
        <w:adjustRightInd w:val="0"/>
        <w:snapToGrid w:val="0"/>
        <w:spacing w:before="0" w:beforeAutospacing="0" w:after="0" w:afterAutospacing="0" w:line="360" w:lineRule="auto"/>
        <w:rPr>
          <w:rFonts w:hint="eastAsia" w:ascii="宋体" w:hAnsi="宋体" w:eastAsia="宋体" w:cs="宋体"/>
          <w:bCs/>
          <w:color w:val="auto"/>
          <w:sz w:val="22"/>
          <w:szCs w:val="22"/>
          <w:highlight w:val="none"/>
        </w:rPr>
      </w:pPr>
    </w:p>
    <w:p>
      <w:pPr>
        <w:pStyle w:val="219"/>
        <w:tabs>
          <w:tab w:val="left" w:pos="1212"/>
          <w:tab w:val="left" w:pos="3888"/>
        </w:tabs>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rPr>
          <w:rFonts w:hint="eastAsia" w:ascii="宋体" w:hAnsi="宋体" w:eastAsia="宋体" w:cs="宋体"/>
        </w:rPr>
      </w:pPr>
    </w:p>
    <w:p>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3、投标人信用查询</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1、投标人信用信息查询的查询渠道：“信用中国”(www.creditchina.gov.cn)；“中国政府采购网”（http://www.ccgp.gov.cn/）；</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2、投标人信用信息查询截止时点：招标公告发布之日至投标截止时间前。</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3、投标人信用信息查询记录和证据留存的具体方式：</w:t>
      </w:r>
      <w:r>
        <w:rPr>
          <w:rFonts w:hint="eastAsia" w:ascii="宋体" w:hAnsi="宋体" w:eastAsia="宋体" w:cs="宋体"/>
          <w:b/>
          <w:bCs/>
          <w:color w:val="auto"/>
          <w:sz w:val="22"/>
          <w:highlight w:val="none"/>
        </w:rPr>
        <w:t>网页截图</w:t>
      </w:r>
      <w:r>
        <w:rPr>
          <w:rFonts w:hint="eastAsia" w:ascii="宋体" w:hAnsi="宋体" w:eastAsia="宋体" w:cs="宋体"/>
          <w:color w:val="auto"/>
          <w:sz w:val="22"/>
          <w:highlight w:val="none"/>
        </w:rPr>
        <w:t>；</w:t>
      </w:r>
    </w:p>
    <w:p>
      <w:pPr>
        <w:tabs>
          <w:tab w:val="left" w:pos="360"/>
        </w:tabs>
        <w:spacing w:line="460" w:lineRule="exact"/>
        <w:ind w:firstLine="550" w:firstLineChars="250"/>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highlight w:val="none"/>
          <w:u w:val="none"/>
        </w:rPr>
        <w:t>4、信用信息的使用规则：对列入失信被执行人、重大税收违法案件当事人名单、政府采购严重违法失信行为记录名单的投标人，其投标将作无效标处理。</w:t>
      </w:r>
    </w:p>
    <w:p>
      <w:pPr>
        <w:rPr>
          <w:rFonts w:hint="eastAsia" w:cs="宋体"/>
          <w:b/>
          <w:bCs w:val="0"/>
          <w:color w:val="auto"/>
          <w:kern w:val="0"/>
          <w:sz w:val="28"/>
          <w:szCs w:val="28"/>
          <w:highlight w:val="none"/>
          <w:lang w:val="en-US" w:eastAsia="zh-CN" w:bidi="ar-SA"/>
        </w:rPr>
      </w:pPr>
    </w:p>
    <w:p>
      <w:pPr>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br w:type="page"/>
      </w:r>
    </w:p>
    <w:p>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4、采购活动现场确认声明书</w:t>
      </w:r>
    </w:p>
    <w:p>
      <w:pPr>
        <w:spacing w:line="460" w:lineRule="exact"/>
        <w:rPr>
          <w:rFonts w:hint="eastAsia" w:ascii="宋体" w:hAnsi="宋体" w:eastAsia="宋体" w:cs="宋体"/>
          <w:b/>
          <w:bCs/>
          <w:sz w:val="22"/>
          <w:szCs w:val="22"/>
        </w:rPr>
      </w:pPr>
    </w:p>
    <w:p>
      <w:pPr>
        <w:spacing w:line="460" w:lineRule="exact"/>
        <w:rPr>
          <w:rFonts w:hint="eastAsia" w:ascii="宋体" w:hAnsi="宋体" w:eastAsia="宋体" w:cs="宋体"/>
          <w:b/>
          <w:bCs/>
          <w:sz w:val="22"/>
          <w:szCs w:val="22"/>
        </w:rPr>
      </w:pPr>
      <w:r>
        <w:rPr>
          <w:rFonts w:hint="eastAsia" w:ascii="宋体" w:hAnsi="宋体" w:eastAsia="宋体" w:cs="宋体"/>
          <w:color w:val="auto"/>
          <w:sz w:val="22"/>
          <w:szCs w:val="22"/>
          <w:highlight w:val="none"/>
          <w:lang w:eastAsia="zh-CN"/>
        </w:rPr>
        <w:t>温州历程招标有限公司</w:t>
      </w:r>
      <w:r>
        <w:rPr>
          <w:rFonts w:hint="eastAsia" w:ascii="宋体" w:hAnsi="宋体" w:eastAsia="宋体" w:cs="宋体"/>
          <w:color w:val="auto"/>
          <w:sz w:val="22"/>
          <w:szCs w:val="22"/>
          <w:highlight w:val="none"/>
        </w:rPr>
        <w:t>：</w:t>
      </w:r>
    </w:p>
    <w:p>
      <w:pPr>
        <w:spacing w:line="460" w:lineRule="exact"/>
        <w:ind w:firstLine="440" w:firstLineChars="200"/>
        <w:rPr>
          <w:rFonts w:hint="eastAsia" w:ascii="宋体" w:hAnsi="宋体" w:eastAsia="宋体" w:cs="宋体"/>
          <w:sz w:val="22"/>
          <w:szCs w:val="22"/>
        </w:rPr>
      </w:pPr>
      <w:r>
        <w:rPr>
          <w:rFonts w:hint="eastAsia" w:ascii="宋体" w:hAnsi="宋体" w:eastAsia="宋体" w:cs="宋体"/>
          <w:kern w:val="0"/>
          <w:sz w:val="22"/>
          <w:szCs w:val="22"/>
        </w:rPr>
        <w:t>本人经由</w:t>
      </w:r>
      <w:r>
        <w:rPr>
          <w:rFonts w:hint="eastAsia" w:ascii="宋体" w:hAnsi="宋体" w:eastAsia="宋体" w:cs="宋体"/>
          <w:kern w:val="0"/>
          <w:sz w:val="22"/>
          <w:szCs w:val="22"/>
          <w:u w:val="single"/>
        </w:rPr>
        <w:t xml:space="preserve">            </w:t>
      </w:r>
      <w:r>
        <w:rPr>
          <w:rFonts w:hint="eastAsia" w:ascii="宋体" w:hAnsi="宋体" w:eastAsia="宋体" w:cs="宋体"/>
          <w:kern w:val="0"/>
          <w:sz w:val="22"/>
          <w:szCs w:val="22"/>
        </w:rPr>
        <w:t>（供应商名称）负责人</w:t>
      </w:r>
      <w:r>
        <w:rPr>
          <w:rFonts w:hint="eastAsia" w:ascii="宋体" w:hAnsi="宋体" w:eastAsia="宋体" w:cs="宋体"/>
          <w:kern w:val="0"/>
          <w:sz w:val="22"/>
          <w:szCs w:val="22"/>
          <w:u w:val="single"/>
        </w:rPr>
        <w:t xml:space="preserve">        </w:t>
      </w:r>
      <w:r>
        <w:rPr>
          <w:rFonts w:hint="eastAsia" w:ascii="宋体" w:hAnsi="宋体" w:eastAsia="宋体" w:cs="宋体"/>
          <w:kern w:val="0"/>
          <w:sz w:val="22"/>
          <w:szCs w:val="22"/>
        </w:rPr>
        <w:t>（姓名）合法授权参加</w:t>
      </w:r>
      <w:r>
        <w:rPr>
          <w:rFonts w:hint="eastAsia" w:ascii="宋体" w:hAnsi="宋体" w:eastAsia="宋体" w:cs="宋体"/>
          <w:kern w:val="0"/>
          <w:sz w:val="22"/>
          <w:szCs w:val="22"/>
          <w:u w:val="single"/>
        </w:rPr>
        <w:t xml:space="preserve">             </w:t>
      </w:r>
      <w:r>
        <w:rPr>
          <w:rFonts w:hint="eastAsia" w:ascii="宋体" w:hAnsi="宋体" w:eastAsia="宋体" w:cs="宋体"/>
          <w:kern w:val="0"/>
          <w:sz w:val="22"/>
          <w:szCs w:val="22"/>
        </w:rPr>
        <w:t>项目（编号：</w:t>
      </w:r>
      <w:r>
        <w:rPr>
          <w:rFonts w:hint="eastAsia" w:ascii="宋体" w:hAnsi="宋体" w:eastAsia="宋体" w:cs="宋体"/>
          <w:kern w:val="0"/>
          <w:sz w:val="22"/>
          <w:szCs w:val="22"/>
          <w:u w:val="single"/>
        </w:rPr>
        <w:t xml:space="preserve">                </w:t>
      </w:r>
      <w:r>
        <w:rPr>
          <w:rFonts w:hint="eastAsia" w:ascii="宋体" w:hAnsi="宋体" w:eastAsia="宋体" w:cs="宋体"/>
          <w:kern w:val="0"/>
          <w:sz w:val="22"/>
          <w:szCs w:val="22"/>
        </w:rPr>
        <w:t>）采购活动，经与本单位法人代表（负责人）联系确认，现就有关公平竞争事项郑重声明如下：</w:t>
      </w:r>
    </w:p>
    <w:p>
      <w:pPr>
        <w:numPr>
          <w:ilvl w:val="0"/>
          <w:numId w:val="7"/>
        </w:numPr>
        <w:spacing w:line="460" w:lineRule="exact"/>
        <w:rPr>
          <w:rFonts w:hint="eastAsia" w:ascii="宋体" w:hAnsi="宋体" w:eastAsia="宋体" w:cs="宋体"/>
          <w:kern w:val="0"/>
          <w:sz w:val="22"/>
          <w:szCs w:val="22"/>
        </w:rPr>
      </w:pPr>
      <w:r>
        <w:rPr>
          <w:rFonts w:hint="eastAsia" w:ascii="宋体" w:hAnsi="宋体" w:eastAsia="宋体" w:cs="宋体"/>
          <w:kern w:val="0"/>
          <w:sz w:val="22"/>
          <w:szCs w:val="22"/>
        </w:rPr>
        <w:t>本单位与招标人之间 □不存在利害关系 □存在下列利害关系：</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xml:space="preserve">      A.投资关系    </w:t>
      </w:r>
    </w:p>
    <w:p>
      <w:pPr>
        <w:spacing w:line="460" w:lineRule="exact"/>
        <w:ind w:firstLine="660" w:firstLineChars="300"/>
        <w:rPr>
          <w:rFonts w:hint="eastAsia" w:ascii="宋体" w:hAnsi="宋体" w:eastAsia="宋体" w:cs="宋体"/>
          <w:kern w:val="0"/>
          <w:sz w:val="22"/>
          <w:szCs w:val="22"/>
        </w:rPr>
      </w:pPr>
      <w:r>
        <w:rPr>
          <w:rFonts w:hint="eastAsia" w:ascii="宋体" w:hAnsi="宋体" w:eastAsia="宋体" w:cs="宋体"/>
          <w:kern w:val="0"/>
          <w:sz w:val="22"/>
          <w:szCs w:val="22"/>
        </w:rPr>
        <w:t xml:space="preserve">B.行政隶属关系    </w:t>
      </w:r>
    </w:p>
    <w:p>
      <w:pPr>
        <w:spacing w:line="460" w:lineRule="exact"/>
        <w:ind w:firstLine="660" w:firstLineChars="300"/>
        <w:rPr>
          <w:rFonts w:hint="eastAsia" w:ascii="宋体" w:hAnsi="宋体" w:eastAsia="宋体" w:cs="宋体"/>
          <w:kern w:val="0"/>
          <w:sz w:val="22"/>
          <w:szCs w:val="22"/>
        </w:rPr>
      </w:pPr>
      <w:r>
        <w:rPr>
          <w:rFonts w:hint="eastAsia" w:ascii="宋体" w:hAnsi="宋体" w:eastAsia="宋体" w:cs="宋体"/>
          <w:kern w:val="0"/>
          <w:sz w:val="22"/>
          <w:szCs w:val="22"/>
        </w:rPr>
        <w:t xml:space="preserve">C.业务指导关系  </w:t>
      </w:r>
    </w:p>
    <w:p>
      <w:pPr>
        <w:spacing w:line="460" w:lineRule="exact"/>
        <w:ind w:firstLine="660" w:firstLineChars="300"/>
        <w:rPr>
          <w:rFonts w:hint="eastAsia" w:ascii="宋体" w:hAnsi="宋体" w:eastAsia="宋体" w:cs="宋体"/>
          <w:sz w:val="22"/>
          <w:szCs w:val="22"/>
        </w:rPr>
      </w:pPr>
      <w:r>
        <w:rPr>
          <w:rFonts w:hint="eastAsia" w:ascii="宋体" w:hAnsi="宋体" w:eastAsia="宋体" w:cs="宋体"/>
          <w:kern w:val="0"/>
          <w:sz w:val="22"/>
          <w:szCs w:val="22"/>
        </w:rPr>
        <w:t>D.其他可能影响采购公正的利害关系</w:t>
      </w:r>
      <w:r>
        <w:rPr>
          <w:rStyle w:val="333"/>
          <w:rFonts w:hint="eastAsia" w:ascii="宋体" w:hAnsi="宋体" w:eastAsia="宋体" w:cs="宋体"/>
          <w:color w:val="auto"/>
          <w:sz w:val="22"/>
          <w:szCs w:val="22"/>
        </w:rPr>
        <w:t xml:space="preserve">（如有，请如实说明）                 </w:t>
      </w:r>
      <w:r>
        <w:rPr>
          <w:rFonts w:hint="eastAsia" w:ascii="宋体" w:hAnsi="宋体" w:eastAsia="宋体" w:cs="宋体"/>
          <w:kern w:val="0"/>
          <w:sz w:val="22"/>
          <w:szCs w:val="22"/>
        </w:rPr>
        <w:t>。</w:t>
      </w:r>
    </w:p>
    <w:p>
      <w:pPr>
        <w:numPr>
          <w:ilvl w:val="0"/>
          <w:numId w:val="7"/>
        </w:numPr>
        <w:spacing w:line="460" w:lineRule="exact"/>
        <w:rPr>
          <w:rFonts w:hint="eastAsia" w:ascii="宋体" w:hAnsi="宋体" w:eastAsia="宋体" w:cs="宋体"/>
          <w:kern w:val="0"/>
          <w:sz w:val="22"/>
          <w:szCs w:val="22"/>
        </w:rPr>
      </w:pPr>
      <w:r>
        <w:rPr>
          <w:rFonts w:hint="eastAsia" w:ascii="宋体" w:hAnsi="宋体" w:eastAsia="宋体" w:cs="宋体"/>
          <w:kern w:val="0"/>
          <w:sz w:val="22"/>
          <w:szCs w:val="22"/>
        </w:rPr>
        <w:t xml:space="preserve">现已清楚知道参加本项目采购活动的其他所有供应商名称，本单位 </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xml:space="preserve">      □与其他所有供应商之间均不存在利害关系 </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xml:space="preserve">      □与</w:t>
      </w:r>
      <w:r>
        <w:rPr>
          <w:rFonts w:hint="eastAsia" w:ascii="宋体" w:hAnsi="宋体" w:eastAsia="宋体" w:cs="宋体"/>
          <w:kern w:val="0"/>
          <w:sz w:val="22"/>
          <w:szCs w:val="22"/>
          <w:u w:val="single"/>
        </w:rPr>
        <w:t xml:space="preserve">           （</w:t>
      </w:r>
      <w:r>
        <w:rPr>
          <w:rFonts w:hint="eastAsia" w:ascii="宋体" w:hAnsi="宋体" w:eastAsia="宋体" w:cs="宋体"/>
          <w:kern w:val="0"/>
          <w:sz w:val="22"/>
          <w:szCs w:val="22"/>
        </w:rPr>
        <w:t>供应商名称）之间存在下列利害关系</w:t>
      </w:r>
      <w:r>
        <w:rPr>
          <w:rFonts w:hint="eastAsia" w:ascii="宋体" w:hAnsi="宋体" w:eastAsia="宋体" w:cs="宋体"/>
          <w:kern w:val="0"/>
          <w:sz w:val="22"/>
          <w:szCs w:val="22"/>
          <w:u w:val="single"/>
        </w:rPr>
        <w:t xml:space="preserve">          </w:t>
      </w:r>
      <w:r>
        <w:rPr>
          <w:rFonts w:hint="eastAsia" w:ascii="宋体" w:hAnsi="宋体" w:eastAsia="宋体" w:cs="宋体"/>
          <w:kern w:val="0"/>
          <w:sz w:val="22"/>
          <w:szCs w:val="22"/>
        </w:rPr>
        <w:t>：</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xml:space="preserve">      A.法定代表人或负责人或实际控制人是同一人</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xml:space="preserve">      B.法定代表人或负责人或实际控制人是夫妻关系</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xml:space="preserve">      C.法定代表人或负责人或实际控制人是直系血亲关系</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xml:space="preserve">      D.法定代表人或负责人或实际控制人存在三代以内旁系血亲关系</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xml:space="preserve">      E.法定代表人或负责人或实际控制人存在近姻亲关系</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xml:space="preserve">      F.法定代表人或负责人或实际控制人存在股份控制或实际控制关系</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xml:space="preserve">      G.存在共同直接或间接投资设立子公司、联营企业和合营企业情况</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xml:space="preserve">      H.存在分级代理或代销关系、同一生产制造商关系、管理关系、重要业务（占主营业务收入50%以上）或重要财务往来关系（如融资）等其他实质性控制关系</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xml:space="preserve">      I.其他利害关系情况</w:t>
      </w:r>
      <w:r>
        <w:rPr>
          <w:rFonts w:hint="eastAsia" w:ascii="宋体" w:hAnsi="宋体" w:eastAsia="宋体" w:cs="宋体"/>
          <w:kern w:val="0"/>
          <w:sz w:val="22"/>
          <w:szCs w:val="22"/>
          <w:u w:val="single"/>
        </w:rPr>
        <w:t xml:space="preserve">                              。</w:t>
      </w:r>
    </w:p>
    <w:p>
      <w:pPr>
        <w:pStyle w:val="23"/>
        <w:spacing w:line="460" w:lineRule="exact"/>
        <w:ind w:left="0" w:firstLine="0" w:firstLineChars="0"/>
        <w:rPr>
          <w:rFonts w:hint="eastAsia" w:ascii="宋体" w:hAnsi="宋体" w:eastAsia="宋体" w:cs="宋体"/>
          <w:kern w:val="0"/>
          <w:sz w:val="22"/>
          <w:szCs w:val="22"/>
        </w:rPr>
      </w:pPr>
      <w:r>
        <w:rPr>
          <w:rFonts w:hint="eastAsia" w:ascii="宋体" w:hAnsi="宋体" w:eastAsia="宋体" w:cs="宋体"/>
          <w:kern w:val="0"/>
          <w:sz w:val="22"/>
          <w:szCs w:val="22"/>
        </w:rPr>
        <w:t>（三）现已清楚知道并严格遵守政府采购法律法规和现场纪律</w:t>
      </w:r>
    </w:p>
    <w:p>
      <w:pPr>
        <w:pStyle w:val="23"/>
        <w:spacing w:line="460" w:lineRule="exact"/>
        <w:ind w:left="0" w:firstLine="0" w:firstLineChars="0"/>
        <w:rPr>
          <w:rFonts w:hint="eastAsia" w:ascii="宋体" w:hAnsi="宋体" w:eastAsia="宋体" w:cs="宋体"/>
          <w:kern w:val="0"/>
          <w:sz w:val="22"/>
          <w:szCs w:val="22"/>
        </w:rPr>
      </w:pPr>
      <w:r>
        <w:rPr>
          <w:rFonts w:hint="eastAsia" w:ascii="宋体" w:hAnsi="宋体" w:eastAsia="宋体" w:cs="宋体"/>
          <w:kern w:val="0"/>
          <w:sz w:val="22"/>
          <w:szCs w:val="22"/>
        </w:rPr>
        <w:t>（四）我发现</w:t>
      </w:r>
      <w:r>
        <w:rPr>
          <w:rStyle w:val="333"/>
          <w:rFonts w:hint="eastAsia" w:ascii="宋体" w:hAnsi="宋体" w:eastAsia="宋体" w:cs="宋体"/>
          <w:color w:val="auto"/>
          <w:sz w:val="22"/>
          <w:szCs w:val="22"/>
          <w:u w:val="single"/>
        </w:rPr>
        <w:t xml:space="preserve">                  </w:t>
      </w:r>
      <w:r>
        <w:rPr>
          <w:rStyle w:val="333"/>
          <w:rFonts w:hint="eastAsia" w:ascii="宋体" w:hAnsi="宋体" w:eastAsia="宋体" w:cs="宋体"/>
          <w:color w:val="auto"/>
          <w:sz w:val="22"/>
          <w:szCs w:val="22"/>
        </w:rPr>
        <w:t>与</w:t>
      </w:r>
      <w:r>
        <w:rPr>
          <w:rStyle w:val="333"/>
          <w:rFonts w:hint="eastAsia" w:ascii="宋体" w:hAnsi="宋体" w:eastAsia="宋体" w:cs="宋体"/>
          <w:color w:val="auto"/>
          <w:sz w:val="22"/>
          <w:szCs w:val="22"/>
          <w:u w:val="single"/>
        </w:rPr>
        <w:t xml:space="preserve">                  </w:t>
      </w:r>
      <w:r>
        <w:rPr>
          <w:rStyle w:val="333"/>
          <w:rFonts w:hint="eastAsia" w:ascii="宋体" w:hAnsi="宋体" w:eastAsia="宋体" w:cs="宋体"/>
          <w:color w:val="auto"/>
          <w:sz w:val="22"/>
          <w:szCs w:val="22"/>
        </w:rPr>
        <w:t>（供应商名称）</w:t>
      </w:r>
      <w:r>
        <w:rPr>
          <w:rFonts w:hint="eastAsia" w:ascii="宋体" w:hAnsi="宋体" w:eastAsia="宋体" w:cs="宋体"/>
          <w:kern w:val="0"/>
          <w:sz w:val="22"/>
          <w:szCs w:val="22"/>
        </w:rPr>
        <w:t>之间存在或可能存在上述第二条第</w:t>
      </w:r>
      <w:r>
        <w:rPr>
          <w:rStyle w:val="333"/>
          <w:rFonts w:hint="eastAsia" w:ascii="宋体" w:hAnsi="宋体" w:eastAsia="宋体" w:cs="宋体"/>
          <w:color w:val="auto"/>
          <w:sz w:val="22"/>
          <w:szCs w:val="22"/>
          <w:u w:val="single"/>
        </w:rPr>
        <w:t xml:space="preserve">        </w:t>
      </w:r>
      <w:r>
        <w:rPr>
          <w:rFonts w:hint="eastAsia" w:ascii="宋体" w:hAnsi="宋体" w:eastAsia="宋体" w:cs="宋体"/>
          <w:kern w:val="0"/>
          <w:sz w:val="22"/>
          <w:szCs w:val="22"/>
        </w:rPr>
        <w:t>项利害关系。</w:t>
      </w:r>
    </w:p>
    <w:p>
      <w:pPr>
        <w:pStyle w:val="23"/>
        <w:spacing w:line="460" w:lineRule="exact"/>
        <w:ind w:left="0" w:firstLine="0" w:firstLineChars="0"/>
        <w:rPr>
          <w:rFonts w:hint="eastAsia" w:ascii="宋体" w:hAnsi="宋体" w:eastAsia="宋体" w:cs="宋体"/>
          <w:b/>
          <w:kern w:val="0"/>
          <w:sz w:val="22"/>
          <w:szCs w:val="22"/>
        </w:rPr>
      </w:pPr>
      <w:r>
        <w:rPr>
          <w:rFonts w:hint="eastAsia" w:ascii="宋体" w:hAnsi="宋体" w:eastAsia="宋体" w:cs="宋体"/>
          <w:b/>
          <w:kern w:val="0"/>
          <w:sz w:val="22"/>
          <w:szCs w:val="22"/>
        </w:rPr>
        <w:t>供应商代表签名:</w:t>
      </w:r>
    </w:p>
    <w:p>
      <w:pPr>
        <w:pStyle w:val="23"/>
        <w:spacing w:line="460" w:lineRule="exact"/>
        <w:ind w:left="0" w:firstLine="0" w:firstLineChars="0"/>
        <w:jc w:val="right"/>
        <w:rPr>
          <w:rFonts w:hint="eastAsia" w:ascii="宋体" w:hAnsi="宋体" w:eastAsia="宋体" w:cs="宋体"/>
          <w:b/>
          <w:bCs/>
          <w:sz w:val="22"/>
          <w:szCs w:val="22"/>
        </w:rPr>
      </w:pPr>
      <w:r>
        <w:rPr>
          <w:rFonts w:hint="eastAsia" w:ascii="宋体" w:hAnsi="宋体" w:eastAsia="宋体" w:cs="宋体"/>
          <w:b/>
          <w:kern w:val="0"/>
          <w:sz w:val="22"/>
          <w:szCs w:val="22"/>
        </w:rPr>
        <w:t>日期:202</w:t>
      </w:r>
      <w:r>
        <w:rPr>
          <w:rFonts w:hint="eastAsia" w:ascii="宋体" w:hAnsi="宋体" w:eastAsia="宋体" w:cs="宋体"/>
          <w:b/>
          <w:kern w:val="0"/>
          <w:sz w:val="22"/>
          <w:szCs w:val="22"/>
          <w:lang w:val="en-US" w:eastAsia="zh-CN"/>
        </w:rPr>
        <w:t xml:space="preserve">  </w:t>
      </w:r>
      <w:r>
        <w:rPr>
          <w:rFonts w:hint="eastAsia" w:ascii="宋体" w:hAnsi="宋体" w:eastAsia="宋体" w:cs="宋体"/>
          <w:b/>
          <w:kern w:val="0"/>
          <w:sz w:val="22"/>
          <w:szCs w:val="22"/>
        </w:rPr>
        <w:t>年    月    日</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适用于按医疗器械管理的货物）；</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sz w:val="24"/>
          <w:highlight w:val="none"/>
        </w:rPr>
      </w:pPr>
    </w:p>
    <w:p>
      <w:pPr>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rPr>
      </w:pP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6</w:t>
      </w:r>
      <w:r>
        <w:rPr>
          <w:rFonts w:hint="eastAsia" w:ascii="宋体" w:hAnsi="宋体" w:eastAsia="宋体" w:cs="宋体"/>
          <w:b/>
          <w:bCs/>
          <w:color w:val="auto"/>
          <w:sz w:val="24"/>
          <w:highlight w:val="none"/>
        </w:rPr>
        <w:t>、提供食品药品监督管理部门核发的完整有效的医疗器械注册或备案证明；（适用于按医疗器械管理的设备）</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sz w:val="24"/>
          <w:highlight w:val="none"/>
        </w:rPr>
      </w:pPr>
    </w:p>
    <w:p>
      <w:pPr>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rPr>
      </w:pP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、货物制造商或其它有销售资格（提供证明材料）的供应商出具的授权书（适用于投标人是进口货物代理商的情形）</w:t>
      </w:r>
    </w:p>
    <w:p>
      <w:pPr>
        <w:spacing w:line="460" w:lineRule="exact"/>
        <w:ind w:left="514" w:leftChars="245"/>
        <w:jc w:val="left"/>
        <w:rPr>
          <w:rFonts w:hint="eastAsia" w:ascii="宋体" w:hAnsi="宋体" w:eastAsia="宋体" w:cs="宋体"/>
          <w:b/>
          <w:bCs/>
          <w:color w:val="auto"/>
          <w:szCs w:val="21"/>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pStyle w:val="2"/>
        <w:rPr>
          <w:rFonts w:hint="eastAsia" w:ascii="宋体" w:hAnsi="宋体" w:eastAsia="宋体" w:cs="宋体"/>
          <w:bCs/>
          <w:color w:val="auto"/>
          <w:sz w:val="22"/>
          <w:szCs w:val="22"/>
          <w:highlight w:val="none"/>
        </w:rPr>
      </w:pPr>
    </w:p>
    <w:p>
      <w:pPr>
        <w:rPr>
          <w:rFonts w:hint="eastAsia" w:ascii="宋体" w:hAnsi="宋体" w:eastAsia="宋体" w:cs="宋体"/>
          <w:highlight w:val="none"/>
        </w:rPr>
      </w:pPr>
    </w:p>
    <w:p>
      <w:pPr>
        <w:rPr>
          <w:rFonts w:hint="eastAsia" w:ascii="宋体" w:hAnsi="宋体" w:eastAsia="宋体" w:cs="宋体"/>
          <w:color w:val="auto"/>
          <w:highlight w:val="none"/>
        </w:rPr>
      </w:pPr>
    </w:p>
    <w:p>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pPr>
        <w:outlineLvl w:val="1"/>
        <w:rPr>
          <w:rFonts w:hint="eastAsia" w:ascii="宋体" w:hAnsi="宋体" w:eastAsia="宋体" w:cs="宋体"/>
          <w:b/>
          <w:bCs/>
          <w:color w:val="auto"/>
          <w:sz w:val="22"/>
          <w:szCs w:val="22"/>
          <w:highlight w:val="none"/>
        </w:rPr>
      </w:pPr>
      <w:bookmarkStart w:id="36" w:name="_Toc16516"/>
      <w:bookmarkStart w:id="37" w:name="_Toc31356"/>
      <w:r>
        <w:rPr>
          <w:rFonts w:hint="eastAsia" w:ascii="宋体" w:hAnsi="宋体" w:eastAsia="宋体" w:cs="宋体"/>
          <w:b/>
          <w:bCs/>
          <w:color w:val="auto"/>
          <w:sz w:val="22"/>
          <w:szCs w:val="22"/>
          <w:highlight w:val="none"/>
        </w:rPr>
        <w:t>附件三</w:t>
      </w:r>
      <w:bookmarkEnd w:id="36"/>
      <w:bookmarkEnd w:id="37"/>
    </w:p>
    <w:p>
      <w:pPr>
        <w:spacing w:line="460" w:lineRule="exact"/>
        <w:jc w:val="center"/>
        <w:outlineLvl w:val="2"/>
        <w:rPr>
          <w:rFonts w:hint="eastAsia" w:ascii="宋体" w:hAnsi="宋体" w:eastAsia="宋体" w:cs="宋体"/>
          <w:b/>
          <w:bCs/>
          <w:color w:val="auto"/>
          <w:sz w:val="28"/>
          <w:szCs w:val="28"/>
          <w:highlight w:val="none"/>
          <w:lang w:val="zh-CN"/>
        </w:rPr>
      </w:pPr>
      <w:bookmarkStart w:id="38" w:name="_Toc13639"/>
      <w:bookmarkStart w:id="39" w:name="_Toc29102"/>
      <w:r>
        <w:rPr>
          <w:rFonts w:hint="eastAsia" w:ascii="宋体" w:hAnsi="宋体" w:eastAsia="宋体" w:cs="宋体"/>
          <w:b/>
          <w:bCs/>
          <w:color w:val="auto"/>
          <w:sz w:val="28"/>
          <w:szCs w:val="28"/>
          <w:highlight w:val="none"/>
          <w:lang w:val="zh-CN"/>
        </w:rPr>
        <w:t>商务技术文件</w:t>
      </w:r>
      <w:bookmarkEnd w:id="38"/>
      <w:bookmarkEnd w:id="39"/>
    </w:p>
    <w:p>
      <w:pPr>
        <w:spacing w:line="380" w:lineRule="exact"/>
        <w:jc w:val="center"/>
        <w:outlineLvl w:val="3"/>
        <w:rPr>
          <w:rFonts w:hint="eastAsia" w:ascii="宋体" w:hAnsi="宋体" w:eastAsia="宋体" w:cs="宋体"/>
          <w:b/>
          <w:color w:val="auto"/>
          <w:sz w:val="22"/>
          <w:szCs w:val="22"/>
          <w:highlight w:val="none"/>
        </w:rPr>
      </w:pPr>
      <w:r>
        <w:rPr>
          <w:rFonts w:hint="eastAsia" w:ascii="宋体" w:hAnsi="宋体" w:eastAsia="宋体" w:cs="宋体"/>
          <w:b/>
          <w:color w:val="auto"/>
          <w:sz w:val="24"/>
          <w:highlight w:val="none"/>
        </w:rPr>
        <w:t>1、法定代表人授权书</w:t>
      </w:r>
    </w:p>
    <w:p>
      <w:pPr>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w:t>
      </w:r>
    </w:p>
    <w:p>
      <w:pPr>
        <w:spacing w:line="460" w:lineRule="exact"/>
        <w:rPr>
          <w:rFonts w:hint="eastAsia" w:ascii="宋体" w:hAnsi="宋体" w:eastAsia="宋体" w:cs="宋体"/>
          <w:color w:val="auto"/>
          <w:sz w:val="22"/>
          <w:szCs w:val="22"/>
          <w:highlight w:val="none"/>
          <w:u w:val="single"/>
        </w:rPr>
      </w:pPr>
    </w:p>
    <w:p>
      <w:pPr>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（投标人全称）法定代表人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（全权代表姓名）为全权代表，参加贵处组织的（项目名称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）的招标活动，全权代表我方处理招标活动中的一切事宜。</w:t>
      </w:r>
    </w:p>
    <w:p>
      <w:pPr>
        <w:spacing w:line="460" w:lineRule="exact"/>
        <w:ind w:firstLine="2955"/>
        <w:rPr>
          <w:rFonts w:hint="eastAsia" w:ascii="宋体" w:hAnsi="宋体" w:eastAsia="宋体" w:cs="宋体"/>
          <w:color w:val="auto"/>
          <w:sz w:val="22"/>
          <w:szCs w:val="22"/>
          <w:highlight w:val="none"/>
        </w:rPr>
      </w:pP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ind w:firstLine="4081" w:firstLineChars="18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投标人全称（公章）：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w:t>
      </w: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授权代表姓名：                               </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职务：</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详细通讯地址：</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电话：</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传真：</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邮政编码:</w:t>
      </w:r>
    </w:p>
    <w:p>
      <w:pPr>
        <w:spacing w:line="380" w:lineRule="exact"/>
        <w:rPr>
          <w:rFonts w:hint="eastAsia" w:ascii="宋体" w:hAnsi="宋体" w:eastAsia="宋体" w:cs="宋体"/>
          <w:color w:val="auto"/>
          <w:sz w:val="22"/>
          <w:szCs w:val="22"/>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r>
                        <w:rPr>
                          <w:rFonts w:hint="eastAsia" w:ascii="新宋体" w:hAnsi="新宋体" w:eastAsia="新宋体"/>
                          <w:sz w:val="22"/>
                          <w:szCs w:val="22"/>
                        </w:rPr>
                        <w:t xml:space="preserve">  法定代表人身份证（正反面）：</w:t>
                      </w:r>
                    </w:p>
                  </w:txbxContent>
                </v:textbox>
              </v:shape>
            </w:pict>
          </mc:Fallback>
        </mc:AlternateContent>
      </w: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r>
                        <w:rPr>
                          <w:rFonts w:hint="eastAsia" w:ascii="新宋体" w:hAnsi="新宋体" w:eastAsia="新宋体"/>
                          <w:sz w:val="22"/>
                          <w:szCs w:val="22"/>
                        </w:rPr>
                        <w:t xml:space="preserve">  授权代表身份证（正反面）：</w:t>
                      </w:r>
                    </w:p>
                  </w:txbxContent>
                </v:textbox>
              </v:shape>
            </w:pict>
          </mc:Fallback>
        </mc:AlternateContent>
      </w: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outlineLvl w:val="3"/>
        <w:rPr>
          <w:rFonts w:hint="eastAsia" w:ascii="宋体" w:hAnsi="宋体" w:eastAsia="宋体" w:cs="宋体"/>
          <w:b/>
          <w:bCs/>
          <w:color w:val="auto"/>
          <w:sz w:val="22"/>
          <w:szCs w:val="22"/>
          <w:highlight w:val="none"/>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pPr>
        <w:spacing w:line="380" w:lineRule="exact"/>
        <w:jc w:val="center"/>
        <w:outlineLvl w:val="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2、投标人情况表</w:t>
      </w:r>
    </w:p>
    <w:p>
      <w:pPr>
        <w:tabs>
          <w:tab w:val="left" w:pos="780"/>
        </w:tabs>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单位名称（盖章）</w:t>
            </w:r>
          </w:p>
        </w:tc>
        <w:tc>
          <w:tcPr>
            <w:tcW w:w="2804" w:type="dxa"/>
            <w:gridSpan w:val="2"/>
          </w:tcPr>
          <w:p>
            <w:pPr>
              <w:spacing w:line="480" w:lineRule="exact"/>
              <w:rPr>
                <w:rFonts w:hint="eastAsia" w:ascii="宋体" w:hAnsi="宋体" w:eastAsia="宋体" w:cs="宋体"/>
                <w:color w:val="auto"/>
                <w:sz w:val="22"/>
                <w:szCs w:val="22"/>
                <w:highlight w:val="none"/>
              </w:rPr>
            </w:pPr>
          </w:p>
        </w:tc>
        <w:tc>
          <w:tcPr>
            <w:tcW w:w="1115"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p>
        </w:tc>
        <w:tc>
          <w:tcPr>
            <w:tcW w:w="2588" w:type="dxa"/>
            <w:gridSpan w:val="2"/>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主管部门</w:t>
            </w:r>
          </w:p>
        </w:tc>
        <w:tc>
          <w:tcPr>
            <w:tcW w:w="1502" w:type="dxa"/>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企业负责人</w:t>
            </w:r>
          </w:p>
        </w:tc>
        <w:tc>
          <w:tcPr>
            <w:tcW w:w="1115" w:type="dxa"/>
          </w:tcPr>
          <w:p>
            <w:pPr>
              <w:spacing w:line="480" w:lineRule="exact"/>
              <w:rPr>
                <w:rFonts w:hint="eastAsia" w:ascii="宋体" w:hAnsi="宋体" w:eastAsia="宋体" w:cs="宋体"/>
                <w:color w:val="auto"/>
                <w:sz w:val="22"/>
                <w:szCs w:val="22"/>
                <w:highlight w:val="none"/>
              </w:rPr>
            </w:pPr>
          </w:p>
        </w:tc>
        <w:tc>
          <w:tcPr>
            <w:tcW w:w="1461"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p>
        </w:tc>
        <w:tc>
          <w:tcPr>
            <w:tcW w:w="2804" w:type="dxa"/>
            <w:gridSpan w:val="2"/>
          </w:tcPr>
          <w:p>
            <w:pPr>
              <w:spacing w:line="480" w:lineRule="exact"/>
              <w:rPr>
                <w:rFonts w:hint="eastAsia" w:ascii="宋体" w:hAnsi="宋体" w:eastAsia="宋体" w:cs="宋体"/>
                <w:color w:val="auto"/>
                <w:sz w:val="22"/>
                <w:szCs w:val="22"/>
                <w:highlight w:val="none"/>
              </w:rPr>
            </w:pPr>
          </w:p>
        </w:tc>
        <w:tc>
          <w:tcPr>
            <w:tcW w:w="1115"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tc>
        <w:tc>
          <w:tcPr>
            <w:tcW w:w="2588" w:type="dxa"/>
            <w:gridSpan w:val="2"/>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企业性质</w:t>
            </w:r>
          </w:p>
        </w:tc>
        <w:tc>
          <w:tcPr>
            <w:tcW w:w="1502" w:type="dxa"/>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tc>
        <w:tc>
          <w:tcPr>
            <w:tcW w:w="1115" w:type="dxa"/>
          </w:tcPr>
          <w:p>
            <w:pPr>
              <w:spacing w:line="480" w:lineRule="exact"/>
              <w:rPr>
                <w:rFonts w:hint="eastAsia" w:ascii="宋体" w:hAnsi="宋体" w:eastAsia="宋体" w:cs="宋体"/>
                <w:color w:val="auto"/>
                <w:sz w:val="22"/>
                <w:szCs w:val="22"/>
                <w:highlight w:val="none"/>
              </w:rPr>
            </w:pPr>
          </w:p>
        </w:tc>
        <w:tc>
          <w:tcPr>
            <w:tcW w:w="1461"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单位简介</w:t>
            </w:r>
          </w:p>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及机构</w:t>
            </w:r>
          </w:p>
        </w:tc>
        <w:tc>
          <w:tcPr>
            <w:tcW w:w="6507" w:type="dxa"/>
            <w:gridSpan w:val="6"/>
            <w:vAlign w:val="center"/>
          </w:tcPr>
          <w:p>
            <w:pPr>
              <w:spacing w:line="480" w:lineRule="exact"/>
              <w:jc w:val="center"/>
              <w:rPr>
                <w:rFonts w:hint="eastAsia" w:ascii="宋体" w:hAnsi="宋体" w:eastAsia="宋体" w:cs="宋体"/>
                <w:color w:val="auto"/>
                <w:sz w:val="22"/>
                <w:szCs w:val="22"/>
                <w:highlight w:val="none"/>
              </w:rPr>
            </w:pPr>
          </w:p>
        </w:tc>
        <w:tc>
          <w:tcPr>
            <w:tcW w:w="1488"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单位优势</w:t>
            </w:r>
          </w:p>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及特长</w:t>
            </w:r>
          </w:p>
        </w:tc>
        <w:tc>
          <w:tcPr>
            <w:tcW w:w="5566" w:type="dxa"/>
            <w:gridSpan w:val="5"/>
          </w:tcPr>
          <w:p>
            <w:pPr>
              <w:spacing w:line="48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单位概况</w:t>
            </w: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职工总数</w:t>
            </w:r>
          </w:p>
        </w:tc>
        <w:tc>
          <w:tcPr>
            <w:tcW w:w="1689" w:type="dxa"/>
            <w:vMerge w:val="restart"/>
          </w:tcPr>
          <w:p>
            <w:pPr>
              <w:spacing w:line="480" w:lineRule="exact"/>
              <w:ind w:firstLine="1540" w:firstLineChars="700"/>
              <w:rPr>
                <w:rFonts w:hint="eastAsia" w:ascii="宋体" w:hAnsi="宋体" w:eastAsia="宋体" w:cs="宋体"/>
                <w:color w:val="auto"/>
                <w:sz w:val="22"/>
                <w:szCs w:val="22"/>
                <w:highlight w:val="none"/>
              </w:rPr>
            </w:pPr>
          </w:p>
        </w:tc>
        <w:tc>
          <w:tcPr>
            <w:tcW w:w="3703" w:type="dxa"/>
            <w:gridSpan w:val="4"/>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各人员构成情况</w:t>
            </w:r>
          </w:p>
        </w:tc>
        <w:tc>
          <w:tcPr>
            <w:tcW w:w="1488" w:type="dxa"/>
            <w:vMerge w:val="restart"/>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上一年主要  经济指标</w:t>
            </w: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指标名称</w:t>
            </w:r>
          </w:p>
        </w:tc>
        <w:tc>
          <w:tcPr>
            <w:tcW w:w="1488" w:type="dxa"/>
            <w:tcBorders>
              <w:tr2bl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实际完成</w:t>
            </w:r>
          </w:p>
        </w:tc>
        <w:tc>
          <w:tcPr>
            <w:tcW w:w="1106" w:type="dxa"/>
            <w:tcBorders>
              <w:tr2bl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continue"/>
          </w:tcPr>
          <w:p>
            <w:pPr>
              <w:spacing w:line="480" w:lineRule="exact"/>
              <w:rPr>
                <w:rFonts w:hint="eastAsia" w:ascii="宋体" w:hAnsi="宋体" w:eastAsia="宋体" w:cs="宋体"/>
                <w:color w:val="auto"/>
                <w:sz w:val="22"/>
                <w:szCs w:val="22"/>
                <w:highlight w:val="none"/>
              </w:rPr>
            </w:pPr>
          </w:p>
        </w:tc>
        <w:tc>
          <w:tcPr>
            <w:tcW w:w="1689" w:type="dxa"/>
            <w:vMerge w:val="continue"/>
          </w:tcPr>
          <w:p>
            <w:pPr>
              <w:spacing w:line="480" w:lineRule="exact"/>
              <w:rPr>
                <w:rFonts w:hint="eastAsia" w:ascii="宋体" w:hAnsi="宋体" w:eastAsia="宋体" w:cs="宋体"/>
                <w:color w:val="auto"/>
                <w:sz w:val="22"/>
                <w:szCs w:val="22"/>
                <w:highlight w:val="none"/>
              </w:rPr>
            </w:pPr>
          </w:p>
        </w:tc>
        <w:tc>
          <w:tcPr>
            <w:tcW w:w="3703" w:type="dxa"/>
            <w:gridSpan w:val="4"/>
            <w:vMerge w:val="continue"/>
          </w:tcPr>
          <w:p>
            <w:pPr>
              <w:spacing w:line="480" w:lineRule="exact"/>
              <w:rPr>
                <w:rFonts w:hint="eastAsia" w:ascii="宋体" w:hAnsi="宋体" w:eastAsia="宋体" w:cs="宋体"/>
                <w:color w:val="auto"/>
                <w:sz w:val="22"/>
                <w:szCs w:val="22"/>
                <w:highlight w:val="none"/>
              </w:rPr>
            </w:pP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488" w:type="dxa"/>
            <w:vAlign w:val="center"/>
          </w:tcPr>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106"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流动资金</w:t>
            </w:r>
          </w:p>
        </w:tc>
        <w:tc>
          <w:tcPr>
            <w:tcW w:w="1689" w:type="dxa"/>
            <w:vMerge w:val="restart"/>
          </w:tcPr>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万元 </w:t>
            </w:r>
          </w:p>
        </w:tc>
        <w:tc>
          <w:tcPr>
            <w:tcW w:w="728"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1487" w:type="dxa"/>
            <w:gridSpan w:val="2"/>
            <w:vAlign w:val="center"/>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自有资金</w:t>
            </w:r>
          </w:p>
        </w:tc>
        <w:tc>
          <w:tcPr>
            <w:tcW w:w="1488"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488" w:type="dxa"/>
            <w:vAlign w:val="center"/>
          </w:tcPr>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106"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115"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689"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728"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487" w:type="dxa"/>
            <w:gridSpan w:val="2"/>
            <w:tcBorders>
              <w:bottom w:val="single" w:color="auto" w:sz="4" w:space="0"/>
            </w:tcBorders>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银行贷款</w:t>
            </w:r>
          </w:p>
        </w:tc>
        <w:tc>
          <w:tcPr>
            <w:tcW w:w="1488" w:type="dxa"/>
            <w:tcBorders>
              <w:bottom w:val="single" w:color="auto" w:sz="4" w:space="0"/>
            </w:tcBorders>
          </w:tcPr>
          <w:p>
            <w:pPr>
              <w:spacing w:line="4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502" w:type="dxa"/>
            <w:vMerge w:val="restart"/>
            <w:tcBorders>
              <w:bottom w:val="single" w:color="auto" w:sz="4" w:space="0"/>
            </w:tcBorders>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主要业绩</w:t>
            </w:r>
          </w:p>
        </w:tc>
        <w:tc>
          <w:tcPr>
            <w:tcW w:w="4064" w:type="dxa"/>
            <w:gridSpan w:val="4"/>
            <w:vMerge w:val="restart"/>
            <w:tcBorders>
              <w:bottom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固定资产</w:t>
            </w:r>
          </w:p>
        </w:tc>
        <w:tc>
          <w:tcPr>
            <w:tcW w:w="1689" w:type="dxa"/>
            <w:vMerge w:val="restart"/>
          </w:tcPr>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原值   万元</w:t>
            </w:r>
          </w:p>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净值   万元</w:t>
            </w:r>
          </w:p>
        </w:tc>
        <w:tc>
          <w:tcPr>
            <w:tcW w:w="728"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资金性质</w:t>
            </w:r>
          </w:p>
        </w:tc>
        <w:tc>
          <w:tcPr>
            <w:tcW w:w="1487"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生产性</w:t>
            </w:r>
          </w:p>
        </w:tc>
        <w:tc>
          <w:tcPr>
            <w:tcW w:w="1488" w:type="dxa"/>
          </w:tcPr>
          <w:p>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Merge w:val="continue"/>
          </w:tcPr>
          <w:p>
            <w:pPr>
              <w:spacing w:line="480" w:lineRule="exact"/>
              <w:rPr>
                <w:rFonts w:hint="eastAsia" w:ascii="宋体" w:hAnsi="宋体" w:eastAsia="宋体" w:cs="宋体"/>
                <w:color w:val="auto"/>
                <w:sz w:val="22"/>
                <w:szCs w:val="22"/>
                <w:highlight w:val="none"/>
              </w:rPr>
            </w:pPr>
          </w:p>
        </w:tc>
        <w:tc>
          <w:tcPr>
            <w:tcW w:w="4064" w:type="dxa"/>
            <w:gridSpan w:val="4"/>
            <w:vMerge w:val="continue"/>
          </w:tcPr>
          <w:p>
            <w:pPr>
              <w:spacing w:line="48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continue"/>
          </w:tcPr>
          <w:p>
            <w:pPr>
              <w:spacing w:line="480" w:lineRule="exact"/>
              <w:rPr>
                <w:rFonts w:hint="eastAsia" w:ascii="宋体" w:hAnsi="宋体" w:eastAsia="宋体" w:cs="宋体"/>
                <w:color w:val="auto"/>
                <w:sz w:val="22"/>
                <w:szCs w:val="22"/>
                <w:highlight w:val="none"/>
              </w:rPr>
            </w:pPr>
          </w:p>
        </w:tc>
        <w:tc>
          <w:tcPr>
            <w:tcW w:w="1689" w:type="dxa"/>
            <w:vMerge w:val="continue"/>
          </w:tcPr>
          <w:p>
            <w:pPr>
              <w:spacing w:line="480" w:lineRule="exact"/>
              <w:rPr>
                <w:rFonts w:hint="eastAsia" w:ascii="宋体" w:hAnsi="宋体" w:eastAsia="宋体" w:cs="宋体"/>
                <w:color w:val="auto"/>
                <w:sz w:val="22"/>
                <w:szCs w:val="22"/>
                <w:highlight w:val="none"/>
              </w:rPr>
            </w:pPr>
          </w:p>
        </w:tc>
        <w:tc>
          <w:tcPr>
            <w:tcW w:w="728" w:type="dxa"/>
            <w:vMerge w:val="continue"/>
          </w:tcPr>
          <w:p>
            <w:pPr>
              <w:spacing w:line="480" w:lineRule="exact"/>
              <w:rPr>
                <w:rFonts w:hint="eastAsia" w:ascii="宋体" w:hAnsi="宋体" w:eastAsia="宋体" w:cs="宋体"/>
                <w:color w:val="auto"/>
                <w:sz w:val="22"/>
                <w:szCs w:val="22"/>
                <w:highlight w:val="none"/>
              </w:rPr>
            </w:pPr>
          </w:p>
        </w:tc>
        <w:tc>
          <w:tcPr>
            <w:tcW w:w="1487"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非生产性</w:t>
            </w:r>
          </w:p>
        </w:tc>
        <w:tc>
          <w:tcPr>
            <w:tcW w:w="1488" w:type="dxa"/>
          </w:tcPr>
          <w:p>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Merge w:val="continue"/>
          </w:tcPr>
          <w:p>
            <w:pPr>
              <w:spacing w:line="480" w:lineRule="exact"/>
              <w:rPr>
                <w:rFonts w:hint="eastAsia" w:ascii="宋体" w:hAnsi="宋体" w:eastAsia="宋体" w:cs="宋体"/>
                <w:color w:val="auto"/>
                <w:sz w:val="22"/>
                <w:szCs w:val="22"/>
                <w:highlight w:val="none"/>
              </w:rPr>
            </w:pPr>
          </w:p>
        </w:tc>
        <w:tc>
          <w:tcPr>
            <w:tcW w:w="4064" w:type="dxa"/>
            <w:gridSpan w:val="4"/>
            <w:vMerge w:val="continue"/>
          </w:tcPr>
          <w:p>
            <w:pPr>
              <w:spacing w:line="480" w:lineRule="exact"/>
              <w:rPr>
                <w:rFonts w:hint="eastAsia" w:ascii="宋体" w:hAnsi="宋体" w:eastAsia="宋体" w:cs="宋体"/>
                <w:color w:val="auto"/>
                <w:sz w:val="22"/>
                <w:szCs w:val="22"/>
                <w:highlight w:val="none"/>
              </w:rPr>
            </w:pPr>
          </w:p>
        </w:tc>
      </w:tr>
    </w:tbl>
    <w:p>
      <w:pPr>
        <w:spacing w:line="460" w:lineRule="exact"/>
        <w:rPr>
          <w:rFonts w:hint="eastAsia" w:ascii="宋体" w:hAnsi="宋体" w:eastAsia="宋体" w:cs="宋体"/>
          <w:color w:val="auto"/>
          <w:sz w:val="22"/>
          <w:szCs w:val="22"/>
          <w:highlight w:val="none"/>
        </w:rPr>
        <w:sectPr>
          <w:pgSz w:w="16838" w:h="11906" w:orient="landscape"/>
          <w:pgMar w:top="1134" w:right="1134" w:bottom="1134" w:left="1134" w:header="850" w:footer="992" w:gutter="0"/>
          <w:cols w:space="720" w:num="1"/>
          <w:docGrid w:type="lines" w:linePitch="321" w:charSpace="0"/>
        </w:sectPr>
      </w:pPr>
    </w:p>
    <w:p>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zh-CN"/>
        </w:rPr>
        <w:t>偏离表（</w:t>
      </w:r>
      <w:r>
        <w:rPr>
          <w:rFonts w:hint="eastAsia" w:ascii="宋体" w:hAnsi="宋体" w:eastAsia="宋体" w:cs="宋体"/>
          <w:b/>
          <w:color w:val="auto"/>
          <w:sz w:val="24"/>
          <w:highlight w:val="none"/>
        </w:rPr>
        <w:t>商务、技术偏离</w:t>
      </w:r>
      <w:r>
        <w:rPr>
          <w:rFonts w:hint="eastAsia" w:ascii="宋体" w:hAnsi="宋体" w:eastAsia="宋体" w:cs="宋体"/>
          <w:b/>
          <w:color w:val="auto"/>
          <w:sz w:val="24"/>
          <w:highlight w:val="none"/>
          <w:lang w:val="zh-CN"/>
        </w:rPr>
        <w:t>）</w:t>
      </w:r>
    </w:p>
    <w:p>
      <w:pPr>
        <w:spacing w:line="560" w:lineRule="exact"/>
        <w:ind w:firstLine="433" w:firstLineChars="196"/>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44"/>
        <w:gridCol w:w="34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34"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  号</w:t>
            </w:r>
          </w:p>
        </w:tc>
        <w:tc>
          <w:tcPr>
            <w:tcW w:w="3544"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w:t>
            </w:r>
          </w:p>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规格要求</w:t>
            </w:r>
          </w:p>
        </w:tc>
        <w:tc>
          <w:tcPr>
            <w:tcW w:w="3402"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w:t>
            </w:r>
          </w:p>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对应规格</w:t>
            </w:r>
          </w:p>
        </w:tc>
        <w:tc>
          <w:tcPr>
            <w:tcW w:w="1843"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134" w:type="dxa"/>
            <w:vAlign w:val="center"/>
          </w:tcPr>
          <w:p>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bl>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z w:val="22"/>
          <w:szCs w:val="22"/>
          <w:highlight w:val="none"/>
        </w:rPr>
        <w:t>注： 如有偏离，必须在偏离表中进行详细对比说明并注明正偏离和负偏离，如不说明偏离情况，视为完全响应采购文件要求无偏离</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rPr>
          <w:rFonts w:hint="eastAsia" w:ascii="宋体" w:hAnsi="宋体" w:eastAsia="宋体" w:cs="宋体"/>
          <w:bCs/>
          <w:color w:val="auto"/>
          <w:sz w:val="22"/>
          <w:szCs w:val="22"/>
          <w:highlight w:val="none"/>
        </w:rPr>
      </w:pPr>
    </w:p>
    <w:p>
      <w:pPr>
        <w:rPr>
          <w:rFonts w:hint="eastAsia" w:ascii="宋体" w:hAnsi="宋体" w:eastAsia="宋体" w:cs="宋体"/>
          <w:bCs/>
          <w:color w:val="auto"/>
          <w:sz w:val="22"/>
          <w:szCs w:val="22"/>
          <w:highlight w:val="none"/>
        </w:rPr>
      </w:pPr>
    </w:p>
    <w:p>
      <w:pPr>
        <w:jc w:val="center"/>
        <w:rPr>
          <w:rFonts w:hint="eastAsia" w:ascii="新宋体" w:hAnsi="新宋体" w:eastAsia="新宋体" w:cs="新宋体"/>
          <w:b/>
          <w:bCs/>
          <w:color w:val="000000"/>
          <w:sz w:val="28"/>
          <w:szCs w:val="28"/>
          <w:highlight w:val="none"/>
        </w:rPr>
      </w:pPr>
      <w:r>
        <w:rPr>
          <w:rFonts w:hint="eastAsia" w:ascii="宋体" w:hAnsi="宋体" w:eastAsia="宋体" w:cs="宋体"/>
          <w:b/>
          <w:color w:val="auto"/>
          <w:sz w:val="24"/>
          <w:highlight w:val="none"/>
        </w:rPr>
        <w:br w:type="page"/>
      </w:r>
      <w:r>
        <w:rPr>
          <w:rFonts w:hint="eastAsia" w:ascii="新宋体" w:hAnsi="新宋体" w:eastAsia="新宋体" w:cs="新宋体"/>
          <w:b/>
          <w:bCs/>
          <w:color w:val="000000"/>
          <w:sz w:val="28"/>
          <w:szCs w:val="28"/>
          <w:highlight w:val="none"/>
        </w:rPr>
        <w:t>4、详细供货清单说明一览表</w:t>
      </w:r>
    </w:p>
    <w:p>
      <w:pPr>
        <w:rPr>
          <w:rFonts w:hint="eastAsia" w:ascii="新宋体" w:hAnsi="新宋体" w:eastAsia="新宋体" w:cs="新宋体"/>
          <w:b/>
          <w:bCs/>
          <w:color w:val="000000"/>
          <w:sz w:val="22"/>
          <w:szCs w:val="22"/>
          <w:highlight w:val="none"/>
        </w:rPr>
      </w:pPr>
      <w:r>
        <w:rPr>
          <w:rFonts w:hint="eastAsia" w:ascii="新宋体" w:hAnsi="新宋体" w:eastAsia="新宋体" w:cs="新宋体"/>
          <w:b/>
          <w:color w:val="000000"/>
          <w:sz w:val="22"/>
          <w:szCs w:val="22"/>
          <w:highlight w:val="none"/>
        </w:rPr>
        <w:t>项目名称：                                                       项目编号：</w:t>
      </w:r>
    </w:p>
    <w:tbl>
      <w:tblPr>
        <w:tblStyle w:val="53"/>
        <w:tblpPr w:leftFromText="180" w:rightFromText="180" w:vertAnchor="text" w:horzAnchor="margin"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746"/>
        <w:gridCol w:w="1812"/>
        <w:gridCol w:w="1825"/>
        <w:gridCol w:w="1975"/>
        <w:gridCol w:w="1009"/>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663" w:type="dxa"/>
            <w:shd w:val="clear" w:color="auto" w:fill="FFFFFF"/>
            <w:noWrap w:val="0"/>
            <w:vAlign w:val="center"/>
          </w:tcPr>
          <w:p>
            <w:pPr>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序号</w:t>
            </w:r>
          </w:p>
        </w:tc>
        <w:tc>
          <w:tcPr>
            <w:tcW w:w="1746" w:type="dxa"/>
            <w:shd w:val="clear" w:color="auto" w:fill="FFFFFF"/>
            <w:noWrap w:val="0"/>
            <w:vAlign w:val="center"/>
          </w:tcPr>
          <w:p>
            <w:pPr>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设备名称/规格型号（与注册证一致）</w:t>
            </w:r>
          </w:p>
        </w:tc>
        <w:tc>
          <w:tcPr>
            <w:tcW w:w="1812" w:type="dxa"/>
            <w:shd w:val="clear" w:color="auto" w:fill="FFFFFF"/>
            <w:noWrap w:val="0"/>
            <w:vAlign w:val="center"/>
          </w:tcPr>
          <w:p>
            <w:pPr>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货物注册证名称</w:t>
            </w:r>
          </w:p>
        </w:tc>
        <w:tc>
          <w:tcPr>
            <w:tcW w:w="1825" w:type="dxa"/>
            <w:shd w:val="clear" w:color="auto" w:fill="FFFFFF"/>
            <w:noWrap w:val="0"/>
            <w:vAlign w:val="center"/>
          </w:tcPr>
          <w:p>
            <w:pPr>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规格及技术参数</w:t>
            </w:r>
          </w:p>
        </w:tc>
        <w:tc>
          <w:tcPr>
            <w:tcW w:w="1975" w:type="dxa"/>
            <w:shd w:val="clear" w:color="auto" w:fill="FFFFFF"/>
            <w:noWrap w:val="0"/>
            <w:vAlign w:val="center"/>
          </w:tcPr>
          <w:p>
            <w:pPr>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原产地</w:t>
            </w:r>
          </w:p>
          <w:p>
            <w:pPr>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（生产厂家/品牌）</w:t>
            </w:r>
          </w:p>
        </w:tc>
        <w:tc>
          <w:tcPr>
            <w:tcW w:w="1009" w:type="dxa"/>
            <w:shd w:val="clear" w:color="auto" w:fill="FFFFFF"/>
            <w:noWrap w:val="0"/>
            <w:vAlign w:val="center"/>
          </w:tcPr>
          <w:p>
            <w:pPr>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数量</w:t>
            </w:r>
          </w:p>
        </w:tc>
        <w:tc>
          <w:tcPr>
            <w:tcW w:w="976" w:type="dxa"/>
            <w:shd w:val="clear" w:color="auto" w:fill="FFFFFF"/>
            <w:noWrap w:val="0"/>
            <w:vAlign w:val="center"/>
          </w:tcPr>
          <w:p>
            <w:pPr>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812"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812" w:type="dxa"/>
            <w:noWrap w:val="0"/>
            <w:vAlign w:val="top"/>
          </w:tcPr>
          <w:p>
            <w:pPr>
              <w:spacing w:line="360" w:lineRule="auto"/>
              <w:jc w:val="center"/>
              <w:rPr>
                <w:rFonts w:hint="eastAsia" w:ascii="新宋体" w:hAnsi="新宋体" w:eastAsia="新宋体" w:cs="新宋体"/>
                <w:color w:val="000000"/>
                <w:sz w:val="22"/>
                <w:szCs w:val="22"/>
                <w:highlight w:val="none"/>
              </w:rPr>
            </w:pPr>
          </w:p>
        </w:tc>
        <w:tc>
          <w:tcPr>
            <w:tcW w:w="1825" w:type="dxa"/>
            <w:noWrap w:val="0"/>
            <w:vAlign w:val="top"/>
          </w:tcPr>
          <w:p>
            <w:pPr>
              <w:spacing w:line="360" w:lineRule="auto"/>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12" w:type="dxa"/>
            <w:noWrap w:val="0"/>
            <w:vAlign w:val="top"/>
          </w:tcPr>
          <w:p>
            <w:pPr>
              <w:spacing w:line="360" w:lineRule="auto"/>
              <w:jc w:val="center"/>
              <w:rPr>
                <w:rFonts w:hint="eastAsia" w:ascii="新宋体" w:hAnsi="新宋体" w:eastAsia="新宋体" w:cs="新宋体"/>
                <w:b/>
                <w:bCs/>
                <w:color w:val="000000"/>
                <w:sz w:val="22"/>
                <w:szCs w:val="22"/>
                <w:highlight w:val="none"/>
              </w:rPr>
            </w:pPr>
          </w:p>
        </w:tc>
        <w:tc>
          <w:tcPr>
            <w:tcW w:w="1825" w:type="dxa"/>
            <w:noWrap w:val="0"/>
            <w:vAlign w:val="top"/>
          </w:tcPr>
          <w:p>
            <w:pPr>
              <w:spacing w:line="360" w:lineRule="auto"/>
              <w:rPr>
                <w:rFonts w:hint="eastAsia" w:ascii="新宋体" w:hAnsi="新宋体" w:eastAsia="新宋体" w:cs="新宋体"/>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812" w:type="dxa"/>
            <w:noWrap w:val="0"/>
            <w:vAlign w:val="top"/>
          </w:tcPr>
          <w:p>
            <w:pPr>
              <w:spacing w:line="360" w:lineRule="auto"/>
              <w:jc w:val="center"/>
              <w:rPr>
                <w:rFonts w:hint="eastAsia" w:ascii="新宋体" w:hAnsi="新宋体" w:eastAsia="新宋体" w:cs="新宋体"/>
                <w:color w:val="000000"/>
                <w:sz w:val="22"/>
                <w:szCs w:val="22"/>
                <w:highlight w:val="none"/>
              </w:rPr>
            </w:pPr>
          </w:p>
        </w:tc>
        <w:tc>
          <w:tcPr>
            <w:tcW w:w="1825" w:type="dxa"/>
            <w:noWrap w:val="0"/>
            <w:vAlign w:val="top"/>
          </w:tcPr>
          <w:p>
            <w:pPr>
              <w:spacing w:line="360" w:lineRule="auto"/>
              <w:rPr>
                <w:rFonts w:hint="eastAsia" w:ascii="新宋体" w:hAnsi="新宋体" w:eastAsia="新宋体" w:cs="新宋体"/>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812" w:type="dxa"/>
            <w:noWrap w:val="0"/>
            <w:vAlign w:val="top"/>
          </w:tcPr>
          <w:p>
            <w:pPr>
              <w:spacing w:line="360" w:lineRule="auto"/>
              <w:jc w:val="center"/>
              <w:rPr>
                <w:rFonts w:hint="eastAsia" w:ascii="新宋体" w:hAnsi="新宋体" w:eastAsia="新宋体" w:cs="新宋体"/>
                <w:color w:val="000000"/>
                <w:sz w:val="22"/>
                <w:szCs w:val="22"/>
                <w:highlight w:val="none"/>
              </w:rPr>
            </w:pPr>
          </w:p>
        </w:tc>
        <w:tc>
          <w:tcPr>
            <w:tcW w:w="1825" w:type="dxa"/>
            <w:noWrap w:val="0"/>
            <w:vAlign w:val="top"/>
          </w:tcPr>
          <w:p>
            <w:pPr>
              <w:spacing w:line="360" w:lineRule="auto"/>
              <w:rPr>
                <w:rFonts w:hint="eastAsia" w:ascii="新宋体" w:hAnsi="新宋体" w:eastAsia="新宋体" w:cs="新宋体"/>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746" w:type="dxa"/>
            <w:noWrap w:val="0"/>
            <w:vAlign w:val="center"/>
          </w:tcPr>
          <w:p>
            <w:pPr>
              <w:spacing w:line="360" w:lineRule="auto"/>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bCs/>
                <w:color w:val="000000"/>
                <w:sz w:val="22"/>
                <w:szCs w:val="22"/>
                <w:highlight w:val="none"/>
              </w:rPr>
            </w:pPr>
          </w:p>
        </w:tc>
        <w:tc>
          <w:tcPr>
            <w:tcW w:w="1746" w:type="dxa"/>
            <w:noWrap w:val="0"/>
            <w:vAlign w:val="center"/>
          </w:tcPr>
          <w:p>
            <w:pPr>
              <w:spacing w:line="360" w:lineRule="auto"/>
              <w:rPr>
                <w:rFonts w:hint="eastAsia" w:ascii="新宋体" w:hAnsi="新宋体" w:eastAsia="新宋体" w:cs="新宋体"/>
                <w:color w:val="000000"/>
                <w:sz w:val="22"/>
                <w:szCs w:val="22"/>
                <w:highlight w:val="none"/>
              </w:rPr>
            </w:pPr>
          </w:p>
        </w:tc>
        <w:tc>
          <w:tcPr>
            <w:tcW w:w="1812" w:type="dxa"/>
            <w:noWrap w:val="0"/>
            <w:vAlign w:val="center"/>
          </w:tcPr>
          <w:p>
            <w:pPr>
              <w:spacing w:line="360" w:lineRule="auto"/>
              <w:rPr>
                <w:rFonts w:hint="eastAsia" w:ascii="新宋体" w:hAnsi="新宋体" w:eastAsia="新宋体" w:cs="新宋体"/>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746" w:type="dxa"/>
            <w:noWrap w:val="0"/>
            <w:vAlign w:val="center"/>
          </w:tcPr>
          <w:p>
            <w:pPr>
              <w:spacing w:line="360" w:lineRule="auto"/>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746" w:type="dxa"/>
            <w:noWrap w:val="0"/>
            <w:vAlign w:val="center"/>
          </w:tcPr>
          <w:p>
            <w:pPr>
              <w:spacing w:line="360" w:lineRule="auto"/>
              <w:rPr>
                <w:rFonts w:hint="eastAsia" w:ascii="新宋体" w:hAnsi="新宋体" w:eastAsia="新宋体" w:cs="新宋体"/>
                <w:color w:val="000000"/>
                <w:sz w:val="22"/>
                <w:szCs w:val="22"/>
                <w:highlight w:val="none"/>
              </w:rPr>
            </w:pPr>
          </w:p>
        </w:tc>
        <w:tc>
          <w:tcPr>
            <w:tcW w:w="1812" w:type="dxa"/>
            <w:noWrap w:val="0"/>
            <w:vAlign w:val="center"/>
          </w:tcPr>
          <w:p>
            <w:pPr>
              <w:spacing w:line="360" w:lineRule="auto"/>
              <w:rPr>
                <w:rFonts w:hint="eastAsia" w:ascii="新宋体" w:hAnsi="新宋体" w:eastAsia="新宋体" w:cs="新宋体"/>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746" w:type="dxa"/>
            <w:noWrap w:val="0"/>
            <w:vAlign w:val="center"/>
          </w:tcPr>
          <w:p>
            <w:pPr>
              <w:spacing w:line="360" w:lineRule="auto"/>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746" w:type="dxa"/>
            <w:noWrap w:val="0"/>
            <w:vAlign w:val="center"/>
          </w:tcPr>
          <w:p>
            <w:pPr>
              <w:spacing w:line="360" w:lineRule="auto"/>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rPr>
                <w:rFonts w:hint="eastAsia" w:ascii="新宋体" w:hAnsi="新宋体" w:eastAsia="新宋体" w:cs="新宋体"/>
                <w:color w:val="000000"/>
                <w:sz w:val="22"/>
                <w:szCs w:val="22"/>
                <w:highlight w:val="none"/>
              </w:rPr>
            </w:pPr>
          </w:p>
        </w:tc>
        <w:tc>
          <w:tcPr>
            <w:tcW w:w="1812" w:type="dxa"/>
            <w:noWrap w:val="0"/>
            <w:vAlign w:val="center"/>
          </w:tcPr>
          <w:p>
            <w:pPr>
              <w:spacing w:line="360" w:lineRule="auto"/>
              <w:rPr>
                <w:rFonts w:hint="eastAsia" w:ascii="新宋体" w:hAnsi="新宋体" w:eastAsia="新宋体" w:cs="新宋体"/>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rPr>
                <w:rFonts w:hint="eastAsia" w:ascii="新宋体" w:hAnsi="新宋体" w:eastAsia="新宋体" w:cs="新宋体"/>
                <w:color w:val="000000"/>
                <w:sz w:val="22"/>
                <w:szCs w:val="22"/>
                <w:highlight w:val="none"/>
              </w:rPr>
            </w:pPr>
          </w:p>
        </w:tc>
        <w:tc>
          <w:tcPr>
            <w:tcW w:w="1812" w:type="dxa"/>
            <w:noWrap w:val="0"/>
            <w:vAlign w:val="center"/>
          </w:tcPr>
          <w:p>
            <w:pPr>
              <w:spacing w:line="360" w:lineRule="auto"/>
              <w:rPr>
                <w:rFonts w:hint="eastAsia" w:ascii="新宋体" w:hAnsi="新宋体" w:eastAsia="新宋体" w:cs="新宋体"/>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746" w:type="dxa"/>
            <w:noWrap w:val="0"/>
            <w:vAlign w:val="top"/>
          </w:tcPr>
          <w:p>
            <w:pPr>
              <w:spacing w:line="360" w:lineRule="auto"/>
              <w:rPr>
                <w:rFonts w:hint="eastAsia" w:ascii="新宋体" w:hAnsi="新宋体" w:eastAsia="新宋体" w:cs="新宋体"/>
                <w:color w:val="000000"/>
                <w:sz w:val="22"/>
                <w:szCs w:val="22"/>
                <w:highlight w:val="none"/>
              </w:rPr>
            </w:pPr>
          </w:p>
        </w:tc>
        <w:tc>
          <w:tcPr>
            <w:tcW w:w="1812" w:type="dxa"/>
            <w:noWrap w:val="0"/>
            <w:vAlign w:val="center"/>
          </w:tcPr>
          <w:p>
            <w:pPr>
              <w:spacing w:line="360" w:lineRule="auto"/>
              <w:rPr>
                <w:rFonts w:hint="eastAsia" w:ascii="新宋体" w:hAnsi="新宋体" w:eastAsia="新宋体" w:cs="新宋体"/>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bl>
    <w:p>
      <w:pPr>
        <w:pStyle w:val="30"/>
        <w:spacing w:line="400" w:lineRule="atLeast"/>
        <w:rPr>
          <w:rFonts w:hint="eastAsia" w:ascii="新宋体" w:hAnsi="新宋体" w:eastAsia="新宋体" w:cs="新宋体"/>
          <w:color w:val="000000"/>
          <w:sz w:val="22"/>
          <w:szCs w:val="22"/>
          <w:highlight w:val="none"/>
        </w:rPr>
      </w:pPr>
    </w:p>
    <w:p>
      <w:pPr>
        <w:pStyle w:val="30"/>
        <w:spacing w:line="400" w:lineRule="atLeast"/>
        <w:ind w:left="5360" w:leftChars="2500" w:hanging="110" w:hangingChars="50"/>
        <w:rPr>
          <w:rFonts w:hint="eastAsia" w:ascii="新宋体" w:hAnsi="新宋体" w:eastAsia="新宋体" w:cs="新宋体"/>
          <w:b w:val="0"/>
          <w:bCs/>
          <w:color w:val="000000"/>
          <w:sz w:val="22"/>
          <w:szCs w:val="22"/>
          <w:highlight w:val="none"/>
        </w:rPr>
      </w:pPr>
      <w:r>
        <w:rPr>
          <w:rFonts w:hint="eastAsia" w:ascii="新宋体" w:hAnsi="新宋体" w:eastAsia="新宋体" w:cs="新宋体"/>
          <w:b w:val="0"/>
          <w:bCs/>
          <w:color w:val="000000"/>
          <w:sz w:val="22"/>
          <w:szCs w:val="22"/>
          <w:highlight w:val="none"/>
        </w:rPr>
        <w:t>投标人全称（盖章）：</w:t>
      </w:r>
    </w:p>
    <w:p>
      <w:pPr>
        <w:spacing w:line="400" w:lineRule="exact"/>
        <w:rPr>
          <w:rFonts w:hint="eastAsia" w:ascii="新宋体" w:hAnsi="新宋体" w:eastAsia="新宋体" w:cs="新宋体"/>
          <w:bCs/>
          <w:color w:val="000000"/>
          <w:sz w:val="22"/>
          <w:szCs w:val="22"/>
          <w:highlight w:val="none"/>
        </w:rPr>
      </w:pPr>
      <w:r>
        <w:rPr>
          <w:rFonts w:hint="eastAsia" w:ascii="新宋体" w:hAnsi="新宋体" w:eastAsia="新宋体" w:cs="新宋体"/>
          <w:bCs/>
          <w:color w:val="000000"/>
          <w:sz w:val="22"/>
          <w:szCs w:val="22"/>
          <w:highlight w:val="none"/>
        </w:rPr>
        <w:t xml:space="preserve">                                                投标人代表（签字）：</w:t>
      </w:r>
    </w:p>
    <w:p>
      <w:pPr>
        <w:spacing w:line="400" w:lineRule="exact"/>
        <w:rPr>
          <w:rFonts w:hint="eastAsia" w:ascii="新宋体" w:hAnsi="新宋体" w:eastAsia="新宋体" w:cs="新宋体"/>
          <w:bCs/>
          <w:color w:val="000000"/>
          <w:sz w:val="22"/>
          <w:szCs w:val="22"/>
          <w:highlight w:val="none"/>
        </w:rPr>
      </w:pPr>
      <w:r>
        <w:rPr>
          <w:rFonts w:hint="eastAsia" w:ascii="新宋体" w:hAnsi="新宋体" w:eastAsia="新宋体" w:cs="新宋体"/>
          <w:bCs/>
          <w:color w:val="000000"/>
          <w:sz w:val="22"/>
          <w:szCs w:val="22"/>
          <w:highlight w:val="none"/>
        </w:rPr>
        <w:t xml:space="preserve">                                                日   期：</w:t>
      </w:r>
    </w:p>
    <w:p>
      <w:pPr>
        <w:keepNext/>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spacing w:line="400" w:lineRule="exact"/>
        <w:jc w:val="center"/>
        <w:outlineLvl w:val="3"/>
        <w:rPr>
          <w:rFonts w:hint="eastAsia" w:ascii="新宋体" w:hAnsi="新宋体" w:eastAsia="新宋体" w:cs="新宋体"/>
          <w:b/>
          <w:bCs/>
          <w:color w:val="000000"/>
          <w:sz w:val="28"/>
          <w:szCs w:val="28"/>
          <w:highlight w:val="none"/>
        </w:rPr>
      </w:pPr>
      <w:r>
        <w:rPr>
          <w:rFonts w:hint="eastAsia" w:ascii="新宋体" w:hAnsi="新宋体" w:eastAsia="新宋体" w:cs="新宋体"/>
          <w:b/>
          <w:bCs/>
          <w:color w:val="000000"/>
          <w:sz w:val="28"/>
          <w:szCs w:val="28"/>
          <w:highlight w:val="none"/>
        </w:rPr>
        <w:br w:type="page"/>
      </w:r>
      <w:r>
        <w:rPr>
          <w:rFonts w:hint="eastAsia" w:ascii="新宋体" w:hAnsi="新宋体" w:eastAsia="新宋体" w:cs="新宋体"/>
          <w:b/>
          <w:bCs/>
          <w:color w:val="000000"/>
          <w:sz w:val="28"/>
          <w:szCs w:val="28"/>
          <w:highlight w:val="none"/>
        </w:rPr>
        <w:t>5、备品、易损件、备件、专用工具清单</w:t>
      </w:r>
    </w:p>
    <w:p>
      <w:pPr>
        <w:spacing w:line="400" w:lineRule="exact"/>
        <w:ind w:left="139" w:leftChars="66" w:firstLine="166" w:firstLineChars="75"/>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6" w:type="dxa"/>
            <w:shd w:val="clear" w:color="auto" w:fill="FFFFFF"/>
            <w:noWrap w:val="0"/>
            <w:vAlign w:val="center"/>
          </w:tcPr>
          <w:p>
            <w:pPr>
              <w:spacing w:line="400" w:lineRule="exact"/>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序号</w:t>
            </w:r>
          </w:p>
        </w:tc>
        <w:tc>
          <w:tcPr>
            <w:tcW w:w="1240" w:type="dxa"/>
            <w:shd w:val="clear" w:color="auto" w:fill="FFFFFF"/>
            <w:noWrap w:val="0"/>
            <w:vAlign w:val="center"/>
          </w:tcPr>
          <w:p>
            <w:pPr>
              <w:spacing w:line="400" w:lineRule="exact"/>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名  称</w:t>
            </w:r>
          </w:p>
        </w:tc>
        <w:tc>
          <w:tcPr>
            <w:tcW w:w="1404" w:type="dxa"/>
            <w:shd w:val="clear" w:color="auto" w:fill="FFFFFF"/>
            <w:noWrap w:val="0"/>
            <w:vAlign w:val="center"/>
          </w:tcPr>
          <w:p>
            <w:pPr>
              <w:spacing w:line="400" w:lineRule="exact"/>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规格型号</w:t>
            </w:r>
          </w:p>
        </w:tc>
        <w:tc>
          <w:tcPr>
            <w:tcW w:w="796" w:type="dxa"/>
            <w:shd w:val="clear" w:color="auto" w:fill="FFFFFF"/>
            <w:noWrap w:val="0"/>
            <w:vAlign w:val="center"/>
          </w:tcPr>
          <w:p>
            <w:pPr>
              <w:spacing w:line="400" w:lineRule="exact"/>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数量</w:t>
            </w:r>
          </w:p>
        </w:tc>
        <w:tc>
          <w:tcPr>
            <w:tcW w:w="3704" w:type="dxa"/>
            <w:shd w:val="clear" w:color="auto" w:fill="FFFFFF"/>
            <w:noWrap w:val="0"/>
            <w:vAlign w:val="center"/>
          </w:tcPr>
          <w:p>
            <w:pPr>
              <w:spacing w:line="400" w:lineRule="exact"/>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原产地/制造商</w:t>
            </w:r>
          </w:p>
        </w:tc>
        <w:tc>
          <w:tcPr>
            <w:tcW w:w="1568" w:type="dxa"/>
            <w:shd w:val="clear" w:color="auto" w:fill="FFFFFF"/>
            <w:noWrap w:val="0"/>
            <w:vAlign w:val="center"/>
          </w:tcPr>
          <w:p>
            <w:pPr>
              <w:spacing w:line="400" w:lineRule="exact"/>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bl>
    <w:p>
      <w:pPr>
        <w:spacing w:line="400" w:lineRule="exact"/>
        <w:ind w:firstLine="4620" w:firstLineChars="2100"/>
        <w:rPr>
          <w:rFonts w:hint="eastAsia" w:ascii="新宋体" w:hAnsi="新宋体" w:eastAsia="新宋体" w:cs="新宋体"/>
          <w:color w:val="000000"/>
          <w:sz w:val="22"/>
          <w:szCs w:val="22"/>
          <w:highlight w:val="none"/>
        </w:rPr>
      </w:pPr>
    </w:p>
    <w:p>
      <w:pPr>
        <w:spacing w:line="400" w:lineRule="exact"/>
        <w:ind w:firstLine="5280" w:firstLineChars="24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投标人全称（盖章）：</w:t>
      </w:r>
    </w:p>
    <w:p>
      <w:pPr>
        <w:spacing w:line="400" w:lineRule="exact"/>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 xml:space="preserve">                                                投标人代表（签字）：</w:t>
      </w:r>
    </w:p>
    <w:p>
      <w:pPr>
        <w:spacing w:line="380" w:lineRule="exact"/>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 xml:space="preserve">                                                日    期：</w:t>
      </w:r>
    </w:p>
    <w:p>
      <w:pPr>
        <w:rPr>
          <w:rFonts w:hint="eastAsia" w:ascii="宋体" w:hAnsi="宋体" w:eastAsia="宋体" w:cs="宋体"/>
          <w:b/>
          <w:color w:val="auto"/>
          <w:sz w:val="24"/>
          <w:highlight w:val="none"/>
        </w:rPr>
      </w:pP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400" w:lineRule="exact"/>
        <w:jc w:val="center"/>
        <w:outlineLvl w:val="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、投标设备配套的合理性，技术指标的先进性</w:t>
      </w:r>
    </w:p>
    <w:p>
      <w:pPr>
        <w:spacing w:line="480" w:lineRule="exac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pStyle w:val="30"/>
        <w:spacing w:line="400" w:lineRule="atLeast"/>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spacing w:line="460" w:lineRule="exact"/>
        <w:ind w:firstLine="5060" w:firstLineChars="2300"/>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p>
    <w:p>
      <w:pPr>
        <w:spacing w:line="400" w:lineRule="exact"/>
        <w:jc w:val="center"/>
        <w:outlineLvl w:val="3"/>
        <w:rPr>
          <w:rFonts w:hint="eastAsia" w:ascii="宋体" w:hAnsi="宋体" w:eastAsia="宋体" w:cs="宋体"/>
          <w:b/>
          <w:color w:val="auto"/>
          <w:sz w:val="24"/>
          <w:highlight w:val="none"/>
          <w:lang w:val="zh-CN"/>
        </w:rPr>
      </w:pPr>
      <w:r>
        <w:rPr>
          <w:rFonts w:hint="eastAsia" w:ascii="宋体" w:hAnsi="宋体" w:cs="宋体"/>
          <w:b/>
          <w:color w:val="auto"/>
          <w:sz w:val="24"/>
          <w:highlight w:val="none"/>
          <w:lang w:val="en-US" w:eastAsia="zh-CN"/>
        </w:rPr>
        <w:t>7</w:t>
      </w:r>
      <w:r>
        <w:rPr>
          <w:rFonts w:hint="eastAsia" w:ascii="宋体" w:hAnsi="宋体" w:eastAsia="宋体" w:cs="宋体"/>
          <w:b/>
          <w:color w:val="auto"/>
          <w:sz w:val="24"/>
          <w:highlight w:val="none"/>
        </w:rPr>
        <w:t>、耗材（试剂）及租赁设备的档次</w:t>
      </w:r>
    </w:p>
    <w:p>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tabs>
          <w:tab w:val="left" w:pos="360"/>
        </w:tabs>
        <w:spacing w:line="460" w:lineRule="exact"/>
        <w:ind w:firstLine="552" w:firstLineChars="250"/>
        <w:rPr>
          <w:rFonts w:hint="eastAsia" w:ascii="宋体" w:hAnsi="宋体" w:eastAsia="宋体" w:cs="宋体"/>
          <w:b/>
          <w:color w:val="auto"/>
          <w:sz w:val="22"/>
          <w:szCs w:val="22"/>
          <w:highlight w:val="none"/>
        </w:rPr>
      </w:pPr>
    </w:p>
    <w:p>
      <w:pPr>
        <w:spacing w:line="400" w:lineRule="exact"/>
        <w:ind w:firstLine="4620" w:firstLineChars="2100"/>
        <w:rPr>
          <w:rFonts w:hint="eastAsia" w:ascii="宋体" w:hAnsi="宋体" w:eastAsia="宋体" w:cs="宋体"/>
          <w:color w:val="auto"/>
          <w:sz w:val="22"/>
          <w:szCs w:val="22"/>
          <w:highlight w:val="none"/>
        </w:rPr>
      </w:pPr>
    </w:p>
    <w:p>
      <w:pPr>
        <w:spacing w:line="400" w:lineRule="exact"/>
        <w:ind w:firstLine="5280" w:firstLineChars="2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投标人代表（签字）：</w:t>
      </w:r>
    </w:p>
    <w:p>
      <w:pPr>
        <w:spacing w:line="380" w:lineRule="exact"/>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420" w:lineRule="exact"/>
        <w:rPr>
          <w:rFonts w:hint="eastAsia" w:ascii="宋体" w:hAnsi="宋体" w:eastAsia="宋体" w:cs="宋体"/>
          <w:b/>
          <w:color w:val="auto"/>
          <w:sz w:val="24"/>
          <w:highlight w:val="none"/>
        </w:rPr>
      </w:pPr>
    </w:p>
    <w:p>
      <w:pPr>
        <w:spacing w:line="400" w:lineRule="exact"/>
        <w:jc w:val="center"/>
        <w:outlineLvl w:val="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8</w:t>
      </w:r>
      <w:r>
        <w:rPr>
          <w:rFonts w:hint="eastAsia" w:ascii="宋体" w:hAnsi="宋体" w:eastAsia="宋体" w:cs="宋体"/>
          <w:b/>
          <w:color w:val="auto"/>
          <w:sz w:val="24"/>
          <w:highlight w:val="none"/>
        </w:rPr>
        <w:t>、运行应急方案</w:t>
      </w:r>
    </w:p>
    <w:p>
      <w:pPr>
        <w:spacing w:line="400" w:lineRule="exact"/>
        <w:jc w:val="center"/>
        <w:outlineLvl w:val="9"/>
        <w:rPr>
          <w:rFonts w:hint="eastAsia" w:ascii="宋体" w:hAnsi="宋体" w:eastAsia="宋体" w:cs="宋体"/>
          <w:b/>
          <w:color w:val="auto"/>
          <w:sz w:val="28"/>
          <w:szCs w:val="28"/>
          <w:highlight w:val="none"/>
          <w:lang w:val="zh-CN"/>
        </w:rPr>
      </w:pPr>
    </w:p>
    <w:p>
      <w:pPr>
        <w:spacing w:line="380" w:lineRule="exact"/>
        <w:rPr>
          <w:rFonts w:hint="eastAsia" w:ascii="宋体" w:hAnsi="宋体" w:eastAsia="宋体" w:cs="宋体"/>
          <w:color w:val="auto"/>
          <w:sz w:val="36"/>
          <w:szCs w:val="36"/>
          <w:highlight w:val="none"/>
        </w:rPr>
      </w:pPr>
      <w:r>
        <w:rPr>
          <w:rFonts w:hint="eastAsia" w:ascii="宋体" w:hAnsi="宋体" w:eastAsia="宋体" w:cs="宋体"/>
          <w:b/>
          <w:color w:val="auto"/>
          <w:sz w:val="22"/>
          <w:szCs w:val="22"/>
          <w:highlight w:val="none"/>
        </w:rPr>
        <w:t>项目名称：                                          项目编号：</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1" w:hRule="atLeast"/>
        </w:trPr>
        <w:tc>
          <w:tcPr>
            <w:tcW w:w="10196" w:type="dxa"/>
            <w:vAlign w:val="center"/>
          </w:tcPr>
          <w:p>
            <w:pPr>
              <w:jc w:val="center"/>
              <w:rPr>
                <w:rFonts w:hint="eastAsia" w:ascii="宋体" w:hAnsi="宋体" w:eastAsia="宋体" w:cs="宋体"/>
                <w:b/>
                <w:color w:val="auto"/>
                <w:sz w:val="22"/>
                <w:szCs w:val="22"/>
                <w:highlight w:val="none"/>
              </w:rPr>
            </w:pPr>
          </w:p>
          <w:p>
            <w:pPr>
              <w:jc w:val="center"/>
              <w:rPr>
                <w:rFonts w:hint="eastAsia" w:ascii="宋体" w:hAnsi="宋体" w:eastAsia="宋体" w:cs="宋体"/>
                <w:b/>
                <w:color w:val="auto"/>
                <w:sz w:val="22"/>
                <w:szCs w:val="22"/>
                <w:highlight w:val="none"/>
              </w:rPr>
            </w:pPr>
          </w:p>
        </w:tc>
      </w:tr>
    </w:tbl>
    <w:p>
      <w:pPr>
        <w:spacing w:line="380" w:lineRule="exact"/>
        <w:rPr>
          <w:rFonts w:hint="eastAsia" w:ascii="宋体" w:hAnsi="宋体" w:eastAsia="宋体" w:cs="宋体"/>
          <w:color w:val="auto"/>
          <w:sz w:val="36"/>
          <w:szCs w:val="36"/>
          <w:highlight w:val="none"/>
        </w:rPr>
      </w:pPr>
    </w:p>
    <w:p>
      <w:pPr>
        <w:spacing w:line="380" w:lineRule="exact"/>
        <w:rPr>
          <w:rFonts w:hint="eastAsia" w:ascii="宋体" w:hAnsi="宋体" w:eastAsia="宋体" w:cs="宋体"/>
          <w:color w:val="auto"/>
          <w:sz w:val="36"/>
          <w:szCs w:val="36"/>
          <w:highlight w:val="none"/>
        </w:rPr>
      </w:pP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b/>
          <w:color w:val="auto"/>
          <w:sz w:val="36"/>
          <w:szCs w:val="36"/>
          <w:highlight w:val="none"/>
        </w:rPr>
      </w:pPr>
      <w:r>
        <w:rPr>
          <w:rFonts w:hint="eastAsia" w:ascii="宋体" w:hAnsi="宋体" w:eastAsia="宋体" w:cs="宋体"/>
          <w:color w:val="auto"/>
          <w:sz w:val="22"/>
          <w:szCs w:val="22"/>
          <w:highlight w:val="none"/>
        </w:rPr>
        <w:t xml:space="preserve">日  期：   </w:t>
      </w:r>
    </w:p>
    <w:p>
      <w:pPr>
        <w:spacing w:line="380" w:lineRule="exact"/>
        <w:rPr>
          <w:rFonts w:hint="eastAsia" w:ascii="宋体" w:hAnsi="宋体" w:eastAsia="宋体" w:cs="宋体"/>
          <w:b/>
          <w:color w:val="auto"/>
          <w:sz w:val="36"/>
          <w:szCs w:val="36"/>
          <w:highlight w:val="none"/>
        </w:rPr>
      </w:pPr>
    </w:p>
    <w:p>
      <w:pPr>
        <w:spacing w:line="400" w:lineRule="exact"/>
        <w:jc w:val="center"/>
        <w:outlineLvl w:val="3"/>
        <w:rPr>
          <w:rFonts w:hint="eastAsia" w:ascii="宋体" w:hAnsi="宋体" w:eastAsia="宋体" w:cs="宋体"/>
          <w:b/>
          <w:color w:val="auto"/>
          <w:sz w:val="24"/>
          <w:highlight w:val="none"/>
        </w:rPr>
      </w:pPr>
      <w:r>
        <w:rPr>
          <w:rFonts w:hint="eastAsia" w:ascii="新宋体" w:hAnsi="新宋体" w:eastAsia="新宋体" w:cs="Times New Roman"/>
          <w:b/>
          <w:sz w:val="22"/>
          <w:szCs w:val="22"/>
          <w:lang w:val="en-US" w:eastAsia="zh-CN"/>
        </w:rPr>
        <w:t>9</w:t>
      </w:r>
      <w:r>
        <w:rPr>
          <w:rFonts w:hint="eastAsia" w:ascii="新宋体" w:hAnsi="新宋体" w:eastAsia="新宋体" w:cs="Times New Roman"/>
          <w:b/>
          <w:sz w:val="22"/>
          <w:szCs w:val="22"/>
        </w:rPr>
        <w:t>、市场占有率</w:t>
      </w:r>
    </w:p>
    <w:p>
      <w:pPr>
        <w:spacing w:line="400" w:lineRule="exact"/>
        <w:jc w:val="center"/>
        <w:outlineLvl w:val="9"/>
        <w:rPr>
          <w:rFonts w:hint="eastAsia" w:ascii="宋体" w:hAnsi="宋体" w:eastAsia="宋体" w:cs="宋体"/>
          <w:b/>
          <w:color w:val="auto"/>
          <w:sz w:val="28"/>
          <w:szCs w:val="28"/>
          <w:highlight w:val="none"/>
          <w:lang w:val="zh-CN"/>
        </w:rPr>
      </w:pPr>
    </w:p>
    <w:p>
      <w:pPr>
        <w:spacing w:line="380" w:lineRule="exact"/>
        <w:rPr>
          <w:rFonts w:hint="eastAsia" w:ascii="宋体" w:hAnsi="宋体" w:eastAsia="宋体" w:cs="宋体"/>
          <w:color w:val="auto"/>
          <w:sz w:val="36"/>
          <w:szCs w:val="36"/>
          <w:highlight w:val="none"/>
        </w:rPr>
      </w:pPr>
      <w:r>
        <w:rPr>
          <w:rFonts w:hint="eastAsia" w:ascii="宋体" w:hAnsi="宋体" w:eastAsia="宋体" w:cs="宋体"/>
          <w:b/>
          <w:color w:val="auto"/>
          <w:sz w:val="22"/>
          <w:szCs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用户名称</w:t>
            </w: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合同金额</w:t>
            </w: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联系方式</w:t>
            </w: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bl>
    <w:p>
      <w:pPr>
        <w:spacing w:line="380" w:lineRule="exact"/>
        <w:rPr>
          <w:rFonts w:hint="eastAsia" w:ascii="宋体" w:hAnsi="宋体" w:eastAsia="宋体" w:cs="宋体"/>
          <w:color w:val="auto"/>
          <w:sz w:val="36"/>
          <w:szCs w:val="36"/>
          <w:highlight w:val="none"/>
        </w:rPr>
      </w:pP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highlight w:val="none"/>
        </w:rPr>
      </w:pPr>
      <w:r>
        <w:rPr>
          <w:rFonts w:hint="eastAsia" w:ascii="宋体" w:hAnsi="宋体" w:eastAsia="宋体" w:cs="宋体"/>
          <w:color w:val="auto"/>
          <w:sz w:val="22"/>
          <w:szCs w:val="22"/>
          <w:highlight w:val="none"/>
        </w:rPr>
        <w:t>日  期：</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400" w:lineRule="exact"/>
        <w:jc w:val="center"/>
        <w:outlineLvl w:val="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10</w:t>
      </w:r>
      <w:r>
        <w:rPr>
          <w:rFonts w:hint="eastAsia" w:ascii="宋体" w:hAnsi="宋体" w:eastAsia="宋体" w:cs="宋体"/>
          <w:b/>
          <w:color w:val="auto"/>
          <w:sz w:val="24"/>
          <w:highlight w:val="none"/>
        </w:rPr>
        <w:t>、制造商或代理商在华东地区的售后服务和维修能力</w:t>
      </w:r>
    </w:p>
    <w:p>
      <w:pPr>
        <w:spacing w:line="400" w:lineRule="exact"/>
        <w:jc w:val="center"/>
        <w:outlineLvl w:val="9"/>
        <w:rPr>
          <w:rFonts w:hint="eastAsia" w:ascii="宋体" w:hAnsi="宋体" w:eastAsia="宋体" w:cs="宋体"/>
          <w:b/>
          <w:color w:val="auto"/>
          <w:sz w:val="24"/>
          <w:highlight w:val="none"/>
          <w:lang w:val="zh-CN"/>
        </w:rPr>
      </w:pPr>
    </w:p>
    <w:p>
      <w:pP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pStyle w:val="30"/>
        <w:tabs>
          <w:tab w:val="left" w:pos="0"/>
          <w:tab w:val="left" w:pos="540"/>
        </w:tabs>
        <w:spacing w:line="300" w:lineRule="auto"/>
        <w:ind w:firstLine="221" w:firstLineChars="100"/>
        <w:rPr>
          <w:rFonts w:hint="eastAsia" w:ascii="宋体" w:hAnsi="宋体" w:eastAsia="宋体" w:cs="宋体"/>
          <w:color w:val="auto"/>
          <w:sz w:val="22"/>
          <w:szCs w:val="22"/>
          <w:highlight w:val="none"/>
        </w:rPr>
      </w:pPr>
    </w:p>
    <w:p>
      <w:pPr>
        <w:pStyle w:val="30"/>
        <w:spacing w:line="400" w:lineRule="atLeast"/>
        <w:ind w:left="657" w:leftChars="313" w:firstLine="3975" w:firstLineChars="1800"/>
        <w:rPr>
          <w:rFonts w:hint="eastAsia" w:ascii="宋体" w:hAnsi="宋体" w:eastAsia="宋体" w:cs="宋体"/>
          <w:color w:val="auto"/>
          <w:sz w:val="22"/>
          <w:highlight w:val="none"/>
        </w:rPr>
      </w:pPr>
    </w:p>
    <w:p>
      <w:pPr>
        <w:pStyle w:val="30"/>
        <w:spacing w:line="460" w:lineRule="atLeast"/>
        <w:ind w:left="657" w:leftChars="313" w:firstLine="3960" w:firstLineChars="18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投标人名称（盖章）：</w:t>
      </w:r>
    </w:p>
    <w:p>
      <w:pPr>
        <w:pStyle w:val="30"/>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投标人代表（签字）：   </w:t>
      </w:r>
    </w:p>
    <w:p>
      <w:pPr>
        <w:pStyle w:val="30"/>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日   期： </w:t>
      </w:r>
    </w:p>
    <w:p>
      <w:pPr>
        <w:pStyle w:val="30"/>
        <w:spacing w:line="460" w:lineRule="atLeast"/>
        <w:ind w:left="660" w:hanging="660" w:hangingChars="300"/>
        <w:rPr>
          <w:rFonts w:hint="eastAsia" w:ascii="宋体" w:hAnsi="宋体" w:eastAsia="宋体" w:cs="宋体"/>
          <w:b w:val="0"/>
          <w:bCs/>
          <w:color w:val="auto"/>
          <w:sz w:val="22"/>
          <w:highlight w:val="none"/>
        </w:rPr>
      </w:pPr>
    </w:p>
    <w:p>
      <w:pPr>
        <w:rPr>
          <w:rFonts w:hint="eastAsia" w:ascii="宋体" w:hAnsi="宋体" w:eastAsia="宋体" w:cs="宋体"/>
          <w:b/>
          <w:color w:val="auto"/>
          <w:sz w:val="24"/>
          <w:highlight w:val="none"/>
          <w:lang w:val="en-US" w:eastAsia="zh-CN"/>
        </w:rPr>
      </w:pPr>
    </w:p>
    <w:p>
      <w:pPr>
        <w:pStyle w:val="2"/>
        <w:rPr>
          <w:rFonts w:hint="eastAsia"/>
          <w:lang w:val="en-US" w:eastAsia="zh-CN"/>
        </w:rPr>
      </w:pPr>
    </w:p>
    <w:p>
      <w:pPr>
        <w:spacing w:line="400" w:lineRule="exact"/>
        <w:jc w:val="center"/>
        <w:outlineLvl w:val="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11</w:t>
      </w:r>
      <w:r>
        <w:rPr>
          <w:rFonts w:hint="eastAsia" w:ascii="宋体" w:hAnsi="宋体" w:eastAsia="宋体" w:cs="宋体"/>
          <w:b/>
          <w:color w:val="auto"/>
          <w:sz w:val="24"/>
          <w:highlight w:val="none"/>
          <w:lang w:val="en-US" w:eastAsia="zh-CN"/>
        </w:rPr>
        <w:t>、投标人提供的超出招标文件的优惠条件</w:t>
      </w:r>
    </w:p>
    <w:p>
      <w:pPr>
        <w:spacing w:line="400" w:lineRule="exact"/>
        <w:jc w:val="center"/>
        <w:outlineLvl w:val="9"/>
        <w:rPr>
          <w:rFonts w:hint="eastAsia" w:ascii="宋体" w:hAnsi="宋体" w:eastAsia="宋体" w:cs="宋体"/>
          <w:b/>
          <w:color w:val="auto"/>
          <w:sz w:val="24"/>
          <w:highlight w:val="none"/>
          <w:lang w:val="zh-CN" w:eastAsia="zh-CN"/>
        </w:rPr>
      </w:pPr>
    </w:p>
    <w:p>
      <w:pPr>
        <w:spacing w:line="380" w:lineRule="exac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 xml:space="preserve">  项目名称：                                          项目编号：</w:t>
      </w:r>
      <w:r>
        <w:rPr>
          <w:rFonts w:hint="eastAsia" w:ascii="宋体" w:hAnsi="宋体" w:eastAsia="宋体" w:cs="宋体"/>
          <w:color w:val="auto"/>
          <w:sz w:val="22"/>
          <w:szCs w:val="22"/>
          <w:highlight w:val="none"/>
        </w:rPr>
        <w:t xml:space="preserve"> </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用户名称</w:t>
            </w: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合同金额</w:t>
            </w: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联系方式</w:t>
            </w: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bl>
    <w:p>
      <w:pPr>
        <w:spacing w:line="460" w:lineRule="exact"/>
        <w:rPr>
          <w:rFonts w:hint="eastAsia" w:ascii="宋体" w:hAnsi="宋体" w:eastAsia="宋体" w:cs="宋体"/>
          <w:color w:val="auto"/>
          <w:sz w:val="22"/>
          <w:szCs w:val="22"/>
          <w:highlight w:val="none"/>
        </w:rPr>
      </w:pPr>
    </w:p>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pStyle w:val="30"/>
        <w:spacing w:line="460" w:lineRule="atLeast"/>
        <w:ind w:left="659" w:leftChars="314" w:firstLine="3740" w:firstLineChars="1700"/>
        <w:rPr>
          <w:rFonts w:hint="eastAsia" w:ascii="宋体" w:hAnsi="宋体" w:eastAsia="宋体" w:cs="宋体"/>
          <w:b w:val="0"/>
          <w:bCs/>
          <w:color w:val="auto"/>
          <w:sz w:val="22"/>
          <w:highlight w:val="none"/>
        </w:rPr>
      </w:pPr>
      <w:r>
        <w:rPr>
          <w:rFonts w:hint="eastAsia" w:ascii="宋体" w:hAnsi="宋体" w:eastAsia="宋体" w:cs="宋体"/>
          <w:b w:val="0"/>
          <w:color w:val="auto"/>
          <w:kern w:val="2"/>
          <w:sz w:val="22"/>
          <w:szCs w:val="22"/>
          <w:highlight w:val="none"/>
        </w:rPr>
        <w:t>日  期：</w:t>
      </w:r>
      <w:r>
        <w:rPr>
          <w:rFonts w:hint="eastAsia" w:ascii="宋体" w:hAnsi="宋体" w:eastAsia="宋体" w:cs="宋体"/>
          <w:b w:val="0"/>
          <w:bCs/>
          <w:color w:val="auto"/>
          <w:sz w:val="22"/>
          <w:highlight w:val="none"/>
        </w:rPr>
        <w:t xml:space="preserve"> </w:t>
      </w:r>
    </w:p>
    <w:p>
      <w:pPr>
        <w:pStyle w:val="30"/>
        <w:spacing w:line="400" w:lineRule="atLeast"/>
        <w:rPr>
          <w:rFonts w:hint="eastAsia" w:ascii="宋体" w:hAnsi="宋体" w:eastAsia="宋体" w:cs="宋体"/>
          <w:color w:val="auto"/>
          <w:sz w:val="22"/>
          <w:highlight w:val="none"/>
        </w:rPr>
      </w:pPr>
    </w:p>
    <w:p>
      <w:pP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br w:type="page"/>
      </w:r>
    </w:p>
    <w:p>
      <w:pPr>
        <w:spacing w:line="400" w:lineRule="exact"/>
        <w:jc w:val="center"/>
        <w:outlineLvl w:val="3"/>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w:t>
      </w: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rPr>
        <w:t>、环境标志产品、节能产品</w:t>
      </w:r>
    </w:p>
    <w:p>
      <w:pPr>
        <w:spacing w:line="400" w:lineRule="exact"/>
        <w:jc w:val="center"/>
        <w:outlineLvl w:val="9"/>
        <w:rPr>
          <w:rFonts w:hint="eastAsia" w:ascii="宋体" w:hAnsi="宋体" w:eastAsia="宋体" w:cs="宋体"/>
          <w:b/>
          <w:color w:val="auto"/>
          <w:sz w:val="24"/>
          <w:highlight w:val="none"/>
          <w:lang w:val="zh-CN"/>
        </w:rPr>
      </w:pPr>
    </w:p>
    <w:p>
      <w:pPr>
        <w:spacing w:line="38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pStyle w:val="30"/>
        <w:spacing w:line="460" w:lineRule="atLeast"/>
        <w:ind w:left="659" w:leftChars="314" w:firstLine="3740" w:firstLineChars="1700"/>
        <w:rPr>
          <w:rFonts w:hint="eastAsia" w:ascii="宋体" w:hAnsi="宋体" w:eastAsia="宋体" w:cs="宋体"/>
          <w:b w:val="0"/>
          <w:bCs/>
          <w:color w:val="auto"/>
          <w:sz w:val="22"/>
          <w:highlight w:val="none"/>
        </w:rPr>
      </w:pPr>
      <w:r>
        <w:rPr>
          <w:rFonts w:hint="eastAsia" w:ascii="宋体" w:hAnsi="宋体" w:eastAsia="宋体" w:cs="宋体"/>
          <w:b w:val="0"/>
          <w:color w:val="auto"/>
          <w:kern w:val="2"/>
          <w:sz w:val="22"/>
          <w:szCs w:val="22"/>
          <w:highlight w:val="none"/>
        </w:rPr>
        <w:t>日  期：</w:t>
      </w:r>
      <w:r>
        <w:rPr>
          <w:rFonts w:hint="eastAsia" w:ascii="宋体" w:hAnsi="宋体" w:eastAsia="宋体" w:cs="宋体"/>
          <w:b w:val="0"/>
          <w:bCs/>
          <w:color w:val="auto"/>
          <w:sz w:val="22"/>
          <w:highlight w:val="none"/>
        </w:rPr>
        <w:t xml:space="preserve"> </w:t>
      </w:r>
    </w:p>
    <w:p>
      <w:pPr>
        <w:spacing w:line="460" w:lineRule="exact"/>
        <w:ind w:firstLine="4400" w:firstLineChars="2000"/>
        <w:rPr>
          <w:rFonts w:hint="eastAsia" w:ascii="宋体" w:hAnsi="宋体" w:eastAsia="宋体" w:cs="宋体"/>
          <w:color w:val="auto"/>
          <w:sz w:val="22"/>
          <w:szCs w:val="22"/>
          <w:highlight w:val="none"/>
        </w:rPr>
      </w:pPr>
    </w:p>
    <w:p>
      <w:pPr>
        <w:spacing w:line="460" w:lineRule="exact"/>
        <w:ind w:firstLine="4400" w:firstLineChars="2000"/>
        <w:rPr>
          <w:rFonts w:hint="eastAsia" w:ascii="宋体" w:hAnsi="宋体" w:eastAsia="宋体" w:cs="宋体"/>
          <w:color w:val="auto"/>
          <w:sz w:val="22"/>
          <w:szCs w:val="22"/>
          <w:highlight w:val="none"/>
        </w:rPr>
      </w:pP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pStyle w:val="4"/>
        <w:numPr>
          <w:ilvl w:val="0"/>
          <w:numId w:val="8"/>
        </w:numPr>
        <w:bidi w:val="0"/>
        <w:rPr>
          <w:rFonts w:hint="eastAsia" w:ascii="宋体" w:hAnsi="宋体" w:eastAsia="宋体" w:cs="宋体"/>
          <w:b/>
          <w:color w:val="auto"/>
          <w:highlight w:val="none"/>
        </w:rPr>
      </w:pPr>
      <w:r>
        <w:rPr>
          <w:rFonts w:hint="eastAsia" w:ascii="宋体" w:hAnsi="宋体" w:eastAsia="宋体" w:cs="宋体"/>
        </w:rPr>
        <w:t xml:space="preserve">  </w:t>
      </w:r>
      <w:bookmarkStart w:id="40" w:name="_Toc10142"/>
      <w:bookmarkStart w:id="41" w:name="_Toc3381"/>
      <w:bookmarkStart w:id="42" w:name="_Toc221356958"/>
      <w:bookmarkStart w:id="43" w:name="_Toc221356895"/>
      <w:r>
        <w:rPr>
          <w:rFonts w:hint="eastAsia" w:ascii="宋体" w:hAnsi="宋体" w:eastAsia="宋体" w:cs="宋体"/>
        </w:rPr>
        <w:t>项目技术规范和服务要求</w:t>
      </w:r>
      <w:bookmarkEnd w:id="40"/>
      <w:bookmarkEnd w:id="41"/>
    </w:p>
    <w:bookmarkEnd w:id="42"/>
    <w:bookmarkEnd w:id="43"/>
    <w:p>
      <w:pPr>
        <w:keepNext w:val="0"/>
        <w:keepLines w:val="0"/>
        <w:pageBreakBefore w:val="0"/>
        <w:widowControl w:val="0"/>
        <w:numPr>
          <w:ilvl w:val="0"/>
          <w:numId w:val="9"/>
        </w:numPr>
        <w:kinsoku/>
        <w:wordWrap/>
        <w:overflowPunct/>
        <w:topLinePunct w:val="0"/>
        <w:autoSpaceDE/>
        <w:autoSpaceDN/>
        <w:bidi w:val="0"/>
        <w:adjustRightInd/>
        <w:snapToGrid/>
        <w:textAlignment w:val="auto"/>
        <w:outlineLvl w:val="1"/>
        <w:rPr>
          <w:rFonts w:hint="eastAsia" w:ascii="宋体" w:hAnsi="宋体" w:cs="宋体"/>
          <w:lang w:val="en-US" w:eastAsia="zh-CN"/>
        </w:rPr>
      </w:pPr>
      <w:bookmarkStart w:id="44" w:name="_Toc18194"/>
      <w:bookmarkStart w:id="45" w:name="_Toc30323"/>
      <w:r>
        <w:rPr>
          <w:rFonts w:hint="eastAsia" w:ascii="宋体" w:hAnsi="宋体" w:cs="宋体"/>
          <w:lang w:val="en-US" w:eastAsia="zh-CN"/>
        </w:rPr>
        <w:t>采购清单</w:t>
      </w:r>
    </w:p>
    <w:tbl>
      <w:tblPr>
        <w:tblStyle w:val="53"/>
        <w:tblW w:w="9750"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5873"/>
        <w:gridCol w:w="1223"/>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62" w:type="dxa"/>
            <w:noWrap w:val="0"/>
            <w:vAlign w:val="top"/>
          </w:tcPr>
          <w:p>
            <w:pPr>
              <w:keepNext w:val="0"/>
              <w:keepLines w:val="0"/>
              <w:pageBreakBefore w:val="0"/>
              <w:tabs>
                <w:tab w:val="left" w:pos="360"/>
              </w:tabs>
              <w:kinsoku/>
              <w:wordWrap/>
              <w:topLinePunct w:val="0"/>
              <w:bidi w:val="0"/>
              <w:spacing w:line="460" w:lineRule="exact"/>
              <w:jc w:val="center"/>
              <w:rPr>
                <w:rFonts w:ascii="新宋体" w:hAnsi="新宋体" w:eastAsia="新宋体" w:cs="新宋体"/>
                <w:b/>
                <w:color w:val="000000" w:themeColor="text1"/>
                <w:sz w:val="22"/>
                <w:szCs w:val="22"/>
                <w14:textFill>
                  <w14:solidFill>
                    <w14:schemeClr w14:val="tx1"/>
                  </w14:solidFill>
                </w14:textFill>
              </w:rPr>
            </w:pPr>
            <w:r>
              <w:rPr>
                <w:rFonts w:hint="eastAsia" w:ascii="新宋体" w:hAnsi="新宋体" w:eastAsia="新宋体" w:cs="新宋体"/>
                <w:b/>
                <w:color w:val="000000" w:themeColor="text1"/>
                <w:sz w:val="22"/>
                <w:szCs w:val="22"/>
                <w14:textFill>
                  <w14:solidFill>
                    <w14:schemeClr w14:val="tx1"/>
                  </w14:solidFill>
                </w14:textFill>
              </w:rPr>
              <w:t>序号</w:t>
            </w:r>
          </w:p>
        </w:tc>
        <w:tc>
          <w:tcPr>
            <w:tcW w:w="5873" w:type="dxa"/>
            <w:noWrap w:val="0"/>
            <w:vAlign w:val="top"/>
          </w:tcPr>
          <w:p>
            <w:pPr>
              <w:keepNext w:val="0"/>
              <w:keepLines w:val="0"/>
              <w:pageBreakBefore w:val="0"/>
              <w:tabs>
                <w:tab w:val="left" w:pos="360"/>
              </w:tabs>
              <w:kinsoku/>
              <w:wordWrap/>
              <w:topLinePunct w:val="0"/>
              <w:bidi w:val="0"/>
              <w:spacing w:line="460" w:lineRule="exact"/>
              <w:jc w:val="center"/>
              <w:rPr>
                <w:rFonts w:ascii="新宋体" w:hAnsi="新宋体" w:eastAsia="新宋体" w:cs="新宋体"/>
                <w:b/>
                <w:color w:val="000000" w:themeColor="text1"/>
                <w:sz w:val="22"/>
                <w:szCs w:val="22"/>
                <w14:textFill>
                  <w14:solidFill>
                    <w14:schemeClr w14:val="tx1"/>
                  </w14:solidFill>
                </w14:textFill>
              </w:rPr>
            </w:pPr>
            <w:r>
              <w:rPr>
                <w:rFonts w:hint="eastAsia" w:ascii="新宋体" w:hAnsi="新宋体" w:eastAsia="新宋体" w:cs="新宋体"/>
                <w:b/>
                <w:color w:val="000000" w:themeColor="text1"/>
                <w:sz w:val="22"/>
                <w:szCs w:val="22"/>
                <w14:textFill>
                  <w14:solidFill>
                    <w14:schemeClr w14:val="tx1"/>
                  </w14:solidFill>
                </w14:textFill>
              </w:rPr>
              <w:t>设备（系统）名称</w:t>
            </w:r>
          </w:p>
        </w:tc>
        <w:tc>
          <w:tcPr>
            <w:tcW w:w="1223" w:type="dxa"/>
            <w:noWrap w:val="0"/>
            <w:vAlign w:val="top"/>
          </w:tcPr>
          <w:p>
            <w:pPr>
              <w:keepNext w:val="0"/>
              <w:keepLines w:val="0"/>
              <w:pageBreakBefore w:val="0"/>
              <w:tabs>
                <w:tab w:val="left" w:pos="360"/>
              </w:tabs>
              <w:kinsoku/>
              <w:wordWrap/>
              <w:topLinePunct w:val="0"/>
              <w:bidi w:val="0"/>
              <w:spacing w:line="460" w:lineRule="exact"/>
              <w:jc w:val="center"/>
              <w:rPr>
                <w:rFonts w:ascii="新宋体" w:hAnsi="新宋体" w:eastAsia="新宋体" w:cs="新宋体"/>
                <w:b/>
                <w:color w:val="000000" w:themeColor="text1"/>
                <w:sz w:val="22"/>
                <w:szCs w:val="22"/>
                <w14:textFill>
                  <w14:solidFill>
                    <w14:schemeClr w14:val="tx1"/>
                  </w14:solidFill>
                </w14:textFill>
              </w:rPr>
            </w:pPr>
            <w:r>
              <w:rPr>
                <w:rFonts w:hint="eastAsia" w:ascii="新宋体" w:hAnsi="新宋体" w:eastAsia="新宋体" w:cs="新宋体"/>
                <w:b/>
                <w:color w:val="000000" w:themeColor="text1"/>
                <w:sz w:val="22"/>
                <w:szCs w:val="22"/>
                <w14:textFill>
                  <w14:solidFill>
                    <w14:schemeClr w14:val="tx1"/>
                  </w14:solidFill>
                </w14:textFill>
              </w:rPr>
              <w:t>数量</w:t>
            </w:r>
          </w:p>
        </w:tc>
        <w:tc>
          <w:tcPr>
            <w:tcW w:w="1892" w:type="dxa"/>
            <w:noWrap w:val="0"/>
            <w:vAlign w:val="top"/>
          </w:tcPr>
          <w:p>
            <w:pPr>
              <w:keepNext w:val="0"/>
              <w:keepLines w:val="0"/>
              <w:pageBreakBefore w:val="0"/>
              <w:tabs>
                <w:tab w:val="left" w:pos="360"/>
              </w:tabs>
              <w:kinsoku/>
              <w:wordWrap/>
              <w:topLinePunct w:val="0"/>
              <w:bidi w:val="0"/>
              <w:spacing w:line="460" w:lineRule="exact"/>
              <w:jc w:val="center"/>
              <w:rPr>
                <w:rFonts w:hint="default" w:ascii="新宋体" w:hAnsi="新宋体" w:eastAsia="新宋体" w:cs="新宋体"/>
                <w:b/>
                <w:color w:val="000000" w:themeColor="text1"/>
                <w:sz w:val="22"/>
                <w:szCs w:val="22"/>
                <w:lang w:val="en-US" w:eastAsia="zh-CN"/>
                <w14:textFill>
                  <w14:solidFill>
                    <w14:schemeClr w14:val="tx1"/>
                  </w14:solidFill>
                </w14:textFill>
              </w:rPr>
            </w:pPr>
            <w:r>
              <w:rPr>
                <w:rFonts w:hint="eastAsia" w:ascii="新宋体" w:hAnsi="新宋体" w:eastAsia="新宋体" w:cs="新宋体"/>
                <w:b/>
                <w:color w:val="000000" w:themeColor="text1"/>
                <w:sz w:val="22"/>
                <w:szCs w:val="22"/>
                <w:lang w:val="en-US" w:eastAsia="zh-CN"/>
                <w14:textFill>
                  <w14:solidFill>
                    <w14:schemeClr w14:val="tx1"/>
                  </w14:solidFill>
                </w14:textFill>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62" w:type="dxa"/>
            <w:tcBorders>
              <w:bottom w:val="single" w:color="auto" w:sz="4" w:space="0"/>
            </w:tcBorders>
            <w:noWrap w:val="0"/>
            <w:vAlign w:val="center"/>
          </w:tcPr>
          <w:p>
            <w:pPr>
              <w:keepNext w:val="0"/>
              <w:keepLines w:val="0"/>
              <w:pageBreakBefore w:val="0"/>
              <w:tabs>
                <w:tab w:val="left" w:pos="360"/>
              </w:tabs>
              <w:kinsoku/>
              <w:wordWrap/>
              <w:topLinePunct w:val="0"/>
              <w:bidi w:val="0"/>
              <w:spacing w:line="460" w:lineRule="exact"/>
              <w:jc w:val="center"/>
              <w:rPr>
                <w:rFonts w:ascii="新宋体" w:hAnsi="新宋体" w:eastAsia="新宋体" w:cs="新宋体"/>
                <w:b w:val="0"/>
                <w:bCs/>
                <w:color w:val="000000" w:themeColor="text1"/>
                <w:sz w:val="22"/>
                <w:szCs w:val="22"/>
                <w14:textFill>
                  <w14:solidFill>
                    <w14:schemeClr w14:val="tx1"/>
                  </w14:solidFill>
                </w14:textFill>
              </w:rPr>
            </w:pPr>
            <w:r>
              <w:rPr>
                <w:rFonts w:hint="eastAsia" w:ascii="新宋体" w:hAnsi="新宋体" w:eastAsia="新宋体" w:cs="新宋体"/>
                <w:b w:val="0"/>
                <w:bCs/>
                <w:color w:val="000000" w:themeColor="text1"/>
                <w:sz w:val="22"/>
                <w:szCs w:val="22"/>
                <w14:textFill>
                  <w14:solidFill>
                    <w14:schemeClr w14:val="tx1"/>
                  </w14:solidFill>
                </w14:textFill>
              </w:rPr>
              <w:t>1</w:t>
            </w:r>
          </w:p>
        </w:tc>
        <w:tc>
          <w:tcPr>
            <w:tcW w:w="5873" w:type="dxa"/>
            <w:noWrap w:val="0"/>
            <w:vAlign w:val="center"/>
          </w:tcPr>
          <w:p>
            <w:pPr>
              <w:pStyle w:val="30"/>
              <w:keepNext w:val="0"/>
              <w:keepLines w:val="0"/>
              <w:pageBreakBefore w:val="0"/>
              <w:kinsoku/>
              <w:wordWrap/>
              <w:topLinePunct w:val="0"/>
              <w:bidi w:val="0"/>
              <w:snapToGrid w:val="0"/>
              <w:spacing w:line="460" w:lineRule="exact"/>
              <w:jc w:val="center"/>
              <w:rPr>
                <w:rFonts w:hint="eastAsia" w:ascii="新宋体" w:hAnsi="新宋体" w:eastAsia="新宋体" w:cs="新宋体"/>
                <w:b w:val="0"/>
                <w:bCs/>
                <w:color w:val="000000" w:themeColor="text1"/>
                <w:sz w:val="22"/>
                <w:szCs w:val="22"/>
                <w:highlight w:val="none"/>
                <w14:textFill>
                  <w14:solidFill>
                    <w14:schemeClr w14:val="tx1"/>
                  </w14:solidFill>
                </w14:textFill>
              </w:rPr>
            </w:pPr>
            <w:r>
              <w:rPr>
                <w:rFonts w:hint="eastAsia" w:ascii="新宋体" w:hAnsi="新宋体" w:eastAsia="新宋体"/>
                <w:b w:val="0"/>
                <w:bCs/>
                <w:kern w:val="2"/>
                <w:sz w:val="22"/>
                <w:szCs w:val="22"/>
              </w:rPr>
              <w:t>全自动血型仪检测系统耗材（试剂）及配套设备租赁</w:t>
            </w:r>
          </w:p>
        </w:tc>
        <w:tc>
          <w:tcPr>
            <w:tcW w:w="1223" w:type="dxa"/>
            <w:noWrap w:val="0"/>
            <w:vAlign w:val="center"/>
          </w:tcPr>
          <w:p>
            <w:pPr>
              <w:pStyle w:val="30"/>
              <w:keepNext w:val="0"/>
              <w:keepLines w:val="0"/>
              <w:pageBreakBefore w:val="0"/>
              <w:kinsoku/>
              <w:wordWrap/>
              <w:topLinePunct w:val="0"/>
              <w:bidi w:val="0"/>
              <w:snapToGrid w:val="0"/>
              <w:spacing w:line="460" w:lineRule="exact"/>
              <w:jc w:val="center"/>
              <w:rPr>
                <w:rFonts w:ascii="新宋体" w:hAnsi="新宋体" w:eastAsia="新宋体" w:cs="新宋体"/>
                <w:b w:val="0"/>
                <w:bCs/>
                <w:color w:val="000000" w:themeColor="text1"/>
                <w:sz w:val="22"/>
                <w:szCs w:val="22"/>
                <w:highlight w:val="none"/>
                <w14:textFill>
                  <w14:solidFill>
                    <w14:schemeClr w14:val="tx1"/>
                  </w14:solidFill>
                </w14:textFill>
              </w:rPr>
            </w:pPr>
            <w:r>
              <w:rPr>
                <w:rFonts w:hint="eastAsia" w:ascii="新宋体" w:hAnsi="新宋体" w:eastAsia="新宋体"/>
                <w:b w:val="0"/>
                <w:bCs/>
                <w:kern w:val="2"/>
                <w:sz w:val="22"/>
                <w:szCs w:val="22"/>
                <w:lang w:val="en-US" w:eastAsia="zh-CN"/>
              </w:rPr>
              <w:t>1</w:t>
            </w:r>
            <w:r>
              <w:rPr>
                <w:rFonts w:hint="eastAsia" w:ascii="新宋体" w:hAnsi="新宋体" w:eastAsia="新宋体"/>
                <w:b w:val="0"/>
                <w:bCs/>
                <w:kern w:val="2"/>
                <w:sz w:val="22"/>
                <w:szCs w:val="22"/>
              </w:rPr>
              <w:t>套</w:t>
            </w:r>
          </w:p>
        </w:tc>
        <w:tc>
          <w:tcPr>
            <w:tcW w:w="1892" w:type="dxa"/>
            <w:noWrap w:val="0"/>
            <w:vAlign w:val="center"/>
          </w:tcPr>
          <w:p>
            <w:pPr>
              <w:pStyle w:val="30"/>
              <w:keepNext w:val="0"/>
              <w:keepLines w:val="0"/>
              <w:pageBreakBefore w:val="0"/>
              <w:kinsoku/>
              <w:wordWrap/>
              <w:topLinePunct w:val="0"/>
              <w:bidi w:val="0"/>
              <w:snapToGrid w:val="0"/>
              <w:spacing w:line="460" w:lineRule="exact"/>
              <w:jc w:val="center"/>
              <w:rPr>
                <w:rFonts w:hint="eastAsia" w:ascii="新宋体" w:hAnsi="新宋体" w:eastAsia="新宋体" w:cs="新宋体"/>
                <w:b w:val="0"/>
                <w:bCs/>
                <w:color w:val="000000" w:themeColor="text1"/>
                <w:sz w:val="22"/>
                <w:szCs w:val="22"/>
                <w:highlight w:val="none"/>
                <w14:textFill>
                  <w14:solidFill>
                    <w14:schemeClr w14:val="tx1"/>
                  </w14:solidFill>
                </w14:textFill>
              </w:rPr>
            </w:pPr>
            <w:r>
              <w:rPr>
                <w:rFonts w:hint="eastAsia" w:ascii="新宋体" w:hAnsi="新宋体" w:eastAsia="新宋体"/>
                <w:b w:val="0"/>
                <w:bCs/>
                <w:kern w:val="2"/>
                <w:sz w:val="22"/>
                <w:szCs w:val="22"/>
                <w:lang w:val="en-US" w:eastAsia="zh-CN"/>
              </w:rPr>
              <w:t>400000</w:t>
            </w:r>
            <w:r>
              <w:rPr>
                <w:rFonts w:hint="eastAsia" w:ascii="新宋体" w:hAnsi="新宋体" w:eastAsia="新宋体"/>
                <w:b w:val="0"/>
                <w:bCs/>
                <w:kern w:val="2"/>
                <w:sz w:val="22"/>
                <w:szCs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62" w:type="dxa"/>
            <w:tcBorders>
              <w:top w:val="single" w:color="auto" w:sz="4" w:space="0"/>
            </w:tcBorders>
            <w:noWrap w:val="0"/>
            <w:vAlign w:val="center"/>
          </w:tcPr>
          <w:p>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val="0"/>
                <w:bCs/>
                <w:color w:val="000000" w:themeColor="text1"/>
                <w:sz w:val="22"/>
                <w:szCs w:val="22"/>
                <w:lang w:val="en-US" w:eastAsia="zh-CN"/>
                <w14:textFill>
                  <w14:solidFill>
                    <w14:schemeClr w14:val="tx1"/>
                  </w14:solidFill>
                </w14:textFill>
              </w:rPr>
            </w:pPr>
            <w:r>
              <w:rPr>
                <w:rFonts w:hint="eastAsia" w:ascii="新宋体" w:hAnsi="新宋体" w:eastAsia="新宋体" w:cs="新宋体"/>
                <w:b w:val="0"/>
                <w:bCs/>
                <w:color w:val="000000" w:themeColor="text1"/>
                <w:sz w:val="22"/>
                <w:szCs w:val="22"/>
                <w:lang w:val="en-US" w:eastAsia="zh-CN"/>
                <w14:textFill>
                  <w14:solidFill>
                    <w14:schemeClr w14:val="tx1"/>
                  </w14:solidFill>
                </w14:textFill>
              </w:rPr>
              <w:t>2</w:t>
            </w:r>
          </w:p>
        </w:tc>
        <w:tc>
          <w:tcPr>
            <w:tcW w:w="5873" w:type="dxa"/>
            <w:noWrap w:val="0"/>
            <w:vAlign w:val="center"/>
          </w:tcPr>
          <w:p>
            <w:pPr>
              <w:pStyle w:val="30"/>
              <w:keepNext w:val="0"/>
              <w:keepLines w:val="0"/>
              <w:pageBreakBefore w:val="0"/>
              <w:kinsoku/>
              <w:wordWrap/>
              <w:topLinePunct w:val="0"/>
              <w:bidi w:val="0"/>
              <w:snapToGrid w:val="0"/>
              <w:spacing w:line="460" w:lineRule="exact"/>
              <w:jc w:val="center"/>
              <w:rPr>
                <w:rFonts w:hint="eastAsia" w:ascii="新宋体" w:hAnsi="新宋体" w:eastAsia="新宋体" w:cs="新宋体"/>
                <w:b w:val="0"/>
                <w:bCs/>
                <w:color w:val="000000" w:themeColor="text1"/>
                <w:sz w:val="22"/>
                <w:szCs w:val="22"/>
                <w:highlight w:val="none"/>
                <w:lang w:eastAsia="zh-CN"/>
                <w14:textFill>
                  <w14:solidFill>
                    <w14:schemeClr w14:val="tx1"/>
                  </w14:solidFill>
                </w14:textFill>
              </w:rPr>
            </w:pPr>
            <w:r>
              <w:rPr>
                <w:rFonts w:hint="eastAsia" w:ascii="新宋体" w:hAnsi="新宋体" w:eastAsia="新宋体"/>
                <w:b w:val="0"/>
                <w:bCs/>
                <w:kern w:val="2"/>
                <w:sz w:val="22"/>
                <w:szCs w:val="22"/>
              </w:rPr>
              <w:t>全自动血型仪检测系统耗材（试剂）</w:t>
            </w:r>
          </w:p>
        </w:tc>
        <w:tc>
          <w:tcPr>
            <w:tcW w:w="1223" w:type="dxa"/>
            <w:noWrap w:val="0"/>
            <w:vAlign w:val="center"/>
          </w:tcPr>
          <w:p>
            <w:pPr>
              <w:pStyle w:val="30"/>
              <w:keepNext w:val="0"/>
              <w:keepLines w:val="0"/>
              <w:pageBreakBefore w:val="0"/>
              <w:kinsoku/>
              <w:wordWrap/>
              <w:topLinePunct w:val="0"/>
              <w:bidi w:val="0"/>
              <w:snapToGrid w:val="0"/>
              <w:spacing w:line="460" w:lineRule="exact"/>
              <w:jc w:val="center"/>
              <w:rPr>
                <w:rFonts w:ascii="新宋体" w:hAnsi="新宋体" w:eastAsia="新宋体" w:cs="新宋体"/>
                <w:b w:val="0"/>
                <w:bCs/>
                <w:color w:val="000000" w:themeColor="text1"/>
                <w:sz w:val="22"/>
                <w:szCs w:val="22"/>
                <w:highlight w:val="none"/>
                <w14:textFill>
                  <w14:solidFill>
                    <w14:schemeClr w14:val="tx1"/>
                  </w14:solidFill>
                </w14:textFill>
              </w:rPr>
            </w:pPr>
            <w:r>
              <w:rPr>
                <w:rFonts w:hint="eastAsia" w:ascii="新宋体" w:hAnsi="新宋体" w:eastAsia="新宋体"/>
                <w:b w:val="0"/>
                <w:bCs/>
                <w:kern w:val="2"/>
                <w:sz w:val="22"/>
                <w:szCs w:val="22"/>
                <w:lang w:val="en-US" w:eastAsia="zh-CN"/>
              </w:rPr>
              <w:t>1</w:t>
            </w:r>
            <w:r>
              <w:rPr>
                <w:rFonts w:hint="eastAsia" w:ascii="新宋体" w:hAnsi="新宋体" w:eastAsia="新宋体"/>
                <w:b w:val="0"/>
                <w:bCs/>
                <w:kern w:val="2"/>
                <w:sz w:val="22"/>
                <w:szCs w:val="22"/>
              </w:rPr>
              <w:t>项</w:t>
            </w:r>
          </w:p>
        </w:tc>
        <w:tc>
          <w:tcPr>
            <w:tcW w:w="1892" w:type="dxa"/>
            <w:noWrap w:val="0"/>
            <w:vAlign w:val="center"/>
          </w:tcPr>
          <w:p>
            <w:pPr>
              <w:pStyle w:val="30"/>
              <w:keepNext w:val="0"/>
              <w:keepLines w:val="0"/>
              <w:pageBreakBefore w:val="0"/>
              <w:kinsoku/>
              <w:wordWrap/>
              <w:topLinePunct w:val="0"/>
              <w:bidi w:val="0"/>
              <w:snapToGrid w:val="0"/>
              <w:spacing w:line="460" w:lineRule="exact"/>
              <w:jc w:val="center"/>
              <w:rPr>
                <w:rFonts w:hint="eastAsia" w:ascii="新宋体" w:hAnsi="新宋体" w:eastAsia="新宋体" w:cs="新宋体"/>
                <w:b w:val="0"/>
                <w:bCs/>
                <w:color w:val="000000" w:themeColor="text1"/>
                <w:sz w:val="22"/>
                <w:szCs w:val="22"/>
                <w:highlight w:val="none"/>
                <w14:textFill>
                  <w14:solidFill>
                    <w14:schemeClr w14:val="tx1"/>
                  </w14:solidFill>
                </w14:textFill>
              </w:rPr>
            </w:pPr>
            <w:r>
              <w:rPr>
                <w:rFonts w:hint="eastAsia" w:ascii="新宋体" w:hAnsi="新宋体" w:eastAsia="新宋体"/>
                <w:b w:val="0"/>
                <w:bCs/>
                <w:kern w:val="2"/>
                <w:sz w:val="22"/>
                <w:szCs w:val="22"/>
                <w:lang w:val="en-US" w:eastAsia="zh-CN"/>
              </w:rPr>
              <w:t>5000</w:t>
            </w:r>
            <w:r>
              <w:rPr>
                <w:rFonts w:hint="eastAsia" w:ascii="新宋体" w:hAnsi="新宋体" w:eastAsia="新宋体"/>
                <w:b w:val="0"/>
                <w:bCs/>
                <w:kern w:val="2"/>
                <w:sz w:val="22"/>
                <w:szCs w:val="22"/>
              </w:rPr>
              <w:t>元</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1"/>
        <w:rPr>
          <w:rFonts w:hint="eastAsia" w:ascii="宋体" w:hAnsi="宋体" w:eastAsia="宋体" w:cs="宋体"/>
          <w:lang w:val="en-US" w:eastAsia="zh-CN"/>
        </w:rPr>
      </w:pPr>
      <w:r>
        <w:rPr>
          <w:rFonts w:hint="eastAsia" w:ascii="宋体" w:hAnsi="宋体" w:eastAsia="宋体" w:cs="宋体"/>
          <w:lang w:val="en-US" w:eastAsia="zh-CN"/>
        </w:rPr>
        <w:t>二、招标技术要求</w:t>
      </w:r>
    </w:p>
    <w:tbl>
      <w:tblPr>
        <w:tblStyle w:val="53"/>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8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宋体" w:hAnsi="宋体"/>
                <w:color w:val="auto"/>
                <w:sz w:val="22"/>
                <w:szCs w:val="22"/>
                <w:highlight w:val="none"/>
              </w:rPr>
            </w:pPr>
            <w:r>
              <w:rPr>
                <w:rFonts w:ascii="宋体" w:hAnsi="宋体"/>
                <w:color w:val="auto"/>
                <w:sz w:val="22"/>
                <w:szCs w:val="22"/>
                <w:highlight w:val="none"/>
              </w:rPr>
              <w:t>序号</w:t>
            </w:r>
          </w:p>
        </w:tc>
        <w:tc>
          <w:tcPr>
            <w:tcW w:w="8781" w:type="dxa"/>
            <w:noWrap w:val="0"/>
            <w:vAlign w:val="top"/>
          </w:tcPr>
          <w:p>
            <w:pPr>
              <w:keepNext w:val="0"/>
              <w:keepLines w:val="0"/>
              <w:pageBreakBefore w:val="0"/>
              <w:widowControl w:val="0"/>
              <w:kinsoku/>
              <w:wordWrap/>
              <w:overflowPunct/>
              <w:topLinePunct w:val="0"/>
              <w:autoSpaceDE/>
              <w:bidi w:val="0"/>
              <w:adjustRightInd/>
              <w:snapToGrid/>
              <w:spacing w:line="460" w:lineRule="exact"/>
              <w:jc w:val="center"/>
              <w:rPr>
                <w:rFonts w:ascii="宋体" w:hAnsi="宋体"/>
                <w:color w:val="auto"/>
                <w:sz w:val="22"/>
                <w:szCs w:val="22"/>
                <w:highlight w:val="none"/>
              </w:rPr>
            </w:pPr>
            <w:r>
              <w:rPr>
                <w:rFonts w:ascii="宋体" w:hAnsi="宋体"/>
                <w:color w:val="auto"/>
                <w:sz w:val="22"/>
                <w:szCs w:val="22"/>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1</w:t>
            </w:r>
          </w:p>
        </w:tc>
        <w:tc>
          <w:tcPr>
            <w:tcW w:w="8781" w:type="dxa"/>
            <w:noWrap w:val="0"/>
            <w:vAlign w:val="top"/>
          </w:tcPr>
          <w:p>
            <w:pPr>
              <w:keepNext w:val="0"/>
              <w:keepLines w:val="0"/>
              <w:pageBreakBefore w:val="0"/>
              <w:widowControl w:val="0"/>
              <w:kinsoku/>
              <w:wordWrap/>
              <w:overflowPunct/>
              <w:topLinePunct w:val="0"/>
              <w:autoSpaceDE/>
              <w:bidi w:val="0"/>
              <w:adjustRightInd/>
              <w:snapToGrid/>
              <w:spacing w:line="460" w:lineRule="exact"/>
              <w:rPr>
                <w:rFonts w:ascii="宋体" w:hAnsi="宋体"/>
                <w:b/>
                <w:color w:val="auto"/>
                <w:sz w:val="22"/>
                <w:szCs w:val="22"/>
                <w:highlight w:val="none"/>
              </w:rPr>
            </w:pPr>
            <w:r>
              <w:rPr>
                <w:rFonts w:hint="eastAsia" w:ascii="宋体" w:hAnsi="宋体"/>
                <w:color w:val="auto"/>
                <w:sz w:val="22"/>
                <w:szCs w:val="22"/>
                <w:highlight w:val="none"/>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w:t>
            </w:r>
            <w:r>
              <w:rPr>
                <w:rFonts w:ascii="宋体" w:hAnsi="宋体"/>
                <w:color w:val="auto"/>
                <w:sz w:val="22"/>
                <w:szCs w:val="22"/>
                <w:highlight w:val="none"/>
              </w:rPr>
              <w:t>1.1</w:t>
            </w:r>
          </w:p>
        </w:tc>
        <w:tc>
          <w:tcPr>
            <w:tcW w:w="8781" w:type="dxa"/>
            <w:noWrap w:val="0"/>
            <w:vAlign w:val="top"/>
          </w:tcPr>
          <w:p>
            <w:pPr>
              <w:keepNext w:val="0"/>
              <w:keepLines w:val="0"/>
              <w:pageBreakBefore w:val="0"/>
              <w:widowControl w:val="0"/>
              <w:kinsoku/>
              <w:wordWrap/>
              <w:overflowPunct/>
              <w:topLinePunct w:val="0"/>
              <w:autoSpaceDE/>
              <w:bidi w:val="0"/>
              <w:adjustRightInd/>
              <w:snapToGrid/>
              <w:spacing w:line="460" w:lineRule="exact"/>
              <w:rPr>
                <w:rFonts w:ascii="宋体" w:hAnsi="宋体"/>
                <w:b/>
                <w:color w:val="auto"/>
                <w:sz w:val="22"/>
                <w:szCs w:val="22"/>
                <w:highlight w:val="none"/>
              </w:rPr>
            </w:pPr>
            <w:r>
              <w:rPr>
                <w:rFonts w:ascii="宋体" w:hAnsi="宋体"/>
                <w:color w:val="auto"/>
                <w:sz w:val="22"/>
                <w:szCs w:val="22"/>
                <w:highlight w:val="none"/>
              </w:rPr>
              <w:t>仪器主机：全自动血型仪检测系统1套</w:t>
            </w:r>
            <w:r>
              <w:rPr>
                <w:rFonts w:hint="eastAsia" w:ascii="宋体" w:hAnsi="宋体"/>
                <w:color w:val="auto"/>
                <w:sz w:val="22"/>
                <w:szCs w:val="22"/>
                <w:highlight w:val="none"/>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宋体" w:hAnsi="宋体"/>
                <w:color w:val="auto"/>
                <w:sz w:val="22"/>
                <w:szCs w:val="22"/>
                <w:highlight w:val="none"/>
              </w:rPr>
            </w:pPr>
            <w:r>
              <w:rPr>
                <w:rFonts w:ascii="宋体" w:hAnsi="宋体"/>
                <w:color w:val="auto"/>
                <w:sz w:val="22"/>
                <w:szCs w:val="22"/>
                <w:highlight w:val="none"/>
              </w:rPr>
              <w:t>1.2</w:t>
            </w:r>
          </w:p>
        </w:tc>
        <w:tc>
          <w:tcPr>
            <w:tcW w:w="8781" w:type="dxa"/>
            <w:noWrap w:val="0"/>
            <w:vAlign w:val="top"/>
          </w:tcPr>
          <w:p>
            <w:pPr>
              <w:keepNext w:val="0"/>
              <w:keepLines w:val="0"/>
              <w:pageBreakBefore w:val="0"/>
              <w:widowControl w:val="0"/>
              <w:kinsoku/>
              <w:wordWrap/>
              <w:overflowPunct/>
              <w:topLinePunct w:val="0"/>
              <w:autoSpaceDE/>
              <w:bidi w:val="0"/>
              <w:adjustRightInd/>
              <w:snapToGrid/>
              <w:spacing w:line="460" w:lineRule="exact"/>
              <w:rPr>
                <w:rFonts w:ascii="宋体" w:hAnsi="宋体"/>
                <w:color w:val="auto"/>
                <w:sz w:val="22"/>
                <w:szCs w:val="22"/>
                <w:highlight w:val="none"/>
              </w:rPr>
            </w:pPr>
            <w:r>
              <w:rPr>
                <w:rFonts w:ascii="宋体" w:hAnsi="宋体"/>
                <w:color w:val="auto"/>
                <w:sz w:val="22"/>
                <w:szCs w:val="22"/>
                <w:highlight w:val="none"/>
              </w:rPr>
              <w:t>数据处理工作站：1套（含</w:t>
            </w:r>
            <w:r>
              <w:rPr>
                <w:rFonts w:hint="eastAsia" w:ascii="宋体" w:hAnsi="宋体"/>
                <w:color w:val="auto"/>
                <w:sz w:val="22"/>
                <w:szCs w:val="22"/>
                <w:highlight w:val="none"/>
              </w:rPr>
              <w:t>高级</w:t>
            </w:r>
            <w:r>
              <w:rPr>
                <w:rFonts w:ascii="宋体" w:hAnsi="宋体"/>
                <w:color w:val="auto"/>
                <w:sz w:val="22"/>
                <w:szCs w:val="22"/>
                <w:highlight w:val="none"/>
              </w:rPr>
              <w:t>计算机</w:t>
            </w:r>
            <w:r>
              <w:rPr>
                <w:rFonts w:hint="eastAsia" w:ascii="宋体" w:hAnsi="宋体"/>
                <w:color w:val="auto"/>
                <w:sz w:val="22"/>
                <w:szCs w:val="22"/>
                <w:highlight w:val="none"/>
              </w:rPr>
              <w:t>1</w:t>
            </w:r>
            <w:r>
              <w:rPr>
                <w:rFonts w:ascii="宋体" w:hAnsi="宋体"/>
                <w:color w:val="auto"/>
                <w:sz w:val="22"/>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1.</w:t>
            </w:r>
            <w:r>
              <w:rPr>
                <w:rFonts w:ascii="宋体" w:hAnsi="宋体"/>
                <w:color w:val="auto"/>
                <w:sz w:val="22"/>
                <w:szCs w:val="22"/>
                <w:highlight w:val="none"/>
              </w:rPr>
              <w:t>3</w:t>
            </w:r>
          </w:p>
        </w:tc>
        <w:tc>
          <w:tcPr>
            <w:tcW w:w="8781" w:type="dxa"/>
            <w:noWrap w:val="0"/>
            <w:vAlign w:val="top"/>
          </w:tcPr>
          <w:p>
            <w:pPr>
              <w:keepNext w:val="0"/>
              <w:keepLines w:val="0"/>
              <w:pageBreakBefore w:val="0"/>
              <w:widowControl w:val="0"/>
              <w:kinsoku/>
              <w:wordWrap/>
              <w:overflowPunct/>
              <w:topLinePunct w:val="0"/>
              <w:autoSpaceDE/>
              <w:bidi w:val="0"/>
              <w:adjustRightInd/>
              <w:snapToGrid/>
              <w:spacing w:line="460" w:lineRule="exact"/>
              <w:rPr>
                <w:rFonts w:ascii="宋体" w:hAnsi="宋体"/>
                <w:color w:val="auto"/>
                <w:sz w:val="22"/>
                <w:szCs w:val="22"/>
                <w:highlight w:val="none"/>
              </w:rPr>
            </w:pPr>
            <w:r>
              <w:rPr>
                <w:rFonts w:hint="eastAsia" w:ascii="宋体" w:hAnsi="宋体"/>
                <w:color w:val="auto"/>
                <w:kern w:val="0"/>
                <w:sz w:val="22"/>
                <w:szCs w:val="22"/>
                <w:highlight w:val="none"/>
              </w:rPr>
              <w:t>全自动完成血型试验的上卡、打孔、加样、孵育、离心、判读等实验过程。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36" w:type="dxa"/>
            <w:noWrap w:val="0"/>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宋体" w:hAnsi="宋体"/>
                <w:color w:val="auto"/>
                <w:sz w:val="22"/>
                <w:szCs w:val="22"/>
                <w:highlight w:val="none"/>
              </w:rPr>
            </w:pPr>
            <w:r>
              <w:rPr>
                <w:rFonts w:ascii="宋体" w:hAnsi="宋体"/>
                <w:color w:val="auto"/>
                <w:sz w:val="22"/>
                <w:szCs w:val="22"/>
                <w:highlight w:val="none"/>
              </w:rPr>
              <w:t>1.4</w:t>
            </w:r>
          </w:p>
        </w:tc>
        <w:tc>
          <w:tcPr>
            <w:tcW w:w="8781" w:type="dxa"/>
            <w:noWrap w:val="0"/>
            <w:vAlign w:val="top"/>
          </w:tcPr>
          <w:p>
            <w:pPr>
              <w:keepNext w:val="0"/>
              <w:keepLines w:val="0"/>
              <w:pageBreakBefore w:val="0"/>
              <w:widowControl w:val="0"/>
              <w:kinsoku/>
              <w:wordWrap/>
              <w:overflowPunct/>
              <w:topLinePunct w:val="0"/>
              <w:autoSpaceDE/>
              <w:bidi w:val="0"/>
              <w:adjustRightInd/>
              <w:snapToGrid/>
              <w:spacing w:line="460" w:lineRule="exact"/>
              <w:rPr>
                <w:rFonts w:ascii="宋体" w:hAnsi="宋体"/>
                <w:color w:val="auto"/>
                <w:sz w:val="22"/>
                <w:szCs w:val="22"/>
                <w:highlight w:val="none"/>
              </w:rPr>
            </w:pPr>
            <w:r>
              <w:rPr>
                <w:rFonts w:hint="eastAsia" w:ascii="宋体" w:hAnsi="宋体"/>
                <w:color w:val="auto"/>
                <w:sz w:val="22"/>
                <w:szCs w:val="22"/>
                <w:highlight w:val="none"/>
              </w:rPr>
              <w:t>可自动进样、循环进样、持续进卡；多项目并列实验，ABO/Rh-D血型定型、不规则抗体筛查、RH分型、</w:t>
            </w:r>
            <w:r>
              <w:rPr>
                <w:rFonts w:hint="eastAsia" w:ascii="宋体" w:hAnsi="宋体"/>
                <w:color w:val="auto"/>
                <w:kern w:val="0"/>
                <w:sz w:val="22"/>
                <w:szCs w:val="22"/>
                <w:highlight w:val="none"/>
              </w:rPr>
              <w:t>ABO、Rh（D）血型抗原</w:t>
            </w:r>
            <w:r>
              <w:rPr>
                <w:rFonts w:ascii="宋体" w:hAnsi="宋体"/>
                <w:color w:val="auto"/>
                <w:kern w:val="0"/>
                <w:sz w:val="22"/>
                <w:szCs w:val="22"/>
                <w:highlight w:val="none"/>
              </w:rPr>
              <w:t>检测</w:t>
            </w:r>
            <w:r>
              <w:rPr>
                <w:rFonts w:hint="eastAsia" w:ascii="宋体" w:hAnsi="宋体"/>
                <w:color w:val="auto"/>
                <w:kern w:val="0"/>
                <w:sz w:val="22"/>
                <w:szCs w:val="22"/>
                <w:highlight w:val="none"/>
              </w:rPr>
              <w:t>；</w:t>
            </w:r>
            <w:r>
              <w:rPr>
                <w:rFonts w:hint="eastAsia" w:ascii="宋体" w:hAnsi="宋体"/>
                <w:color w:val="auto"/>
                <w:sz w:val="22"/>
                <w:szCs w:val="22"/>
                <w:highlight w:val="none"/>
              </w:rPr>
              <w:t>及交叉配血可同批实验。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★1.5</w:t>
            </w:r>
          </w:p>
        </w:tc>
        <w:tc>
          <w:tcPr>
            <w:tcW w:w="8781" w:type="dxa"/>
            <w:noWrap w:val="0"/>
            <w:vAlign w:val="top"/>
          </w:tcPr>
          <w:p>
            <w:pPr>
              <w:keepNext w:val="0"/>
              <w:keepLines w:val="0"/>
              <w:pageBreakBefore w:val="0"/>
              <w:widowControl w:val="0"/>
              <w:kinsoku/>
              <w:wordWrap/>
              <w:overflowPunct/>
              <w:topLinePunct w:val="0"/>
              <w:autoSpaceDE/>
              <w:bidi w:val="0"/>
              <w:adjustRightInd/>
              <w:snapToGrid/>
              <w:spacing w:line="460" w:lineRule="exact"/>
              <w:rPr>
                <w:rFonts w:ascii="宋体" w:hAnsi="宋体"/>
                <w:color w:val="auto"/>
                <w:sz w:val="22"/>
                <w:szCs w:val="22"/>
                <w:highlight w:val="none"/>
              </w:rPr>
            </w:pPr>
            <w:r>
              <w:rPr>
                <w:rFonts w:hint="eastAsia" w:ascii="宋体" w:hAnsi="宋体"/>
                <w:color w:val="auto"/>
                <w:sz w:val="22"/>
                <w:szCs w:val="22"/>
                <w:highlight w:val="none"/>
              </w:rPr>
              <w:t>所有试剂包括血型正定卡、血型正反定卡、直抗分类检测卡、Rh血型分型卡、反定细胞、不规则抗体筛选细胞、质控品均需为同一品牌。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宋体" w:hAnsi="宋体"/>
                <w:b/>
                <w:color w:val="auto"/>
                <w:sz w:val="22"/>
                <w:szCs w:val="22"/>
                <w:highlight w:val="none"/>
                <w:u w:val="single"/>
              </w:rPr>
            </w:pPr>
            <w:r>
              <w:rPr>
                <w:rFonts w:hint="eastAsia" w:ascii="宋体" w:hAnsi="宋体"/>
                <w:b/>
                <w:color w:val="auto"/>
                <w:sz w:val="22"/>
                <w:szCs w:val="22"/>
                <w:highlight w:val="none"/>
                <w:u w:val="single"/>
              </w:rPr>
              <w:t>▲1</w:t>
            </w:r>
            <w:r>
              <w:rPr>
                <w:rFonts w:ascii="宋体" w:hAnsi="宋体"/>
                <w:b/>
                <w:color w:val="auto"/>
                <w:sz w:val="22"/>
                <w:szCs w:val="22"/>
                <w:highlight w:val="none"/>
                <w:u w:val="single"/>
              </w:rPr>
              <w:t>.</w:t>
            </w:r>
            <w:r>
              <w:rPr>
                <w:rFonts w:hint="eastAsia" w:ascii="宋体" w:hAnsi="宋体"/>
                <w:b/>
                <w:color w:val="auto"/>
                <w:sz w:val="22"/>
                <w:szCs w:val="22"/>
                <w:highlight w:val="none"/>
                <w:u w:val="single"/>
              </w:rPr>
              <w:t>6</w:t>
            </w:r>
          </w:p>
        </w:tc>
        <w:tc>
          <w:tcPr>
            <w:tcW w:w="8781" w:type="dxa"/>
            <w:noWrap w:val="0"/>
            <w:vAlign w:val="top"/>
          </w:tcPr>
          <w:p>
            <w:pPr>
              <w:keepNext w:val="0"/>
              <w:keepLines w:val="0"/>
              <w:pageBreakBefore w:val="0"/>
              <w:widowControl w:val="0"/>
              <w:kinsoku/>
              <w:wordWrap/>
              <w:overflowPunct/>
              <w:topLinePunct w:val="0"/>
              <w:autoSpaceDE/>
              <w:bidi w:val="0"/>
              <w:adjustRightInd/>
              <w:snapToGrid/>
              <w:spacing w:line="460" w:lineRule="exact"/>
              <w:rPr>
                <w:rFonts w:ascii="宋体" w:hAnsi="宋体"/>
                <w:b/>
                <w:color w:val="auto"/>
                <w:sz w:val="22"/>
                <w:szCs w:val="22"/>
                <w:highlight w:val="none"/>
                <w:u w:val="single"/>
              </w:rPr>
            </w:pPr>
            <w:r>
              <w:rPr>
                <w:rFonts w:hint="eastAsia" w:ascii="宋体" w:hAnsi="宋体"/>
                <w:b/>
                <w:color w:val="auto"/>
                <w:sz w:val="22"/>
                <w:szCs w:val="22"/>
                <w:highlight w:val="none"/>
                <w:u w:val="single"/>
              </w:rPr>
              <w:t>加样方式：≥2个加样通道，采用气动置换原理吸样。用一次性Tip头、具有液面探测功能、凝块检测、气泡检测功能。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noWrap w:val="0"/>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7</w:t>
            </w:r>
          </w:p>
        </w:tc>
        <w:tc>
          <w:tcPr>
            <w:tcW w:w="8781" w:type="dxa"/>
            <w:noWrap w:val="0"/>
            <w:vAlign w:val="top"/>
          </w:tcPr>
          <w:p>
            <w:pPr>
              <w:keepNext w:val="0"/>
              <w:keepLines w:val="0"/>
              <w:pageBreakBefore w:val="0"/>
              <w:widowControl w:val="0"/>
              <w:kinsoku/>
              <w:wordWrap/>
              <w:overflowPunct/>
              <w:topLinePunct w:val="0"/>
              <w:autoSpaceDE/>
              <w:bidi w:val="0"/>
              <w:adjustRightInd/>
              <w:snapToGrid/>
              <w:spacing w:line="460" w:lineRule="exact"/>
              <w:rPr>
                <w:rFonts w:ascii="宋体" w:hAnsi="宋体"/>
                <w:color w:val="auto"/>
                <w:sz w:val="22"/>
                <w:szCs w:val="22"/>
                <w:highlight w:val="none"/>
              </w:rPr>
            </w:pPr>
            <w:r>
              <w:rPr>
                <w:rFonts w:hint="eastAsia" w:ascii="宋体" w:hAnsi="宋体"/>
                <w:color w:val="auto"/>
                <w:sz w:val="22"/>
                <w:szCs w:val="22"/>
                <w:highlight w:val="none"/>
              </w:rPr>
              <w:t>≥128个样本位，可一次性上机标本数量≥128个，原始标本管上机。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宋体" w:hAnsi="宋体"/>
                <w:b/>
                <w:color w:val="auto"/>
                <w:sz w:val="22"/>
                <w:szCs w:val="22"/>
                <w:highlight w:val="none"/>
                <w:u w:val="single"/>
              </w:rPr>
            </w:pPr>
            <w:r>
              <w:rPr>
                <w:rFonts w:hint="eastAsia" w:ascii="宋体" w:hAnsi="宋体"/>
                <w:b/>
                <w:color w:val="auto"/>
                <w:sz w:val="22"/>
                <w:szCs w:val="22"/>
                <w:highlight w:val="none"/>
                <w:u w:val="single"/>
              </w:rPr>
              <w:t>▲</w:t>
            </w:r>
            <w:r>
              <w:rPr>
                <w:rFonts w:ascii="宋体" w:hAnsi="宋体"/>
                <w:b/>
                <w:color w:val="auto"/>
                <w:sz w:val="22"/>
                <w:szCs w:val="22"/>
                <w:highlight w:val="none"/>
                <w:u w:val="single"/>
              </w:rPr>
              <w:t>1.</w:t>
            </w:r>
            <w:r>
              <w:rPr>
                <w:rFonts w:hint="eastAsia" w:ascii="宋体" w:hAnsi="宋体"/>
                <w:b/>
                <w:color w:val="auto"/>
                <w:sz w:val="22"/>
                <w:szCs w:val="22"/>
                <w:highlight w:val="none"/>
                <w:u w:val="single"/>
              </w:rPr>
              <w:t>8</w:t>
            </w:r>
          </w:p>
        </w:tc>
        <w:tc>
          <w:tcPr>
            <w:tcW w:w="8781" w:type="dxa"/>
            <w:noWrap w:val="0"/>
            <w:vAlign w:val="center"/>
          </w:tcPr>
          <w:p>
            <w:pPr>
              <w:keepNext w:val="0"/>
              <w:keepLines w:val="0"/>
              <w:pageBreakBefore w:val="0"/>
              <w:widowControl w:val="0"/>
              <w:kinsoku/>
              <w:wordWrap/>
              <w:overflowPunct/>
              <w:topLinePunct w:val="0"/>
              <w:autoSpaceDE/>
              <w:autoSpaceDN w:val="0"/>
              <w:bidi w:val="0"/>
              <w:adjustRightInd/>
              <w:snapToGrid/>
              <w:spacing w:line="460" w:lineRule="exact"/>
              <w:textAlignment w:val="center"/>
              <w:rPr>
                <w:rFonts w:ascii="宋体" w:hAnsi="宋体"/>
                <w:b/>
                <w:color w:val="auto"/>
                <w:sz w:val="22"/>
                <w:szCs w:val="22"/>
                <w:highlight w:val="none"/>
                <w:u w:val="single"/>
              </w:rPr>
            </w:pPr>
            <w:r>
              <w:rPr>
                <w:rFonts w:hint="eastAsia" w:ascii="宋体" w:hAnsi="宋体" w:cs="宋体"/>
                <w:b/>
                <w:color w:val="auto"/>
                <w:kern w:val="0"/>
                <w:sz w:val="22"/>
                <w:szCs w:val="22"/>
                <w:highlight w:val="none"/>
                <w:u w:val="single"/>
              </w:rPr>
              <w:t>耗材试剂卡型：6孔微柱凝胶卡。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9</w:t>
            </w:r>
          </w:p>
        </w:tc>
        <w:tc>
          <w:tcPr>
            <w:tcW w:w="8781" w:type="dxa"/>
            <w:noWrap w:val="0"/>
            <w:vAlign w:val="center"/>
          </w:tcPr>
          <w:p>
            <w:pPr>
              <w:keepNext w:val="0"/>
              <w:keepLines w:val="0"/>
              <w:pageBreakBefore w:val="0"/>
              <w:widowControl w:val="0"/>
              <w:kinsoku/>
              <w:wordWrap/>
              <w:overflowPunct/>
              <w:topLinePunct w:val="0"/>
              <w:autoSpaceDE/>
              <w:autoSpaceDN w:val="0"/>
              <w:bidi w:val="0"/>
              <w:adjustRightInd/>
              <w:snapToGrid/>
              <w:spacing w:line="460" w:lineRule="exact"/>
              <w:textAlignment w:val="center"/>
              <w:rPr>
                <w:rFonts w:ascii="宋体" w:hAnsi="宋体"/>
                <w:color w:val="auto"/>
                <w:sz w:val="22"/>
                <w:szCs w:val="22"/>
                <w:highlight w:val="none"/>
              </w:rPr>
            </w:pPr>
            <w:r>
              <w:rPr>
                <w:rFonts w:ascii="宋体" w:hAnsi="宋体"/>
                <w:color w:val="auto"/>
                <w:sz w:val="22"/>
                <w:szCs w:val="22"/>
                <w:highlight w:val="none"/>
              </w:rPr>
              <w:t>具备实时急诊样本插入功能。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宋体" w:hAnsi="宋体"/>
                <w:color w:val="auto"/>
                <w:sz w:val="22"/>
                <w:szCs w:val="22"/>
                <w:highlight w:val="none"/>
              </w:rPr>
            </w:pPr>
            <w:r>
              <w:rPr>
                <w:rFonts w:ascii="宋体" w:hAnsi="宋体"/>
                <w:color w:val="auto"/>
                <w:sz w:val="22"/>
                <w:szCs w:val="22"/>
                <w:highlight w:val="none"/>
              </w:rPr>
              <w:t>1.1</w:t>
            </w:r>
            <w:r>
              <w:rPr>
                <w:rFonts w:hint="eastAsia" w:ascii="宋体" w:hAnsi="宋体"/>
                <w:color w:val="auto"/>
                <w:sz w:val="22"/>
                <w:szCs w:val="22"/>
                <w:highlight w:val="none"/>
              </w:rPr>
              <w:t>0</w:t>
            </w:r>
          </w:p>
        </w:tc>
        <w:tc>
          <w:tcPr>
            <w:tcW w:w="8781" w:type="dxa"/>
            <w:noWrap w:val="0"/>
            <w:vAlign w:val="center"/>
          </w:tcPr>
          <w:p>
            <w:pPr>
              <w:keepNext w:val="0"/>
              <w:keepLines w:val="0"/>
              <w:pageBreakBefore w:val="0"/>
              <w:widowControl w:val="0"/>
              <w:kinsoku/>
              <w:wordWrap/>
              <w:overflowPunct/>
              <w:topLinePunct w:val="0"/>
              <w:autoSpaceDE/>
              <w:autoSpaceDN w:val="0"/>
              <w:bidi w:val="0"/>
              <w:adjustRightInd/>
              <w:snapToGrid/>
              <w:spacing w:line="460" w:lineRule="exact"/>
              <w:textAlignment w:val="center"/>
              <w:rPr>
                <w:rFonts w:ascii="宋体" w:hAnsi="宋体"/>
                <w:color w:val="auto"/>
                <w:sz w:val="22"/>
                <w:szCs w:val="22"/>
                <w:highlight w:val="none"/>
              </w:rPr>
            </w:pPr>
            <w:r>
              <w:rPr>
                <w:rFonts w:hint="eastAsia" w:ascii="宋体" w:hAnsi="宋体"/>
                <w:color w:val="auto"/>
                <w:sz w:val="22"/>
                <w:szCs w:val="22"/>
                <w:highlight w:val="none"/>
              </w:rPr>
              <w:t>使用高分辨率彩色CCD成像判读，图片真实、直观，未经处理，并可自动将图像传送至Lis系统中审核界面上。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w:t>
            </w:r>
            <w:r>
              <w:rPr>
                <w:rFonts w:ascii="宋体" w:hAnsi="宋体"/>
                <w:color w:val="auto"/>
                <w:sz w:val="22"/>
                <w:szCs w:val="22"/>
                <w:highlight w:val="none"/>
              </w:rPr>
              <w:t>1.1</w:t>
            </w:r>
            <w:r>
              <w:rPr>
                <w:rFonts w:hint="eastAsia" w:ascii="宋体" w:hAnsi="宋体"/>
                <w:color w:val="auto"/>
                <w:sz w:val="22"/>
                <w:szCs w:val="22"/>
                <w:highlight w:val="none"/>
              </w:rPr>
              <w:t>1</w:t>
            </w:r>
          </w:p>
        </w:tc>
        <w:tc>
          <w:tcPr>
            <w:tcW w:w="8781" w:type="dxa"/>
            <w:noWrap w:val="0"/>
            <w:vAlign w:val="center"/>
          </w:tcPr>
          <w:p>
            <w:pPr>
              <w:keepNext w:val="0"/>
              <w:keepLines w:val="0"/>
              <w:pageBreakBefore w:val="0"/>
              <w:widowControl w:val="0"/>
              <w:kinsoku/>
              <w:wordWrap/>
              <w:overflowPunct/>
              <w:topLinePunct w:val="0"/>
              <w:autoSpaceDE/>
              <w:autoSpaceDN w:val="0"/>
              <w:bidi w:val="0"/>
              <w:adjustRightInd/>
              <w:snapToGrid/>
              <w:spacing w:line="460" w:lineRule="exact"/>
              <w:textAlignment w:val="center"/>
              <w:rPr>
                <w:rFonts w:hint="eastAsia" w:ascii="宋体" w:hAnsi="宋体"/>
                <w:color w:val="auto"/>
                <w:sz w:val="22"/>
                <w:szCs w:val="22"/>
                <w:highlight w:val="none"/>
              </w:rPr>
            </w:pPr>
            <w:r>
              <w:rPr>
                <w:rFonts w:hint="eastAsia" w:ascii="宋体" w:hAnsi="宋体"/>
                <w:color w:val="auto"/>
                <w:sz w:val="22"/>
                <w:szCs w:val="22"/>
                <w:highlight w:val="none"/>
              </w:rPr>
              <w:t>独立的穿刺加样模块，专门对血型卡封膜进行穿刺，含有新卡预离心功能。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宋体" w:hAnsi="宋体"/>
                <w:color w:val="auto"/>
                <w:sz w:val="22"/>
                <w:szCs w:val="22"/>
                <w:highlight w:val="none"/>
              </w:rPr>
            </w:pPr>
            <w:r>
              <w:rPr>
                <w:rFonts w:ascii="宋体" w:hAnsi="宋体"/>
                <w:color w:val="auto"/>
                <w:sz w:val="22"/>
                <w:szCs w:val="22"/>
                <w:highlight w:val="none"/>
              </w:rPr>
              <w:t>1.1</w:t>
            </w:r>
            <w:r>
              <w:rPr>
                <w:rFonts w:hint="eastAsia" w:ascii="宋体" w:hAnsi="宋体"/>
                <w:color w:val="auto"/>
                <w:sz w:val="22"/>
                <w:szCs w:val="22"/>
                <w:highlight w:val="none"/>
              </w:rPr>
              <w:t>2</w:t>
            </w:r>
          </w:p>
        </w:tc>
        <w:tc>
          <w:tcPr>
            <w:tcW w:w="8781" w:type="dxa"/>
            <w:noWrap w:val="0"/>
            <w:vAlign w:val="center"/>
          </w:tcPr>
          <w:p>
            <w:pPr>
              <w:keepNext w:val="0"/>
              <w:keepLines w:val="0"/>
              <w:pageBreakBefore w:val="0"/>
              <w:widowControl w:val="0"/>
              <w:kinsoku/>
              <w:wordWrap/>
              <w:overflowPunct/>
              <w:topLinePunct w:val="0"/>
              <w:autoSpaceDE/>
              <w:autoSpaceDN w:val="0"/>
              <w:bidi w:val="0"/>
              <w:adjustRightInd/>
              <w:snapToGrid/>
              <w:spacing w:line="460" w:lineRule="exact"/>
              <w:textAlignment w:val="center"/>
              <w:rPr>
                <w:rFonts w:ascii="宋体" w:hAnsi="宋体"/>
                <w:color w:val="auto"/>
                <w:sz w:val="22"/>
                <w:szCs w:val="22"/>
                <w:highlight w:val="none"/>
              </w:rPr>
            </w:pPr>
            <w:r>
              <w:rPr>
                <w:rFonts w:hint="eastAsia" w:ascii="宋体" w:hAnsi="宋体"/>
                <w:color w:val="auto"/>
                <w:sz w:val="22"/>
                <w:szCs w:val="22"/>
                <w:highlight w:val="none"/>
              </w:rPr>
              <w:t>独立的孵育器，可一次性孵育≥24张卡。孵育器与离心机须为2个相互独立的模块，便于同时进行ABO/Rh-D和不规则抗体筛查试验。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宋体" w:hAnsi="宋体"/>
                <w:color w:val="auto"/>
                <w:sz w:val="22"/>
                <w:szCs w:val="22"/>
                <w:highlight w:val="none"/>
              </w:rPr>
            </w:pPr>
            <w:r>
              <w:rPr>
                <w:rFonts w:ascii="宋体" w:hAnsi="宋体"/>
                <w:color w:val="auto"/>
                <w:sz w:val="22"/>
                <w:szCs w:val="22"/>
                <w:highlight w:val="none"/>
              </w:rPr>
              <w:t>1.1</w:t>
            </w:r>
            <w:r>
              <w:rPr>
                <w:rFonts w:hint="eastAsia" w:ascii="宋体" w:hAnsi="宋体"/>
                <w:color w:val="auto"/>
                <w:sz w:val="22"/>
                <w:szCs w:val="22"/>
                <w:highlight w:val="none"/>
              </w:rPr>
              <w:t>3</w:t>
            </w:r>
          </w:p>
        </w:tc>
        <w:tc>
          <w:tcPr>
            <w:tcW w:w="8781" w:type="dxa"/>
            <w:noWrap w:val="0"/>
            <w:vAlign w:val="bottom"/>
          </w:tcPr>
          <w:p>
            <w:pPr>
              <w:keepNext w:val="0"/>
              <w:keepLines w:val="0"/>
              <w:pageBreakBefore w:val="0"/>
              <w:widowControl w:val="0"/>
              <w:kinsoku/>
              <w:wordWrap/>
              <w:overflowPunct/>
              <w:topLinePunct w:val="0"/>
              <w:autoSpaceDE/>
              <w:bidi w:val="0"/>
              <w:adjustRightInd/>
              <w:snapToGrid/>
              <w:spacing w:line="460" w:lineRule="exact"/>
              <w:rPr>
                <w:rFonts w:ascii="宋体" w:hAnsi="宋体"/>
                <w:color w:val="auto"/>
                <w:sz w:val="22"/>
                <w:szCs w:val="22"/>
                <w:highlight w:val="none"/>
              </w:rPr>
            </w:pPr>
            <w:r>
              <w:rPr>
                <w:rFonts w:hint="eastAsia" w:ascii="宋体" w:hAnsi="宋体"/>
                <w:color w:val="auto"/>
                <w:sz w:val="22"/>
                <w:szCs w:val="22"/>
                <w:highlight w:val="none"/>
              </w:rPr>
              <w:t>≥2台离心机，可一次性离心≥24张卡；转速：0--3000r/min；偏心旋转方式自动混匀试剂。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宋体" w:hAnsi="宋体"/>
                <w:color w:val="auto"/>
                <w:sz w:val="22"/>
                <w:szCs w:val="22"/>
                <w:highlight w:val="none"/>
              </w:rPr>
            </w:pPr>
            <w:r>
              <w:rPr>
                <w:rFonts w:ascii="宋体" w:hAnsi="宋体"/>
                <w:color w:val="auto"/>
                <w:sz w:val="22"/>
                <w:szCs w:val="22"/>
                <w:highlight w:val="none"/>
              </w:rPr>
              <w:t>1.1</w:t>
            </w:r>
            <w:r>
              <w:rPr>
                <w:rFonts w:hint="eastAsia" w:ascii="宋体" w:hAnsi="宋体"/>
                <w:color w:val="auto"/>
                <w:sz w:val="22"/>
                <w:szCs w:val="22"/>
                <w:highlight w:val="none"/>
              </w:rPr>
              <w:t>4</w:t>
            </w:r>
          </w:p>
        </w:tc>
        <w:tc>
          <w:tcPr>
            <w:tcW w:w="8781" w:type="dxa"/>
            <w:noWrap w:val="0"/>
            <w:vAlign w:val="top"/>
          </w:tcPr>
          <w:p>
            <w:pPr>
              <w:keepNext w:val="0"/>
              <w:keepLines w:val="0"/>
              <w:pageBreakBefore w:val="0"/>
              <w:widowControl w:val="0"/>
              <w:kinsoku/>
              <w:wordWrap/>
              <w:overflowPunct/>
              <w:topLinePunct w:val="0"/>
              <w:autoSpaceDE/>
              <w:bidi w:val="0"/>
              <w:adjustRightInd/>
              <w:snapToGrid/>
              <w:spacing w:line="460" w:lineRule="exact"/>
              <w:rPr>
                <w:rFonts w:ascii="宋体" w:hAnsi="宋体"/>
                <w:color w:val="auto"/>
                <w:sz w:val="22"/>
                <w:szCs w:val="22"/>
                <w:highlight w:val="none"/>
              </w:rPr>
            </w:pPr>
            <w:r>
              <w:rPr>
                <w:rFonts w:hint="eastAsia" w:ascii="宋体" w:hAnsi="宋体"/>
                <w:color w:val="auto"/>
                <w:sz w:val="22"/>
                <w:szCs w:val="22"/>
                <w:highlight w:val="none"/>
              </w:rPr>
              <w:t>CMOS及背光源组成，实验结果自动判读出报告。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宋体" w:hAnsi="宋体"/>
                <w:color w:val="auto"/>
                <w:sz w:val="22"/>
                <w:szCs w:val="22"/>
                <w:highlight w:val="none"/>
              </w:rPr>
            </w:pPr>
            <w:r>
              <w:rPr>
                <w:rFonts w:ascii="宋体" w:hAnsi="宋体"/>
                <w:color w:val="auto"/>
                <w:sz w:val="22"/>
                <w:szCs w:val="22"/>
                <w:highlight w:val="none"/>
              </w:rPr>
              <w:t>1.1</w:t>
            </w:r>
            <w:r>
              <w:rPr>
                <w:rFonts w:hint="eastAsia" w:ascii="宋体" w:hAnsi="宋体"/>
                <w:color w:val="auto"/>
                <w:sz w:val="22"/>
                <w:szCs w:val="22"/>
                <w:highlight w:val="none"/>
              </w:rPr>
              <w:t>5</w:t>
            </w:r>
          </w:p>
        </w:tc>
        <w:tc>
          <w:tcPr>
            <w:tcW w:w="8781" w:type="dxa"/>
            <w:noWrap w:val="0"/>
            <w:vAlign w:val="top"/>
          </w:tcPr>
          <w:p>
            <w:pPr>
              <w:keepNext w:val="0"/>
              <w:keepLines w:val="0"/>
              <w:pageBreakBefore w:val="0"/>
              <w:widowControl w:val="0"/>
              <w:kinsoku/>
              <w:wordWrap/>
              <w:overflowPunct/>
              <w:topLinePunct w:val="0"/>
              <w:autoSpaceDE/>
              <w:bidi w:val="0"/>
              <w:adjustRightInd/>
              <w:snapToGrid/>
              <w:spacing w:line="460" w:lineRule="exact"/>
              <w:rPr>
                <w:rFonts w:ascii="宋体" w:hAnsi="宋体"/>
                <w:color w:val="auto"/>
                <w:sz w:val="22"/>
                <w:szCs w:val="22"/>
                <w:highlight w:val="none"/>
              </w:rPr>
            </w:pPr>
            <w:r>
              <w:rPr>
                <w:rFonts w:ascii="宋体" w:hAnsi="宋体"/>
                <w:color w:val="auto"/>
                <w:kern w:val="0"/>
                <w:sz w:val="22"/>
                <w:szCs w:val="22"/>
                <w:highlight w:val="none"/>
              </w:rPr>
              <w:t>内置条形</w:t>
            </w:r>
            <w:r>
              <w:rPr>
                <w:rFonts w:ascii="宋体" w:hAnsi="宋体"/>
                <w:color w:val="auto"/>
                <w:sz w:val="22"/>
                <w:szCs w:val="22"/>
                <w:highlight w:val="none"/>
              </w:rPr>
              <w:t>码阅读器，能实现双向通讯，具有能与检验科LIS系统联机的通讯端口。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宋体" w:hAnsi="宋体"/>
                <w:color w:val="auto"/>
                <w:sz w:val="22"/>
                <w:szCs w:val="22"/>
                <w:highlight w:val="none"/>
              </w:rPr>
            </w:pPr>
            <w:r>
              <w:rPr>
                <w:rFonts w:ascii="宋体" w:hAnsi="宋体"/>
                <w:b/>
                <w:color w:val="auto"/>
                <w:sz w:val="22"/>
                <w:szCs w:val="22"/>
                <w:highlight w:val="none"/>
              </w:rPr>
              <w:t>2</w:t>
            </w:r>
          </w:p>
        </w:tc>
        <w:tc>
          <w:tcPr>
            <w:tcW w:w="8781" w:type="dxa"/>
            <w:noWrap w:val="0"/>
            <w:vAlign w:val="center"/>
          </w:tcPr>
          <w:p>
            <w:pPr>
              <w:keepNext w:val="0"/>
              <w:keepLines w:val="0"/>
              <w:pageBreakBefore w:val="0"/>
              <w:widowControl w:val="0"/>
              <w:kinsoku/>
              <w:wordWrap/>
              <w:overflowPunct/>
              <w:topLinePunct w:val="0"/>
              <w:autoSpaceDE/>
              <w:bidi w:val="0"/>
              <w:adjustRightInd/>
              <w:snapToGrid/>
              <w:spacing w:line="460" w:lineRule="exact"/>
              <w:rPr>
                <w:rFonts w:ascii="宋体" w:hAnsi="宋体"/>
                <w:color w:val="auto"/>
                <w:sz w:val="22"/>
                <w:szCs w:val="22"/>
                <w:highlight w:val="none"/>
              </w:rPr>
            </w:pPr>
            <w:r>
              <w:rPr>
                <w:rFonts w:ascii="宋体" w:hAnsi="宋体"/>
                <w:b/>
                <w:color w:val="auto"/>
                <w:sz w:val="22"/>
                <w:szCs w:val="22"/>
                <w:highlight w:val="none"/>
              </w:rPr>
              <w:t>其他及售后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宋体" w:hAnsi="宋体"/>
                <w:b/>
                <w:color w:val="auto"/>
                <w:sz w:val="22"/>
                <w:szCs w:val="22"/>
                <w:highlight w:val="none"/>
              </w:rPr>
            </w:pPr>
            <w:r>
              <w:rPr>
                <w:rFonts w:ascii="宋体" w:hAnsi="宋体"/>
                <w:color w:val="auto"/>
                <w:sz w:val="22"/>
                <w:szCs w:val="22"/>
                <w:highlight w:val="none"/>
              </w:rPr>
              <w:t>2.1</w:t>
            </w:r>
          </w:p>
        </w:tc>
        <w:tc>
          <w:tcPr>
            <w:tcW w:w="8781" w:type="dxa"/>
            <w:noWrap w:val="0"/>
            <w:vAlign w:val="center"/>
          </w:tcPr>
          <w:p>
            <w:pPr>
              <w:keepNext w:val="0"/>
              <w:keepLines w:val="0"/>
              <w:pageBreakBefore w:val="0"/>
              <w:widowControl w:val="0"/>
              <w:kinsoku/>
              <w:wordWrap/>
              <w:overflowPunct/>
              <w:topLinePunct w:val="0"/>
              <w:autoSpaceDE/>
              <w:bidi w:val="0"/>
              <w:adjustRightInd/>
              <w:snapToGrid/>
              <w:spacing w:line="460" w:lineRule="exact"/>
              <w:rPr>
                <w:rFonts w:ascii="宋体" w:hAnsi="宋体"/>
                <w:b/>
                <w:color w:val="auto"/>
                <w:sz w:val="22"/>
                <w:szCs w:val="22"/>
                <w:highlight w:val="none"/>
              </w:rPr>
            </w:pPr>
            <w:r>
              <w:rPr>
                <w:rFonts w:ascii="宋体" w:hAnsi="宋体"/>
                <w:color w:val="auto"/>
                <w:sz w:val="22"/>
                <w:szCs w:val="22"/>
                <w:highlight w:val="none"/>
              </w:rPr>
              <w:t>系统配置：提供系统配置清单、相关证件等资料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宋体" w:hAnsi="宋体"/>
                <w:color w:val="auto"/>
                <w:sz w:val="22"/>
                <w:szCs w:val="22"/>
                <w:highlight w:val="none"/>
              </w:rPr>
            </w:pPr>
            <w:r>
              <w:rPr>
                <w:rFonts w:ascii="宋体" w:hAnsi="宋体"/>
                <w:color w:val="auto"/>
                <w:sz w:val="22"/>
                <w:szCs w:val="22"/>
                <w:highlight w:val="none"/>
              </w:rPr>
              <w:t>2.</w:t>
            </w:r>
            <w:r>
              <w:rPr>
                <w:rFonts w:hint="eastAsia" w:ascii="宋体" w:hAnsi="宋体"/>
                <w:color w:val="auto"/>
                <w:sz w:val="22"/>
                <w:szCs w:val="22"/>
                <w:highlight w:val="none"/>
              </w:rPr>
              <w:t>2</w:t>
            </w:r>
          </w:p>
        </w:tc>
        <w:tc>
          <w:tcPr>
            <w:tcW w:w="8781" w:type="dxa"/>
            <w:noWrap w:val="0"/>
            <w:vAlign w:val="center"/>
          </w:tcPr>
          <w:p>
            <w:pPr>
              <w:keepNext w:val="0"/>
              <w:keepLines w:val="0"/>
              <w:pageBreakBefore w:val="0"/>
              <w:widowControl w:val="0"/>
              <w:kinsoku/>
              <w:wordWrap/>
              <w:overflowPunct/>
              <w:topLinePunct w:val="0"/>
              <w:autoSpaceDE/>
              <w:bidi w:val="0"/>
              <w:adjustRightInd/>
              <w:snapToGrid/>
              <w:spacing w:line="460" w:lineRule="exact"/>
              <w:rPr>
                <w:rFonts w:ascii="宋体" w:hAnsi="宋体"/>
                <w:color w:val="auto"/>
                <w:sz w:val="22"/>
                <w:szCs w:val="22"/>
                <w:highlight w:val="none"/>
              </w:rPr>
            </w:pPr>
            <w:r>
              <w:rPr>
                <w:rFonts w:ascii="宋体" w:hAnsi="宋体"/>
                <w:color w:val="auto"/>
                <w:sz w:val="22"/>
                <w:szCs w:val="22"/>
                <w:highlight w:val="none"/>
              </w:rPr>
              <w:t>合作期内试剂价格保持不变，医院根据实际临床需要量</w:t>
            </w:r>
            <w:r>
              <w:rPr>
                <w:rFonts w:hint="eastAsia" w:ascii="宋体" w:hAnsi="宋体"/>
                <w:color w:val="auto"/>
                <w:sz w:val="22"/>
                <w:szCs w:val="22"/>
                <w:highlight w:val="none"/>
              </w:rPr>
              <w:t>分批</w:t>
            </w:r>
            <w:r>
              <w:rPr>
                <w:rFonts w:ascii="宋体" w:hAnsi="宋体"/>
                <w:color w:val="auto"/>
                <w:sz w:val="22"/>
                <w:szCs w:val="22"/>
                <w:highlight w:val="none"/>
              </w:rPr>
              <w:t>向中标方采购试剂。合作期内如有试验项目方法性能不能满足临床需求，医院有权单方结束合作协议。如协商不妥，医院有权另行购买。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宋体" w:hAnsi="宋体"/>
                <w:color w:val="auto"/>
                <w:sz w:val="22"/>
                <w:szCs w:val="22"/>
                <w:highlight w:val="none"/>
              </w:rPr>
            </w:pPr>
            <w:r>
              <w:rPr>
                <w:rFonts w:ascii="宋体" w:hAnsi="宋体"/>
                <w:color w:val="auto"/>
                <w:sz w:val="22"/>
                <w:szCs w:val="22"/>
                <w:highlight w:val="none"/>
              </w:rPr>
              <w:t>2.</w:t>
            </w:r>
            <w:r>
              <w:rPr>
                <w:rFonts w:hint="eastAsia" w:ascii="宋体" w:hAnsi="宋体"/>
                <w:color w:val="auto"/>
                <w:sz w:val="22"/>
                <w:szCs w:val="22"/>
                <w:highlight w:val="none"/>
              </w:rPr>
              <w:t>3</w:t>
            </w:r>
          </w:p>
        </w:tc>
        <w:tc>
          <w:tcPr>
            <w:tcW w:w="8781" w:type="dxa"/>
            <w:noWrap w:val="0"/>
            <w:vAlign w:val="center"/>
          </w:tcPr>
          <w:p>
            <w:pPr>
              <w:keepNext w:val="0"/>
              <w:keepLines w:val="0"/>
              <w:pageBreakBefore w:val="0"/>
              <w:widowControl w:val="0"/>
              <w:kinsoku/>
              <w:wordWrap/>
              <w:overflowPunct/>
              <w:topLinePunct w:val="0"/>
              <w:autoSpaceDE/>
              <w:bidi w:val="0"/>
              <w:adjustRightInd/>
              <w:snapToGrid/>
              <w:spacing w:line="460" w:lineRule="exact"/>
              <w:rPr>
                <w:rFonts w:ascii="宋体" w:hAnsi="宋体"/>
                <w:color w:val="auto"/>
                <w:sz w:val="22"/>
                <w:szCs w:val="22"/>
                <w:highlight w:val="none"/>
              </w:rPr>
            </w:pPr>
            <w:r>
              <w:rPr>
                <w:rFonts w:ascii="宋体" w:hAnsi="宋体"/>
                <w:color w:val="auto"/>
                <w:sz w:val="22"/>
                <w:szCs w:val="22"/>
                <w:highlight w:val="none"/>
              </w:rPr>
              <w:t>试剂耗材款结算：按医院试剂耗材财务发票每月结算。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宋体" w:hAnsi="宋体"/>
                <w:color w:val="auto"/>
                <w:sz w:val="22"/>
                <w:szCs w:val="22"/>
                <w:highlight w:val="none"/>
              </w:rPr>
            </w:pPr>
            <w:r>
              <w:rPr>
                <w:rFonts w:ascii="宋体" w:hAnsi="宋体"/>
                <w:color w:val="auto"/>
                <w:sz w:val="22"/>
                <w:szCs w:val="22"/>
                <w:highlight w:val="none"/>
              </w:rPr>
              <w:t>2.</w:t>
            </w:r>
            <w:r>
              <w:rPr>
                <w:rFonts w:hint="eastAsia" w:ascii="宋体" w:hAnsi="宋体"/>
                <w:color w:val="auto"/>
                <w:sz w:val="22"/>
                <w:szCs w:val="22"/>
                <w:highlight w:val="none"/>
              </w:rPr>
              <w:t>4</w:t>
            </w:r>
          </w:p>
        </w:tc>
        <w:tc>
          <w:tcPr>
            <w:tcW w:w="8781" w:type="dxa"/>
            <w:noWrap w:val="0"/>
            <w:vAlign w:val="center"/>
          </w:tcPr>
          <w:p>
            <w:pPr>
              <w:keepNext w:val="0"/>
              <w:keepLines w:val="0"/>
              <w:pageBreakBefore w:val="0"/>
              <w:widowControl w:val="0"/>
              <w:kinsoku/>
              <w:wordWrap/>
              <w:overflowPunct/>
              <w:topLinePunct w:val="0"/>
              <w:autoSpaceDE/>
              <w:bidi w:val="0"/>
              <w:adjustRightInd/>
              <w:snapToGrid/>
              <w:spacing w:line="460" w:lineRule="exact"/>
              <w:rPr>
                <w:rFonts w:ascii="宋体" w:hAnsi="宋体"/>
                <w:color w:val="auto"/>
                <w:sz w:val="22"/>
                <w:szCs w:val="22"/>
                <w:highlight w:val="none"/>
              </w:rPr>
            </w:pPr>
            <w:r>
              <w:rPr>
                <w:rFonts w:ascii="宋体" w:hAnsi="宋体"/>
                <w:color w:val="auto"/>
                <w:sz w:val="22"/>
                <w:szCs w:val="22"/>
                <w:highlight w:val="none"/>
              </w:rPr>
              <w:t>合作期间，厂家免费提供设备校准服务，并出具符合国家标准的校准报告</w:t>
            </w:r>
            <w:r>
              <w:rPr>
                <w:rFonts w:hint="eastAsia" w:ascii="宋体" w:hAnsi="宋体"/>
                <w:color w:val="auto"/>
                <w:sz w:val="22"/>
                <w:szCs w:val="22"/>
                <w:highlight w:val="none"/>
              </w:rPr>
              <w:t>，且需要</w:t>
            </w:r>
            <w:r>
              <w:rPr>
                <w:rFonts w:ascii="宋体" w:hAnsi="宋体"/>
                <w:color w:val="auto"/>
                <w:sz w:val="22"/>
                <w:szCs w:val="22"/>
                <w:highlight w:val="none"/>
              </w:rPr>
              <w:t>免费提供</w:t>
            </w:r>
            <w:r>
              <w:rPr>
                <w:rFonts w:hint="eastAsia" w:ascii="宋体" w:hAnsi="宋体"/>
                <w:color w:val="auto"/>
                <w:sz w:val="22"/>
                <w:szCs w:val="22"/>
                <w:highlight w:val="none"/>
              </w:rPr>
              <w:t>疑难血型鉴定服务。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宋体" w:hAnsi="宋体"/>
                <w:color w:val="auto"/>
                <w:sz w:val="22"/>
                <w:szCs w:val="22"/>
                <w:highlight w:val="none"/>
              </w:rPr>
            </w:pPr>
            <w:r>
              <w:rPr>
                <w:rFonts w:ascii="宋体" w:hAnsi="宋体"/>
                <w:color w:val="auto"/>
                <w:sz w:val="22"/>
                <w:szCs w:val="22"/>
                <w:highlight w:val="none"/>
              </w:rPr>
              <w:t>2.</w:t>
            </w:r>
            <w:r>
              <w:rPr>
                <w:rFonts w:hint="eastAsia" w:ascii="宋体" w:hAnsi="宋体"/>
                <w:color w:val="auto"/>
                <w:sz w:val="22"/>
                <w:szCs w:val="22"/>
                <w:highlight w:val="none"/>
              </w:rPr>
              <w:t>5</w:t>
            </w:r>
          </w:p>
        </w:tc>
        <w:tc>
          <w:tcPr>
            <w:tcW w:w="8781" w:type="dxa"/>
            <w:noWrap w:val="0"/>
            <w:vAlign w:val="center"/>
          </w:tcPr>
          <w:p>
            <w:pPr>
              <w:keepNext w:val="0"/>
              <w:keepLines w:val="0"/>
              <w:pageBreakBefore w:val="0"/>
              <w:widowControl w:val="0"/>
              <w:kinsoku/>
              <w:wordWrap/>
              <w:overflowPunct/>
              <w:topLinePunct w:val="0"/>
              <w:autoSpaceDE/>
              <w:bidi w:val="0"/>
              <w:adjustRightInd/>
              <w:snapToGrid/>
              <w:spacing w:line="460" w:lineRule="exact"/>
              <w:rPr>
                <w:rFonts w:ascii="宋体" w:hAnsi="宋体"/>
                <w:color w:val="auto"/>
                <w:sz w:val="22"/>
                <w:szCs w:val="22"/>
                <w:highlight w:val="none"/>
              </w:rPr>
            </w:pPr>
            <w:r>
              <w:rPr>
                <w:rFonts w:ascii="宋体" w:hAnsi="宋体"/>
                <w:color w:val="auto"/>
                <w:sz w:val="22"/>
                <w:szCs w:val="22"/>
                <w:highlight w:val="none"/>
              </w:rPr>
              <w:t>合作期内新开展项目的试剂价格由双方共同协商解决</w:t>
            </w:r>
            <w:r>
              <w:rPr>
                <w:rFonts w:hint="eastAsia" w:ascii="宋体" w:hAnsi="宋体"/>
                <w:color w:val="auto"/>
                <w:sz w:val="22"/>
                <w:szCs w:val="22"/>
                <w:highlight w:val="none"/>
              </w:rPr>
              <w:t>，新增项目需要按照医院走新增审批流程</w:t>
            </w:r>
            <w:r>
              <w:rPr>
                <w:rFonts w:ascii="宋体" w:hAnsi="宋体"/>
                <w:color w:val="auto"/>
                <w:sz w:val="22"/>
                <w:szCs w:val="22"/>
                <w:highlight w:val="none"/>
              </w:rPr>
              <w:t>，如协商不妥，医院有权另行购买。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宋体" w:hAnsi="宋体"/>
                <w:color w:val="auto"/>
                <w:sz w:val="22"/>
                <w:szCs w:val="22"/>
                <w:highlight w:val="none"/>
              </w:rPr>
            </w:pPr>
            <w:r>
              <w:rPr>
                <w:rFonts w:ascii="宋体" w:hAnsi="宋体"/>
                <w:color w:val="auto"/>
                <w:sz w:val="22"/>
                <w:szCs w:val="22"/>
                <w:highlight w:val="none"/>
              </w:rPr>
              <w:t>2.</w:t>
            </w:r>
            <w:r>
              <w:rPr>
                <w:rFonts w:hint="eastAsia" w:ascii="宋体" w:hAnsi="宋体"/>
                <w:color w:val="auto"/>
                <w:sz w:val="22"/>
                <w:szCs w:val="22"/>
                <w:highlight w:val="none"/>
              </w:rPr>
              <w:t>6</w:t>
            </w:r>
          </w:p>
        </w:tc>
        <w:tc>
          <w:tcPr>
            <w:tcW w:w="8781" w:type="dxa"/>
            <w:noWrap w:val="0"/>
            <w:vAlign w:val="top"/>
          </w:tcPr>
          <w:p>
            <w:pPr>
              <w:keepNext w:val="0"/>
              <w:keepLines w:val="0"/>
              <w:pageBreakBefore w:val="0"/>
              <w:widowControl w:val="0"/>
              <w:kinsoku/>
              <w:wordWrap/>
              <w:overflowPunct/>
              <w:topLinePunct w:val="0"/>
              <w:autoSpaceDE/>
              <w:bidi w:val="0"/>
              <w:adjustRightInd/>
              <w:snapToGrid/>
              <w:spacing w:line="460" w:lineRule="exact"/>
              <w:rPr>
                <w:rFonts w:ascii="宋体" w:hAnsi="宋体"/>
                <w:color w:val="auto"/>
                <w:sz w:val="22"/>
                <w:szCs w:val="22"/>
                <w:highlight w:val="none"/>
              </w:rPr>
            </w:pPr>
            <w:r>
              <w:rPr>
                <w:rFonts w:ascii="宋体" w:hAnsi="宋体"/>
                <w:color w:val="auto"/>
                <w:sz w:val="22"/>
                <w:szCs w:val="22"/>
                <w:highlight w:val="none"/>
              </w:rPr>
              <w:t>售后服务保障体系：</w:t>
            </w:r>
            <w:r>
              <w:rPr>
                <w:rFonts w:hint="eastAsia" w:ascii="宋体" w:hAnsi="宋体"/>
                <w:color w:val="auto"/>
                <w:sz w:val="22"/>
                <w:szCs w:val="22"/>
                <w:highlight w:val="none"/>
              </w:rPr>
              <w:t>2</w:t>
            </w:r>
            <w:r>
              <w:rPr>
                <w:rFonts w:ascii="宋体" w:hAnsi="宋体"/>
                <w:color w:val="auto"/>
                <w:sz w:val="22"/>
                <w:szCs w:val="22"/>
                <w:highlight w:val="none"/>
              </w:rPr>
              <w:t>小时响应，24小时到达现场。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宋体" w:hAnsi="宋体"/>
                <w:color w:val="auto"/>
                <w:sz w:val="22"/>
                <w:szCs w:val="22"/>
                <w:highlight w:val="none"/>
              </w:rPr>
            </w:pPr>
            <w:r>
              <w:rPr>
                <w:rFonts w:ascii="宋体" w:hAnsi="宋体"/>
                <w:color w:val="auto"/>
                <w:sz w:val="22"/>
                <w:szCs w:val="22"/>
                <w:highlight w:val="none"/>
              </w:rPr>
              <w:t>2.</w:t>
            </w:r>
            <w:r>
              <w:rPr>
                <w:rFonts w:hint="eastAsia" w:ascii="宋体" w:hAnsi="宋体"/>
                <w:color w:val="auto"/>
                <w:sz w:val="22"/>
                <w:szCs w:val="22"/>
                <w:highlight w:val="none"/>
              </w:rPr>
              <w:t>7</w:t>
            </w:r>
          </w:p>
        </w:tc>
        <w:tc>
          <w:tcPr>
            <w:tcW w:w="8781" w:type="dxa"/>
            <w:noWrap w:val="0"/>
            <w:vAlign w:val="top"/>
          </w:tcPr>
          <w:p>
            <w:pPr>
              <w:keepNext w:val="0"/>
              <w:keepLines w:val="0"/>
              <w:pageBreakBefore w:val="0"/>
              <w:widowControl w:val="0"/>
              <w:kinsoku/>
              <w:wordWrap/>
              <w:overflowPunct/>
              <w:topLinePunct w:val="0"/>
              <w:autoSpaceDE/>
              <w:bidi w:val="0"/>
              <w:adjustRightInd/>
              <w:snapToGrid/>
              <w:spacing w:line="460" w:lineRule="exact"/>
              <w:rPr>
                <w:rFonts w:ascii="宋体" w:hAnsi="宋体" w:cs="宋体"/>
                <w:color w:val="auto"/>
                <w:kern w:val="0"/>
                <w:sz w:val="22"/>
                <w:szCs w:val="22"/>
                <w:highlight w:val="none"/>
              </w:rPr>
            </w:pPr>
            <w:r>
              <w:rPr>
                <w:rFonts w:ascii="宋体" w:hAnsi="宋体"/>
                <w:color w:val="auto"/>
                <w:sz w:val="22"/>
                <w:szCs w:val="22"/>
                <w:highlight w:val="none"/>
              </w:rPr>
              <w:t>设备免费保修期</w:t>
            </w:r>
            <w:r>
              <w:rPr>
                <w:rFonts w:hint="eastAsia" w:ascii="宋体" w:hAnsi="宋体"/>
                <w:color w:val="auto"/>
                <w:sz w:val="22"/>
                <w:szCs w:val="22"/>
                <w:highlight w:val="none"/>
              </w:rPr>
              <w:t>:</w:t>
            </w:r>
            <w:r>
              <w:rPr>
                <w:rFonts w:ascii="宋体" w:hAnsi="宋体"/>
                <w:color w:val="auto"/>
                <w:sz w:val="22"/>
                <w:szCs w:val="22"/>
                <w:highlight w:val="none"/>
              </w:rPr>
              <w:t>试剂使用期间，仪器由投标商或厂商提供</w:t>
            </w:r>
            <w:r>
              <w:rPr>
                <w:rFonts w:hint="eastAsia" w:ascii="宋体" w:hAnsi="宋体"/>
                <w:color w:val="auto"/>
                <w:sz w:val="22"/>
                <w:szCs w:val="22"/>
                <w:highlight w:val="none"/>
              </w:rPr>
              <w:t>终生</w:t>
            </w:r>
            <w:r>
              <w:rPr>
                <w:rFonts w:ascii="宋体" w:hAnsi="宋体"/>
                <w:color w:val="auto"/>
                <w:sz w:val="22"/>
                <w:szCs w:val="22"/>
                <w:highlight w:val="none"/>
              </w:rPr>
              <w:t>免费保修，设备能够与创业LIS</w:t>
            </w:r>
            <w:r>
              <w:rPr>
                <w:rFonts w:hint="eastAsia" w:ascii="宋体" w:hAnsi="宋体"/>
                <w:color w:val="auto"/>
                <w:sz w:val="22"/>
                <w:szCs w:val="22"/>
                <w:highlight w:val="none"/>
              </w:rPr>
              <w:t>系统</w:t>
            </w:r>
            <w:r>
              <w:rPr>
                <w:rFonts w:ascii="宋体" w:hAnsi="宋体"/>
                <w:color w:val="auto"/>
                <w:sz w:val="22"/>
                <w:szCs w:val="22"/>
                <w:highlight w:val="none"/>
              </w:rPr>
              <w:t>无缝连接，</w:t>
            </w:r>
            <w:r>
              <w:rPr>
                <w:rFonts w:hint="eastAsia" w:ascii="宋体" w:hAnsi="宋体"/>
                <w:color w:val="auto"/>
                <w:sz w:val="22"/>
                <w:szCs w:val="22"/>
                <w:highlight w:val="none"/>
              </w:rPr>
              <w:t>并</w:t>
            </w:r>
            <w:r>
              <w:rPr>
                <w:rFonts w:ascii="宋体" w:hAnsi="宋体"/>
                <w:color w:val="auto"/>
                <w:sz w:val="22"/>
                <w:szCs w:val="22"/>
                <w:highlight w:val="none"/>
              </w:rPr>
              <w:t>承担联网费用。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宋体" w:hAnsi="宋体"/>
                <w:color w:val="auto"/>
                <w:sz w:val="22"/>
                <w:szCs w:val="22"/>
                <w:highlight w:val="none"/>
              </w:rPr>
            </w:pPr>
            <w:r>
              <w:rPr>
                <w:rFonts w:ascii="宋体" w:hAnsi="宋体"/>
                <w:color w:val="auto"/>
                <w:sz w:val="22"/>
                <w:szCs w:val="22"/>
                <w:highlight w:val="none"/>
              </w:rPr>
              <w:t>2.</w:t>
            </w:r>
            <w:r>
              <w:rPr>
                <w:rFonts w:hint="eastAsia" w:ascii="宋体" w:hAnsi="宋体"/>
                <w:color w:val="auto"/>
                <w:sz w:val="22"/>
                <w:szCs w:val="22"/>
                <w:highlight w:val="none"/>
              </w:rPr>
              <w:t>8</w:t>
            </w:r>
          </w:p>
        </w:tc>
        <w:tc>
          <w:tcPr>
            <w:tcW w:w="8781" w:type="dxa"/>
            <w:noWrap w:val="0"/>
            <w:vAlign w:val="center"/>
          </w:tcPr>
          <w:p>
            <w:pPr>
              <w:keepNext w:val="0"/>
              <w:keepLines w:val="0"/>
              <w:pageBreakBefore w:val="0"/>
              <w:widowControl w:val="0"/>
              <w:kinsoku/>
              <w:wordWrap/>
              <w:overflowPunct/>
              <w:topLinePunct w:val="0"/>
              <w:autoSpaceDE/>
              <w:bidi w:val="0"/>
              <w:adjustRightInd/>
              <w:snapToGrid/>
              <w:spacing w:line="460" w:lineRule="exact"/>
              <w:rPr>
                <w:rFonts w:ascii="宋体" w:hAnsi="宋体"/>
                <w:color w:val="auto"/>
                <w:sz w:val="22"/>
                <w:szCs w:val="22"/>
                <w:highlight w:val="none"/>
              </w:rPr>
            </w:pPr>
            <w:r>
              <w:rPr>
                <w:rFonts w:ascii="宋体" w:hAnsi="宋体"/>
                <w:color w:val="auto"/>
                <w:sz w:val="22"/>
                <w:szCs w:val="22"/>
                <w:highlight w:val="none"/>
              </w:rPr>
              <w:t>操作手册：提供操作手册一套；</w:t>
            </w:r>
            <w:r>
              <w:rPr>
                <w:rFonts w:hint="eastAsia" w:ascii="宋体" w:hAnsi="宋体"/>
                <w:color w:val="auto"/>
                <w:sz w:val="22"/>
                <w:szCs w:val="22"/>
                <w:highlight w:val="none"/>
              </w:rPr>
              <w:t>培训：每年提供技术培训、学术交流活动2次以上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宋体" w:hAnsi="宋体"/>
                <w:color w:val="auto"/>
                <w:sz w:val="22"/>
                <w:szCs w:val="22"/>
                <w:highlight w:val="none"/>
              </w:rPr>
            </w:pPr>
            <w:r>
              <w:rPr>
                <w:rFonts w:ascii="宋体" w:hAnsi="宋体"/>
                <w:color w:val="auto"/>
                <w:sz w:val="22"/>
                <w:szCs w:val="22"/>
                <w:highlight w:val="none"/>
              </w:rPr>
              <w:t>2.</w:t>
            </w:r>
            <w:r>
              <w:rPr>
                <w:rFonts w:hint="eastAsia" w:ascii="宋体" w:hAnsi="宋体"/>
                <w:color w:val="auto"/>
                <w:sz w:val="22"/>
                <w:szCs w:val="22"/>
                <w:highlight w:val="none"/>
              </w:rPr>
              <w:t>9</w:t>
            </w:r>
          </w:p>
        </w:tc>
        <w:tc>
          <w:tcPr>
            <w:tcW w:w="8781" w:type="dxa"/>
            <w:noWrap w:val="0"/>
            <w:vAlign w:val="center"/>
          </w:tcPr>
          <w:p>
            <w:pPr>
              <w:keepNext w:val="0"/>
              <w:keepLines w:val="0"/>
              <w:pageBreakBefore w:val="0"/>
              <w:widowControl w:val="0"/>
              <w:kinsoku/>
              <w:wordWrap/>
              <w:overflowPunct/>
              <w:topLinePunct w:val="0"/>
              <w:autoSpaceDE/>
              <w:bidi w:val="0"/>
              <w:adjustRightInd/>
              <w:snapToGrid/>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网络功能：实现LIS系统</w:t>
            </w:r>
            <w:r>
              <w:rPr>
                <w:rFonts w:ascii="宋体" w:hAnsi="宋体"/>
                <w:color w:val="auto"/>
                <w:sz w:val="22"/>
                <w:szCs w:val="22"/>
                <w:highlight w:val="none"/>
              </w:rPr>
              <w:t>无缝</w:t>
            </w:r>
            <w:r>
              <w:rPr>
                <w:rFonts w:hint="eastAsia" w:ascii="宋体" w:hAnsi="宋体" w:cs="宋体"/>
                <w:color w:val="auto"/>
                <w:kern w:val="0"/>
                <w:sz w:val="22"/>
                <w:szCs w:val="22"/>
                <w:highlight w:val="none"/>
              </w:rPr>
              <w:t>网络连接，</w:t>
            </w:r>
            <w:r>
              <w:rPr>
                <w:rFonts w:ascii="宋体" w:hAnsi="宋体"/>
                <w:color w:val="auto"/>
                <w:sz w:val="22"/>
                <w:szCs w:val="22"/>
                <w:highlight w:val="none"/>
              </w:rPr>
              <w:t>承担联网费用。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2.10</w:t>
            </w:r>
          </w:p>
        </w:tc>
        <w:tc>
          <w:tcPr>
            <w:tcW w:w="8781" w:type="dxa"/>
            <w:noWrap w:val="0"/>
            <w:vAlign w:val="center"/>
          </w:tcPr>
          <w:p>
            <w:pPr>
              <w:keepNext w:val="0"/>
              <w:keepLines w:val="0"/>
              <w:pageBreakBefore w:val="0"/>
              <w:widowControl w:val="0"/>
              <w:kinsoku/>
              <w:wordWrap/>
              <w:overflowPunct/>
              <w:topLinePunct w:val="0"/>
              <w:autoSpaceDE/>
              <w:bidi w:val="0"/>
              <w:adjustRightInd/>
              <w:snapToGrid/>
              <w:spacing w:line="460" w:lineRule="exact"/>
              <w:rPr>
                <w:rFonts w:ascii="宋体" w:hAnsi="宋体" w:cs="宋体"/>
                <w:color w:val="auto"/>
                <w:kern w:val="0"/>
                <w:sz w:val="22"/>
                <w:szCs w:val="22"/>
                <w:highlight w:val="none"/>
              </w:rPr>
            </w:pPr>
            <w:r>
              <w:rPr>
                <w:rFonts w:hint="eastAsia" w:ascii="宋体" w:hAnsi="宋体"/>
                <w:color w:val="auto"/>
                <w:sz w:val="22"/>
                <w:szCs w:val="22"/>
                <w:highlight w:val="none"/>
              </w:rPr>
              <w:t>投标商应提供试剂包、消耗品、质控品、价格清单。并提供电子版报价文件。(提供每标本的试剂成本)。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2.11</w:t>
            </w:r>
          </w:p>
        </w:tc>
        <w:tc>
          <w:tcPr>
            <w:tcW w:w="8781" w:type="dxa"/>
            <w:noWrap w:val="0"/>
            <w:vAlign w:val="center"/>
          </w:tcPr>
          <w:p>
            <w:pPr>
              <w:keepNext w:val="0"/>
              <w:keepLines w:val="0"/>
              <w:pageBreakBefore w:val="0"/>
              <w:widowControl w:val="0"/>
              <w:kinsoku/>
              <w:wordWrap/>
              <w:overflowPunct/>
              <w:topLinePunct w:val="0"/>
              <w:autoSpaceDE/>
              <w:bidi w:val="0"/>
              <w:adjustRightInd/>
              <w:snapToGrid/>
              <w:spacing w:line="460" w:lineRule="exact"/>
              <w:rPr>
                <w:rFonts w:ascii="宋体" w:hAnsi="宋体" w:cs="宋体"/>
                <w:color w:val="auto"/>
                <w:kern w:val="0"/>
                <w:sz w:val="22"/>
                <w:szCs w:val="22"/>
                <w:highlight w:val="none"/>
              </w:rPr>
            </w:pPr>
            <w:r>
              <w:rPr>
                <w:rFonts w:hint="eastAsia" w:ascii="宋体" w:hAnsi="宋体"/>
                <w:color w:val="auto"/>
                <w:sz w:val="22"/>
                <w:szCs w:val="22"/>
                <w:highlight w:val="none"/>
              </w:rPr>
              <w:t>合同期内：耗材供货价如高于同期温州市其他市级医院及以下级别医院相同产品的采购价格，则供货价格调整到温州市其他市级医院及以下级别医院相同产品的采购价格，且该耗材采购须经过省阳光采购平台进行采购。若该耗材纳入省或市集中招标采购目录，本合同品牌耗材未能中标，则合同期自动终止。如中标，则按中标价格与采购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2.12</w:t>
            </w:r>
          </w:p>
        </w:tc>
        <w:tc>
          <w:tcPr>
            <w:tcW w:w="8781" w:type="dxa"/>
            <w:noWrap w:val="0"/>
            <w:vAlign w:val="center"/>
          </w:tcPr>
          <w:p>
            <w:pPr>
              <w:keepNext w:val="0"/>
              <w:keepLines w:val="0"/>
              <w:pageBreakBefore w:val="0"/>
              <w:widowControl w:val="0"/>
              <w:kinsoku/>
              <w:wordWrap/>
              <w:overflowPunct/>
              <w:topLinePunct w:val="0"/>
              <w:autoSpaceDE/>
              <w:bidi w:val="0"/>
              <w:adjustRightInd/>
              <w:snapToGrid/>
              <w:spacing w:line="460" w:lineRule="exact"/>
              <w:rPr>
                <w:rFonts w:ascii="宋体" w:hAnsi="宋体"/>
                <w:color w:val="auto"/>
                <w:sz w:val="22"/>
                <w:szCs w:val="22"/>
                <w:highlight w:val="none"/>
              </w:rPr>
            </w:pPr>
            <w:r>
              <w:rPr>
                <w:rFonts w:ascii="宋体" w:hAnsi="宋体"/>
                <w:color w:val="auto"/>
                <w:sz w:val="22"/>
                <w:szCs w:val="22"/>
                <w:highlight w:val="none"/>
              </w:rPr>
              <w:t>试剂报价=血型正定卡单价*12000人份+血型正反定卡单价*10000人份+抗人球卡（不规则卡）单价*14000人份+反定细胞单价*600毫升+不规则抗体筛选细胞单价*300毫升</w:t>
            </w:r>
          </w:p>
          <w:p>
            <w:pPr>
              <w:keepNext w:val="0"/>
              <w:keepLines w:val="0"/>
              <w:pageBreakBefore w:val="0"/>
              <w:widowControl w:val="0"/>
              <w:kinsoku/>
              <w:wordWrap/>
              <w:overflowPunct/>
              <w:topLinePunct w:val="0"/>
              <w:autoSpaceDE/>
              <w:bidi w:val="0"/>
              <w:adjustRightInd/>
              <w:snapToGrid/>
              <w:spacing w:line="460" w:lineRule="exact"/>
              <w:rPr>
                <w:rFonts w:ascii="宋体" w:hAnsi="宋体"/>
                <w:color w:val="auto"/>
                <w:sz w:val="22"/>
                <w:szCs w:val="22"/>
                <w:highlight w:val="none"/>
              </w:rPr>
            </w:pPr>
            <w:r>
              <w:rPr>
                <w:rFonts w:ascii="宋体" w:hAnsi="宋体"/>
                <w:color w:val="auto"/>
                <w:sz w:val="22"/>
                <w:szCs w:val="22"/>
                <w:highlight w:val="none"/>
              </w:rPr>
              <w:t>投标报价=试剂报价+年租赁费用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2.13</w:t>
            </w:r>
          </w:p>
        </w:tc>
        <w:tc>
          <w:tcPr>
            <w:tcW w:w="8781" w:type="dxa"/>
            <w:noWrap w:val="0"/>
            <w:vAlign w:val="center"/>
          </w:tcPr>
          <w:p>
            <w:pPr>
              <w:keepNext w:val="0"/>
              <w:keepLines w:val="0"/>
              <w:pageBreakBefore w:val="0"/>
              <w:widowControl w:val="0"/>
              <w:kinsoku/>
              <w:wordWrap/>
              <w:overflowPunct/>
              <w:topLinePunct w:val="0"/>
              <w:autoSpaceDE/>
              <w:bidi w:val="0"/>
              <w:adjustRightInd/>
              <w:snapToGrid/>
              <w:spacing w:line="460" w:lineRule="exact"/>
              <w:rPr>
                <w:rFonts w:ascii="宋体" w:hAnsi="宋体"/>
                <w:color w:val="auto"/>
                <w:sz w:val="22"/>
                <w:szCs w:val="22"/>
                <w:highlight w:val="none"/>
              </w:rPr>
            </w:pPr>
            <w:r>
              <w:rPr>
                <w:rFonts w:hint="eastAsia" w:ascii="宋体" w:hAnsi="宋体"/>
                <w:color w:val="auto"/>
                <w:sz w:val="22"/>
                <w:szCs w:val="22"/>
                <w:highlight w:val="none"/>
              </w:rPr>
              <w:t>中标人合同签订后不得对医院订货量提出任何要求；该投标价包括但不限于设备租赁、试剂、消耗品、保修费和各类服务费等所有费用。</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1"/>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三、服务内容及要求</w:t>
      </w:r>
    </w:p>
    <w:p>
      <w:pPr>
        <w:keepNext w:val="0"/>
        <w:keepLines w:val="0"/>
        <w:pageBreakBefore w:val="0"/>
        <w:widowControl w:val="0"/>
        <w:kinsoku/>
        <w:wordWrap/>
        <w:overflowPunct/>
        <w:topLinePunct w:val="0"/>
        <w:autoSpaceDE/>
        <w:autoSpaceDN/>
        <w:bidi w:val="0"/>
        <w:adjustRightInd/>
        <w:snapToGrid/>
        <w:spacing w:before="156" w:beforeLines="50" w:after="156" w:afterLines="50" w:line="460" w:lineRule="exact"/>
        <w:textAlignment w:val="auto"/>
        <w:outlineLvl w:val="9"/>
        <w:rPr>
          <w:rFonts w:hint="eastAsia" w:ascii="Times New Roman" w:hAnsi="Times New Roman"/>
          <w:b w:val="0"/>
          <w:bCs/>
          <w:sz w:val="22"/>
          <w:szCs w:val="22"/>
        </w:rPr>
      </w:pPr>
      <w:r>
        <w:rPr>
          <w:rFonts w:hint="eastAsia" w:ascii="Times New Roman" w:hAnsi="Times New Roman"/>
          <w:b w:val="0"/>
          <w:bCs/>
          <w:sz w:val="22"/>
          <w:szCs w:val="22"/>
        </w:rPr>
        <w:t>1、报价方式：</w:t>
      </w:r>
    </w:p>
    <w:p>
      <w:pPr>
        <w:keepNext w:val="0"/>
        <w:keepLines w:val="0"/>
        <w:pageBreakBefore w:val="0"/>
        <w:widowControl w:val="0"/>
        <w:kinsoku/>
        <w:wordWrap/>
        <w:overflowPunct/>
        <w:topLinePunct w:val="0"/>
        <w:autoSpaceDE/>
        <w:autoSpaceDN/>
        <w:bidi w:val="0"/>
        <w:adjustRightInd/>
        <w:snapToGrid/>
        <w:spacing w:before="156" w:beforeLines="50" w:after="156" w:afterLines="50" w:line="460" w:lineRule="exact"/>
        <w:ind w:firstLine="440" w:firstLineChars="200"/>
        <w:textAlignment w:val="auto"/>
        <w:outlineLvl w:val="9"/>
        <w:rPr>
          <w:rFonts w:hint="eastAsia" w:ascii="Times New Roman" w:hAnsi="Times New Roman"/>
          <w:b w:val="0"/>
          <w:bCs/>
          <w:sz w:val="22"/>
          <w:szCs w:val="22"/>
        </w:rPr>
      </w:pPr>
      <w:r>
        <w:rPr>
          <w:rFonts w:hint="eastAsia" w:ascii="Times New Roman" w:hAnsi="Times New Roman"/>
          <w:b w:val="0"/>
          <w:bCs/>
          <w:sz w:val="22"/>
          <w:szCs w:val="22"/>
        </w:rPr>
        <w:t>全自动血型仪检测系统实行租赁方式，按每年单台租赁费进行报价；</w:t>
      </w:r>
    </w:p>
    <w:p>
      <w:pPr>
        <w:keepNext w:val="0"/>
        <w:keepLines w:val="0"/>
        <w:pageBreakBefore w:val="0"/>
        <w:widowControl w:val="0"/>
        <w:kinsoku/>
        <w:wordWrap/>
        <w:overflowPunct/>
        <w:topLinePunct w:val="0"/>
        <w:autoSpaceDE/>
        <w:autoSpaceDN/>
        <w:bidi w:val="0"/>
        <w:adjustRightInd/>
        <w:snapToGrid/>
        <w:spacing w:before="156" w:beforeLines="50" w:after="156" w:afterLines="50" w:line="460" w:lineRule="exact"/>
        <w:ind w:firstLine="440" w:firstLineChars="200"/>
        <w:textAlignment w:val="auto"/>
        <w:outlineLvl w:val="9"/>
        <w:rPr>
          <w:rFonts w:hint="eastAsia" w:ascii="Times New Roman" w:hAnsi="Times New Roman"/>
          <w:b w:val="0"/>
          <w:bCs/>
          <w:sz w:val="22"/>
          <w:szCs w:val="22"/>
        </w:rPr>
      </w:pPr>
      <w:r>
        <w:rPr>
          <w:rFonts w:hint="eastAsia" w:ascii="Times New Roman" w:hAnsi="Times New Roman"/>
          <w:b w:val="0"/>
          <w:bCs/>
          <w:sz w:val="22"/>
          <w:szCs w:val="22"/>
        </w:rPr>
        <w:t>全自动血型仪检测系统耗材（试剂）实行购买方式，按每条价格进行报价。</w:t>
      </w:r>
    </w:p>
    <w:p>
      <w:pPr>
        <w:keepNext w:val="0"/>
        <w:keepLines w:val="0"/>
        <w:pageBreakBefore w:val="0"/>
        <w:widowControl w:val="0"/>
        <w:kinsoku/>
        <w:wordWrap/>
        <w:overflowPunct/>
        <w:topLinePunct w:val="0"/>
        <w:autoSpaceDE/>
        <w:autoSpaceDN/>
        <w:bidi w:val="0"/>
        <w:adjustRightInd/>
        <w:snapToGrid/>
        <w:spacing w:before="156" w:beforeLines="50" w:after="156" w:afterLines="50" w:line="460" w:lineRule="exact"/>
        <w:ind w:firstLine="440" w:firstLineChars="200"/>
        <w:textAlignment w:val="auto"/>
        <w:outlineLvl w:val="9"/>
        <w:rPr>
          <w:rFonts w:hint="eastAsia" w:ascii="Times New Roman" w:hAnsi="Times New Roman"/>
          <w:b w:val="0"/>
          <w:bCs/>
          <w:sz w:val="22"/>
          <w:szCs w:val="22"/>
        </w:rPr>
      </w:pPr>
      <w:r>
        <w:rPr>
          <w:rFonts w:hint="eastAsia" w:ascii="Times New Roman" w:hAnsi="Times New Roman"/>
          <w:b w:val="0"/>
          <w:bCs/>
          <w:sz w:val="22"/>
          <w:szCs w:val="22"/>
        </w:rPr>
        <w:t>该价格是设备租赁、供应、税金、包装、运输、安装调试、售后服务等完成合同所需的一切本身和不可或缺的所有工作开支、政策性文件规定及合同包含的所有风险、责任等各项全部费用并承担一切风险责任，实行固定费用总包干。</w:t>
      </w:r>
    </w:p>
    <w:p>
      <w:pPr>
        <w:keepNext w:val="0"/>
        <w:keepLines w:val="0"/>
        <w:pageBreakBefore w:val="0"/>
        <w:widowControl w:val="0"/>
        <w:kinsoku/>
        <w:wordWrap/>
        <w:overflowPunct/>
        <w:topLinePunct w:val="0"/>
        <w:autoSpaceDE/>
        <w:autoSpaceDN/>
        <w:bidi w:val="0"/>
        <w:adjustRightInd/>
        <w:snapToGrid/>
        <w:spacing w:before="156" w:beforeLines="50" w:after="156" w:afterLines="50" w:line="460" w:lineRule="exact"/>
        <w:ind w:firstLine="440" w:firstLineChars="200"/>
        <w:textAlignment w:val="auto"/>
        <w:outlineLvl w:val="9"/>
        <w:rPr>
          <w:rFonts w:hint="eastAsia" w:ascii="Times New Roman" w:hAnsi="Times New Roman"/>
          <w:b w:val="0"/>
          <w:bCs/>
          <w:sz w:val="22"/>
          <w:szCs w:val="22"/>
          <w:highlight w:val="none"/>
        </w:rPr>
      </w:pPr>
      <w:r>
        <w:rPr>
          <w:rFonts w:hint="eastAsia" w:ascii="Times New Roman" w:hAnsi="Times New Roman"/>
          <w:b w:val="0"/>
          <w:bCs/>
          <w:sz w:val="22"/>
          <w:szCs w:val="22"/>
          <w:highlight w:val="none"/>
        </w:rPr>
        <w:t>2、合同签订后，设备验收合格后合作期1年或耗材（试剂）采购量达预算，任一条件达到即视为合作期结束，合作期结束后根据医院需要，可延长1+1+1年合作期（合作期满条件同第一年一样）。合作期内如遇政策性原因，导致合同无法履行，则合同自行终止。</w:t>
      </w:r>
    </w:p>
    <w:p>
      <w:pPr>
        <w:keepNext w:val="0"/>
        <w:keepLines w:val="0"/>
        <w:pageBreakBefore w:val="0"/>
        <w:widowControl w:val="0"/>
        <w:kinsoku/>
        <w:wordWrap/>
        <w:overflowPunct/>
        <w:topLinePunct w:val="0"/>
        <w:autoSpaceDE/>
        <w:autoSpaceDN/>
        <w:bidi w:val="0"/>
        <w:adjustRightInd/>
        <w:snapToGrid/>
        <w:spacing w:before="156" w:beforeLines="50" w:after="156" w:afterLines="50" w:line="460" w:lineRule="exact"/>
        <w:ind w:firstLine="440" w:firstLineChars="200"/>
        <w:textAlignment w:val="auto"/>
        <w:outlineLvl w:val="9"/>
        <w:rPr>
          <w:rFonts w:hint="eastAsia" w:ascii="Times New Roman" w:hAnsi="Times New Roman"/>
          <w:b w:val="0"/>
          <w:bCs/>
          <w:sz w:val="22"/>
          <w:szCs w:val="22"/>
        </w:rPr>
      </w:pPr>
      <w:r>
        <w:rPr>
          <w:rFonts w:hint="eastAsia" w:ascii="Times New Roman" w:hAnsi="Times New Roman"/>
          <w:b w:val="0"/>
          <w:bCs/>
          <w:sz w:val="22"/>
          <w:szCs w:val="22"/>
        </w:rPr>
        <w:t>3、合作期间，医院按中标价格采购全自动血型仪检测系统耗材（试剂）及配套设备租赁，并在订货后1周内到货。设备保修、保养由中标方负责，故障报修后即时响应，4小时内维修。</w:t>
      </w:r>
    </w:p>
    <w:p>
      <w:pPr>
        <w:keepNext w:val="0"/>
        <w:keepLines w:val="0"/>
        <w:pageBreakBefore w:val="0"/>
        <w:widowControl w:val="0"/>
        <w:kinsoku/>
        <w:wordWrap/>
        <w:overflowPunct/>
        <w:topLinePunct w:val="0"/>
        <w:autoSpaceDE/>
        <w:autoSpaceDN/>
        <w:bidi w:val="0"/>
        <w:adjustRightInd/>
        <w:snapToGrid/>
        <w:spacing w:before="156" w:beforeLines="50" w:after="156" w:afterLines="50" w:line="460" w:lineRule="exact"/>
        <w:ind w:firstLine="440" w:firstLineChars="200"/>
        <w:textAlignment w:val="auto"/>
        <w:outlineLvl w:val="9"/>
        <w:rPr>
          <w:rFonts w:hint="eastAsia" w:ascii="Times New Roman" w:hAnsi="Times New Roman"/>
          <w:b w:val="0"/>
          <w:bCs/>
          <w:sz w:val="22"/>
          <w:szCs w:val="22"/>
        </w:rPr>
      </w:pPr>
      <w:r>
        <w:rPr>
          <w:rFonts w:hint="eastAsia" w:ascii="Times New Roman" w:hAnsi="Times New Roman"/>
          <w:b w:val="0"/>
          <w:bCs/>
          <w:sz w:val="22"/>
          <w:szCs w:val="22"/>
        </w:rPr>
        <w:t>合同期内：耗材（试剂）供货价如高于同期温州其他市级及以下医院相同产品的采购价格，则供货价格调整到温州其他市级及以下医院相同产品的采购价格，且该耗材（试剂）采购须经过省阳光采购平台进行采购。若该耗材（试剂）纳入省或市集中招标采购目录，本合同品牌耗材（试剂）未能中标，则合同期自动终止。如中标，则按中标价格与采购方式执行。</w:t>
      </w:r>
    </w:p>
    <w:p>
      <w:pPr>
        <w:keepNext w:val="0"/>
        <w:keepLines w:val="0"/>
        <w:pageBreakBefore w:val="0"/>
        <w:widowControl w:val="0"/>
        <w:kinsoku/>
        <w:wordWrap/>
        <w:overflowPunct/>
        <w:topLinePunct w:val="0"/>
        <w:autoSpaceDE/>
        <w:autoSpaceDN/>
        <w:bidi w:val="0"/>
        <w:adjustRightInd/>
        <w:snapToGrid/>
        <w:spacing w:before="156" w:beforeLines="50" w:after="156" w:afterLines="50" w:line="460" w:lineRule="exact"/>
        <w:ind w:firstLine="440" w:firstLineChars="200"/>
        <w:textAlignment w:val="auto"/>
        <w:outlineLvl w:val="9"/>
        <w:rPr>
          <w:rFonts w:hint="eastAsia" w:ascii="Times New Roman" w:hAnsi="Times New Roman"/>
          <w:b w:val="0"/>
          <w:bCs/>
          <w:sz w:val="22"/>
          <w:szCs w:val="22"/>
        </w:rPr>
      </w:pPr>
      <w:r>
        <w:rPr>
          <w:rFonts w:hint="eastAsia" w:ascii="Times New Roman" w:hAnsi="Times New Roman"/>
          <w:b w:val="0"/>
          <w:bCs/>
          <w:sz w:val="22"/>
          <w:szCs w:val="22"/>
        </w:rPr>
        <w:t>4、交货期：合同签订后设备2个月内交货。</w:t>
      </w:r>
    </w:p>
    <w:p>
      <w:pPr>
        <w:keepNext w:val="0"/>
        <w:keepLines w:val="0"/>
        <w:pageBreakBefore w:val="0"/>
        <w:widowControl w:val="0"/>
        <w:kinsoku/>
        <w:wordWrap/>
        <w:overflowPunct/>
        <w:topLinePunct w:val="0"/>
        <w:autoSpaceDE/>
        <w:autoSpaceDN/>
        <w:bidi w:val="0"/>
        <w:adjustRightInd/>
        <w:snapToGrid/>
        <w:spacing w:before="156" w:beforeLines="50" w:after="156" w:afterLines="50" w:line="460" w:lineRule="exact"/>
        <w:ind w:firstLine="660" w:firstLineChars="300"/>
        <w:textAlignment w:val="auto"/>
        <w:outlineLvl w:val="9"/>
        <w:rPr>
          <w:rFonts w:hint="eastAsia" w:ascii="Times New Roman" w:hAnsi="Times New Roman"/>
          <w:b w:val="0"/>
          <w:bCs/>
          <w:sz w:val="22"/>
          <w:szCs w:val="22"/>
        </w:rPr>
      </w:pPr>
      <w:r>
        <w:rPr>
          <w:rFonts w:hint="eastAsia" w:ascii="Times New Roman" w:hAnsi="Times New Roman"/>
          <w:b w:val="0"/>
          <w:bCs/>
          <w:sz w:val="22"/>
          <w:szCs w:val="22"/>
        </w:rPr>
        <w:t>到货地点：温州市中医院</w:t>
      </w:r>
    </w:p>
    <w:p>
      <w:pPr>
        <w:keepNext w:val="0"/>
        <w:keepLines w:val="0"/>
        <w:pageBreakBefore w:val="0"/>
        <w:widowControl w:val="0"/>
        <w:kinsoku/>
        <w:wordWrap/>
        <w:overflowPunct/>
        <w:topLinePunct w:val="0"/>
        <w:autoSpaceDE/>
        <w:autoSpaceDN/>
        <w:bidi w:val="0"/>
        <w:adjustRightInd/>
        <w:snapToGrid/>
        <w:spacing w:before="156" w:beforeLines="50" w:after="156" w:afterLines="50" w:line="460" w:lineRule="exact"/>
        <w:ind w:firstLine="440" w:firstLineChars="200"/>
        <w:textAlignment w:val="auto"/>
        <w:outlineLvl w:val="9"/>
        <w:rPr>
          <w:rFonts w:hint="eastAsia" w:ascii="Times New Roman" w:hAnsi="Times New Roman"/>
          <w:b w:val="0"/>
          <w:bCs/>
          <w:sz w:val="22"/>
          <w:szCs w:val="22"/>
        </w:rPr>
      </w:pPr>
      <w:r>
        <w:rPr>
          <w:rFonts w:hint="eastAsia" w:ascii="Times New Roman" w:hAnsi="Times New Roman"/>
          <w:b w:val="0"/>
          <w:bCs/>
          <w:sz w:val="22"/>
          <w:szCs w:val="22"/>
        </w:rPr>
        <w:t>5、供应商提供给医院所有设备必须为全新的。供应商提供给医院所有试剂必须为原厂包装完整、未使用过的试剂。</w:t>
      </w:r>
    </w:p>
    <w:p>
      <w:pPr>
        <w:keepNext w:val="0"/>
        <w:keepLines w:val="0"/>
        <w:pageBreakBefore w:val="0"/>
        <w:widowControl w:val="0"/>
        <w:kinsoku/>
        <w:wordWrap/>
        <w:overflowPunct/>
        <w:topLinePunct w:val="0"/>
        <w:autoSpaceDE/>
        <w:autoSpaceDN/>
        <w:bidi w:val="0"/>
        <w:adjustRightInd/>
        <w:snapToGrid/>
        <w:spacing w:before="156" w:beforeLines="50" w:after="156" w:afterLines="50" w:line="460" w:lineRule="exact"/>
        <w:ind w:firstLine="440" w:firstLineChars="200"/>
        <w:textAlignment w:val="auto"/>
        <w:outlineLvl w:val="9"/>
        <w:rPr>
          <w:rFonts w:hint="eastAsia" w:ascii="Times New Roman" w:hAnsi="Times New Roman"/>
          <w:b w:val="0"/>
          <w:bCs/>
          <w:sz w:val="22"/>
          <w:szCs w:val="22"/>
        </w:rPr>
      </w:pPr>
      <w:r>
        <w:rPr>
          <w:rFonts w:hint="eastAsia" w:ascii="Times New Roman" w:hAnsi="Times New Roman"/>
          <w:b w:val="0"/>
          <w:bCs/>
          <w:sz w:val="22"/>
          <w:szCs w:val="22"/>
        </w:rPr>
        <w:t>6、付款方式：</w:t>
      </w:r>
    </w:p>
    <w:p>
      <w:pPr>
        <w:keepNext w:val="0"/>
        <w:keepLines w:val="0"/>
        <w:pageBreakBefore w:val="0"/>
        <w:widowControl w:val="0"/>
        <w:kinsoku/>
        <w:wordWrap/>
        <w:overflowPunct/>
        <w:topLinePunct w:val="0"/>
        <w:autoSpaceDE/>
        <w:autoSpaceDN/>
        <w:bidi w:val="0"/>
        <w:adjustRightInd/>
        <w:snapToGrid/>
        <w:spacing w:before="156" w:beforeLines="50" w:after="156" w:afterLines="50" w:line="460" w:lineRule="exact"/>
        <w:ind w:firstLine="440" w:firstLineChars="200"/>
        <w:textAlignment w:val="auto"/>
        <w:outlineLvl w:val="9"/>
        <w:rPr>
          <w:rFonts w:hint="eastAsia" w:ascii="Times New Roman" w:hAnsi="Times New Roman"/>
          <w:b w:val="0"/>
          <w:bCs/>
          <w:sz w:val="22"/>
          <w:szCs w:val="22"/>
        </w:rPr>
      </w:pPr>
      <w:r>
        <w:rPr>
          <w:rFonts w:hint="eastAsia" w:ascii="Times New Roman" w:hAnsi="Times New Roman"/>
          <w:b w:val="0"/>
          <w:bCs/>
          <w:sz w:val="22"/>
          <w:szCs w:val="22"/>
        </w:rPr>
        <w:t>6.1 耗材付款：采购人对耗材验收合格后每月按实际使用量乘以成交单价进行计算。中标人开具发票，采购人在收到中标人发票后三个月内支付。</w:t>
      </w:r>
    </w:p>
    <w:p>
      <w:pPr>
        <w:keepNext w:val="0"/>
        <w:keepLines w:val="0"/>
        <w:pageBreakBefore w:val="0"/>
        <w:widowControl w:val="0"/>
        <w:kinsoku/>
        <w:wordWrap/>
        <w:overflowPunct/>
        <w:topLinePunct w:val="0"/>
        <w:autoSpaceDE/>
        <w:autoSpaceDN/>
        <w:bidi w:val="0"/>
        <w:adjustRightInd/>
        <w:snapToGrid/>
        <w:spacing w:before="156" w:beforeLines="50" w:after="156" w:afterLines="50" w:line="460" w:lineRule="exact"/>
        <w:ind w:firstLine="440" w:firstLineChars="200"/>
        <w:textAlignment w:val="auto"/>
        <w:outlineLvl w:val="9"/>
        <w:rPr>
          <w:rFonts w:hint="eastAsia" w:ascii="Times New Roman" w:hAnsi="Times New Roman"/>
          <w:b w:val="0"/>
          <w:bCs/>
          <w:sz w:val="22"/>
          <w:szCs w:val="22"/>
        </w:rPr>
      </w:pPr>
      <w:r>
        <w:rPr>
          <w:rFonts w:hint="eastAsia" w:ascii="Times New Roman" w:hAnsi="Times New Roman"/>
          <w:b w:val="0"/>
          <w:bCs/>
          <w:sz w:val="22"/>
          <w:szCs w:val="22"/>
        </w:rPr>
        <w:t>6.2 租赁设备付款：设备租赁费在合作期满后  7  日内，按实际租赁期限计算租赁费，中标人开具发票，采购人在收到中标人发票后三个月内一次性支付。</w:t>
      </w:r>
    </w:p>
    <w:p>
      <w:pPr>
        <w:keepNext w:val="0"/>
        <w:keepLines w:val="0"/>
        <w:pageBreakBefore w:val="0"/>
        <w:widowControl w:val="0"/>
        <w:kinsoku/>
        <w:wordWrap/>
        <w:overflowPunct/>
        <w:topLinePunct w:val="0"/>
        <w:autoSpaceDE/>
        <w:autoSpaceDN/>
        <w:bidi w:val="0"/>
        <w:adjustRightInd/>
        <w:snapToGrid/>
        <w:spacing w:before="156" w:beforeLines="50" w:after="156" w:afterLines="50" w:line="460" w:lineRule="exact"/>
        <w:ind w:firstLine="440" w:firstLineChars="200"/>
        <w:textAlignment w:val="auto"/>
        <w:outlineLvl w:val="9"/>
        <w:rPr>
          <w:rFonts w:hint="eastAsia" w:ascii="Times New Roman" w:hAnsi="Times New Roman"/>
          <w:b w:val="0"/>
          <w:bCs/>
          <w:sz w:val="22"/>
          <w:szCs w:val="22"/>
        </w:rPr>
      </w:pPr>
      <w:r>
        <w:rPr>
          <w:rFonts w:hint="eastAsia" w:ascii="Times New Roman" w:hAnsi="Times New Roman"/>
          <w:b w:val="0"/>
          <w:bCs/>
          <w:sz w:val="22"/>
          <w:szCs w:val="22"/>
        </w:rPr>
        <w:t>7、设备延期交货罚款：延期交货每7天，按合同总价的0.5%支付迟交违约金，不足7天按7天计，依次累计，最高罚款为合同总价的5%。</w:t>
      </w:r>
    </w:p>
    <w:p>
      <w:pPr>
        <w:keepNext w:val="0"/>
        <w:keepLines w:val="0"/>
        <w:pageBreakBefore w:val="0"/>
        <w:widowControl w:val="0"/>
        <w:kinsoku/>
        <w:wordWrap/>
        <w:overflowPunct/>
        <w:topLinePunct w:val="0"/>
        <w:autoSpaceDE/>
        <w:autoSpaceDN/>
        <w:bidi w:val="0"/>
        <w:adjustRightInd/>
        <w:snapToGrid/>
        <w:spacing w:before="156" w:beforeLines="50" w:after="156" w:afterLines="50" w:line="460" w:lineRule="exact"/>
        <w:ind w:firstLine="440" w:firstLineChars="200"/>
        <w:textAlignment w:val="auto"/>
        <w:outlineLvl w:val="9"/>
        <w:rPr>
          <w:rFonts w:ascii="Times New Roman" w:hAnsi="Times New Roman"/>
          <w:b w:val="0"/>
          <w:bCs/>
          <w:sz w:val="22"/>
          <w:szCs w:val="22"/>
        </w:rPr>
      </w:pPr>
      <w:r>
        <w:rPr>
          <w:rFonts w:hint="eastAsia" w:ascii="Times New Roman" w:hAnsi="Times New Roman"/>
          <w:b w:val="0"/>
          <w:bCs/>
          <w:sz w:val="22"/>
          <w:szCs w:val="22"/>
        </w:rPr>
        <w:t>8、保密：招投标及合同中凡涉及买方项目的有关信息，不得透露给第三方。</w:t>
      </w:r>
    </w:p>
    <w:p>
      <w:pPr>
        <w:numPr>
          <w:ilvl w:val="0"/>
          <w:numId w:val="0"/>
        </w:num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pStyle w:val="4"/>
        <w:bidi w:val="0"/>
        <w:rPr>
          <w:rFonts w:hint="eastAsia" w:ascii="宋体" w:hAnsi="宋体" w:eastAsia="宋体" w:cs="宋体"/>
        </w:rPr>
      </w:pPr>
      <w:r>
        <w:rPr>
          <w:rFonts w:hint="eastAsia" w:ascii="宋体" w:hAnsi="宋体" w:eastAsia="宋体" w:cs="宋体"/>
        </w:rPr>
        <w:t>第五部分   评标原则及方法</w:t>
      </w:r>
      <w:bookmarkEnd w:id="44"/>
      <w:bookmarkEnd w:id="45"/>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46" w:name="_Toc4407"/>
      <w:bookmarkStart w:id="47" w:name="_Toc15713"/>
      <w:r>
        <w:rPr>
          <w:rFonts w:hint="eastAsia" w:ascii="宋体" w:hAnsi="宋体" w:eastAsia="宋体" w:cs="宋体"/>
          <w:b/>
          <w:color w:val="auto"/>
          <w:sz w:val="22"/>
          <w:szCs w:val="22"/>
          <w:highlight w:val="none"/>
        </w:rPr>
        <w:t>一、总 则</w:t>
      </w:r>
      <w:bookmarkEnd w:id="46"/>
      <w:bookmarkEnd w:id="47"/>
    </w:p>
    <w:p>
      <w:pPr>
        <w:spacing w:line="460" w:lineRule="exact"/>
        <w:ind w:firstLine="539" w:firstLineChars="245"/>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48" w:name="_Toc24468"/>
      <w:bookmarkStart w:id="49" w:name="_Toc23152"/>
      <w:r>
        <w:rPr>
          <w:rFonts w:hint="eastAsia" w:ascii="宋体" w:hAnsi="宋体" w:eastAsia="宋体" w:cs="宋体"/>
          <w:b/>
          <w:color w:val="auto"/>
          <w:sz w:val="22"/>
          <w:szCs w:val="22"/>
          <w:highlight w:val="none"/>
        </w:rPr>
        <w:t>二、评标组织</w:t>
      </w:r>
      <w:bookmarkEnd w:id="48"/>
      <w:bookmarkEnd w:id="49"/>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评标工作由招标人组建的评标委员会负责，评标全过程由有关部门指导监督。</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0" w:name="_Toc67"/>
      <w:bookmarkStart w:id="51" w:name="_Toc15153"/>
      <w:r>
        <w:rPr>
          <w:rFonts w:hint="eastAsia" w:ascii="宋体" w:hAnsi="宋体" w:eastAsia="宋体" w:cs="宋体"/>
          <w:b/>
          <w:color w:val="auto"/>
          <w:sz w:val="22"/>
          <w:szCs w:val="22"/>
          <w:highlight w:val="none"/>
        </w:rPr>
        <w:t>三、评标程序</w:t>
      </w:r>
      <w:bookmarkEnd w:id="50"/>
      <w:bookmarkEnd w:id="51"/>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1、评标委员按照招标文件中规定的评标方法和标准，对投标文件进行商务和技术评估，综合比较与评价</w:t>
      </w:r>
      <w:r>
        <w:rPr>
          <w:rFonts w:hint="eastAsia" w:ascii="宋体" w:hAnsi="宋体" w:eastAsia="宋体" w:cs="宋体"/>
          <w:color w:val="auto"/>
          <w:sz w:val="22"/>
          <w:szCs w:val="22"/>
          <w:highlight w:val="none"/>
        </w:rPr>
        <w:t>，根据综合评审结果，提交评审报告。</w:t>
      </w:r>
    </w:p>
    <w:p>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2、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pPr>
        <w:spacing w:line="460" w:lineRule="exact"/>
        <w:ind w:firstLine="539" w:firstLineChars="245"/>
        <w:rPr>
          <w:rFonts w:hint="eastAsia" w:ascii="宋体" w:hAnsi="宋体" w:eastAsia="宋体" w:cs="宋体"/>
          <w:color w:val="auto"/>
          <w:sz w:val="22"/>
          <w:szCs w:val="22"/>
          <w:highlight w:val="none"/>
          <w:u w:val="none"/>
        </w:rPr>
      </w:pPr>
      <w:r>
        <w:rPr>
          <w:rFonts w:hint="eastAsia" w:ascii="宋体" w:hAnsi="宋体" w:eastAsia="宋体" w:cs="宋体"/>
          <w:b w:val="0"/>
          <w:bCs w:val="0"/>
          <w:color w:val="auto"/>
          <w:sz w:val="22"/>
          <w:szCs w:val="22"/>
          <w:highlight w:val="none"/>
          <w:u w:val="none"/>
        </w:rPr>
        <w:t>非单一产品采购项目，应当根据采购项目技术构成、产品价格比重等合理确定核心产品。多家投标人提供的核心产品品牌相同的，按前款规定处理。</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2" w:name="_Toc24825"/>
      <w:bookmarkStart w:id="53" w:name="_Toc11306"/>
      <w:r>
        <w:rPr>
          <w:rFonts w:hint="eastAsia" w:ascii="宋体" w:hAnsi="宋体" w:eastAsia="宋体" w:cs="宋体"/>
          <w:b/>
          <w:color w:val="auto"/>
          <w:sz w:val="22"/>
          <w:szCs w:val="22"/>
          <w:highlight w:val="none"/>
        </w:rPr>
        <w:t>四、评标办法</w:t>
      </w:r>
      <w:bookmarkEnd w:id="52"/>
      <w:bookmarkEnd w:id="53"/>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eastAsia="宋体" w:cs="宋体"/>
          <w:b/>
          <w:color w:val="auto"/>
          <w:sz w:val="22"/>
          <w:szCs w:val="22"/>
          <w:highlight w:val="none"/>
        </w:rPr>
        <w:t>总分设定为100分：技术标</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0%），商务标（报价）</w:t>
      </w:r>
      <w:r>
        <w:rPr>
          <w:rFonts w:hint="eastAsia" w:ascii="宋体" w:hAnsi="宋体" w:cs="宋体"/>
          <w:b/>
          <w:color w:val="auto"/>
          <w:sz w:val="22"/>
          <w:szCs w:val="22"/>
          <w:highlight w:val="none"/>
          <w:lang w:val="en-US" w:eastAsia="zh-CN"/>
        </w:rPr>
        <w:t>3</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3</w:t>
      </w:r>
      <w:r>
        <w:rPr>
          <w:rFonts w:hint="eastAsia" w:ascii="宋体" w:hAnsi="宋体" w:eastAsia="宋体" w:cs="宋体"/>
          <w:b/>
          <w:color w:val="auto"/>
          <w:sz w:val="22"/>
          <w:szCs w:val="22"/>
          <w:highlight w:val="none"/>
        </w:rPr>
        <w:t>0%）。</w:t>
      </w:r>
    </w:p>
    <w:p>
      <w:pPr>
        <w:keepNext w:val="0"/>
        <w:keepLines w:val="0"/>
        <w:pageBreakBefore w:val="0"/>
        <w:widowControl w:val="0"/>
        <w:numPr>
          <w:ilvl w:val="0"/>
          <w:numId w:val="10"/>
        </w:numPr>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4" w:name="_Toc1535"/>
      <w:bookmarkStart w:id="55" w:name="_Toc11450"/>
      <w:r>
        <w:rPr>
          <w:rFonts w:hint="eastAsia" w:ascii="宋体" w:hAnsi="宋体" w:eastAsia="宋体" w:cs="宋体"/>
          <w:b/>
          <w:color w:val="auto"/>
          <w:sz w:val="22"/>
          <w:szCs w:val="22"/>
          <w:highlight w:val="none"/>
        </w:rPr>
        <w:t>评分细则</w:t>
      </w:r>
      <w:bookmarkEnd w:id="54"/>
      <w:bookmarkEnd w:id="55"/>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1、技术分的评定：技术标</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0%）</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eastAsia="宋体" w:cs="宋体"/>
          <w:color w:val="auto"/>
          <w:sz w:val="22"/>
          <w:highlight w:val="none"/>
        </w:rPr>
        <w:t>各评标委员会成员对各投标人的各项评分内容评分的算术平均值为各投标人技术分得分</w:t>
      </w:r>
      <w:r>
        <w:rPr>
          <w:rFonts w:hint="eastAsia" w:ascii="宋体" w:hAnsi="宋体" w:eastAsia="宋体" w:cs="宋体"/>
          <w:color w:val="auto"/>
          <w:sz w:val="22"/>
          <w:szCs w:val="22"/>
          <w:highlight w:val="none"/>
        </w:rPr>
        <w:t>（小数点后按四舍五入保留2位）。</w:t>
      </w:r>
    </w:p>
    <w:tbl>
      <w:tblPr>
        <w:tblStyle w:val="53"/>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1"/>
        <w:gridCol w:w="2611"/>
        <w:gridCol w:w="798"/>
        <w:gridCol w:w="5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67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60" w:lineRule="exact"/>
              <w:jc w:val="center"/>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序号</w:t>
            </w:r>
          </w:p>
        </w:tc>
        <w:tc>
          <w:tcPr>
            <w:tcW w:w="26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60" w:lineRule="exact"/>
              <w:jc w:val="center"/>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评分内容</w:t>
            </w:r>
          </w:p>
        </w:tc>
        <w:tc>
          <w:tcPr>
            <w:tcW w:w="7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60" w:lineRule="exact"/>
              <w:jc w:val="center"/>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分值</w:t>
            </w:r>
          </w:p>
        </w:tc>
        <w:tc>
          <w:tcPr>
            <w:tcW w:w="58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60" w:lineRule="exact"/>
              <w:jc w:val="center"/>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 w:hRule="atLeast"/>
          <w:jc w:val="center"/>
        </w:trPr>
        <w:tc>
          <w:tcPr>
            <w:tcW w:w="67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6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对应于招标文件设备技术规格及配置的偏离度</w:t>
            </w:r>
          </w:p>
        </w:tc>
        <w:tc>
          <w:tcPr>
            <w:tcW w:w="7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40分</w:t>
            </w:r>
          </w:p>
        </w:tc>
        <w:tc>
          <w:tcPr>
            <w:tcW w:w="58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60" w:lineRule="exact"/>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根据所投产品技术指标与招标文件要求的响应程度，完全响应的得40分，★项为重点打分项，每负偏离一项不满足则扣4；其他非★项目，一项不满足则扣2分；本项扣完为止。</w:t>
            </w:r>
            <w:r>
              <w:rPr>
                <w:rFonts w:hint="eastAsia" w:ascii="新宋体" w:hAnsi="新宋体" w:eastAsia="新宋体" w:cs="新宋体"/>
                <w:color w:val="auto"/>
                <w:sz w:val="22"/>
                <w:szCs w:val="22"/>
                <w:highlight w:val="none"/>
                <w:lang w:val="en-US" w:eastAsia="zh-CN"/>
              </w:rPr>
              <w:t>注：投标人须在偏离表中明确。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 w:hRule="atLeast"/>
          <w:jc w:val="center"/>
        </w:trPr>
        <w:tc>
          <w:tcPr>
            <w:tcW w:w="67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26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投标设备配套的合理性，技术指标的先进性</w:t>
            </w:r>
          </w:p>
        </w:tc>
        <w:tc>
          <w:tcPr>
            <w:tcW w:w="7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5分</w:t>
            </w:r>
          </w:p>
        </w:tc>
        <w:tc>
          <w:tcPr>
            <w:tcW w:w="58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评委对投标设备配套的合理性，技术指标的先进性酌情打分（5-0分）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 w:hRule="atLeast"/>
          <w:jc w:val="center"/>
        </w:trPr>
        <w:tc>
          <w:tcPr>
            <w:tcW w:w="671" w:type="dxa"/>
            <w:vMerge w:val="restart"/>
            <w:tcBorders>
              <w:top w:val="single" w:color="auto" w:sz="4" w:space="0"/>
              <w:left w:val="single" w:color="auto" w:sz="4" w:space="0"/>
              <w:right w:val="single" w:color="auto" w:sz="4" w:space="0"/>
            </w:tcBorders>
            <w:shd w:val="clear" w:color="auto" w:fill="auto"/>
            <w:noWrap w:val="0"/>
            <w:vAlign w:val="center"/>
          </w:tcPr>
          <w:p>
            <w:pPr>
              <w:widowControl/>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2611" w:type="dxa"/>
            <w:vMerge w:val="restart"/>
            <w:tcBorders>
              <w:top w:val="single" w:color="auto" w:sz="4" w:space="0"/>
              <w:left w:val="single" w:color="auto" w:sz="4" w:space="0"/>
              <w:right w:val="single" w:color="auto" w:sz="4" w:space="0"/>
            </w:tcBorders>
            <w:shd w:val="clear" w:color="auto" w:fill="auto"/>
            <w:noWrap w:val="0"/>
            <w:vAlign w:val="center"/>
          </w:tcPr>
          <w:p>
            <w:pPr>
              <w:widowControl/>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耗材（试剂）及租赁设备的档次</w:t>
            </w:r>
          </w:p>
        </w:tc>
        <w:tc>
          <w:tcPr>
            <w:tcW w:w="7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5分</w:t>
            </w:r>
          </w:p>
        </w:tc>
        <w:tc>
          <w:tcPr>
            <w:tcW w:w="58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评委对投标机型酌情打分（5-0分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 w:hRule="atLeast"/>
          <w:jc w:val="center"/>
        </w:trPr>
        <w:tc>
          <w:tcPr>
            <w:tcW w:w="671" w:type="dxa"/>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460" w:lineRule="exact"/>
              <w:jc w:val="center"/>
              <w:rPr>
                <w:rFonts w:hint="eastAsia" w:ascii="新宋体" w:hAnsi="新宋体" w:eastAsia="新宋体" w:cs="新宋体"/>
                <w:color w:val="auto"/>
                <w:sz w:val="22"/>
                <w:szCs w:val="22"/>
                <w:highlight w:val="none"/>
              </w:rPr>
            </w:pPr>
          </w:p>
        </w:tc>
        <w:tc>
          <w:tcPr>
            <w:tcW w:w="2611" w:type="dxa"/>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460" w:lineRule="exact"/>
              <w:jc w:val="center"/>
              <w:rPr>
                <w:rFonts w:hint="eastAsia" w:ascii="新宋体" w:hAnsi="新宋体" w:eastAsia="新宋体" w:cs="新宋体"/>
                <w:color w:val="auto"/>
                <w:sz w:val="22"/>
                <w:szCs w:val="22"/>
                <w:highlight w:val="none"/>
              </w:rPr>
            </w:pPr>
          </w:p>
        </w:tc>
        <w:tc>
          <w:tcPr>
            <w:tcW w:w="7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5分</w:t>
            </w:r>
          </w:p>
        </w:tc>
        <w:tc>
          <w:tcPr>
            <w:tcW w:w="58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评委对投标品牌酌情打分（5-0分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7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26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运行应急方案</w:t>
            </w:r>
          </w:p>
        </w:tc>
        <w:tc>
          <w:tcPr>
            <w:tcW w:w="7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4分</w:t>
            </w:r>
          </w:p>
        </w:tc>
        <w:tc>
          <w:tcPr>
            <w:tcW w:w="58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评委对投标机型的运行故障应急方案等酌情打分（4-0分）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 w:hRule="atLeast"/>
          <w:jc w:val="center"/>
        </w:trPr>
        <w:tc>
          <w:tcPr>
            <w:tcW w:w="67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26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市场占有率</w:t>
            </w:r>
          </w:p>
        </w:tc>
        <w:tc>
          <w:tcPr>
            <w:tcW w:w="7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c>
          <w:tcPr>
            <w:tcW w:w="58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评委以2020年1月1日起至今（以合同签订时间为准）的签订</w:t>
            </w:r>
            <w:r>
              <w:rPr>
                <w:rFonts w:hint="eastAsia" w:ascii="新宋体" w:hAnsi="新宋体" w:eastAsia="新宋体" w:cs="新宋体"/>
                <w:b w:val="0"/>
                <w:bCs w:val="0"/>
                <w:color w:val="auto"/>
                <w:sz w:val="22"/>
                <w:szCs w:val="22"/>
                <w:highlight w:val="none"/>
              </w:rPr>
              <w:t>的投标同型号设备</w:t>
            </w:r>
            <w:r>
              <w:rPr>
                <w:rFonts w:hint="eastAsia" w:ascii="新宋体" w:hAnsi="新宋体" w:eastAsia="新宋体" w:cs="新宋体"/>
                <w:color w:val="auto"/>
                <w:sz w:val="22"/>
                <w:szCs w:val="22"/>
                <w:highlight w:val="none"/>
              </w:rPr>
              <w:t xml:space="preserve">的合同，相同采购人合同不重复计分，每个得1分（需提供合同复印件并加盖单位公章），最多3分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5" w:hRule="atLeast"/>
          <w:jc w:val="center"/>
        </w:trPr>
        <w:tc>
          <w:tcPr>
            <w:tcW w:w="67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26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制造商或代理商在华东地区的售后服务和维修能力</w:t>
            </w:r>
          </w:p>
        </w:tc>
        <w:tc>
          <w:tcPr>
            <w:tcW w:w="7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5分</w:t>
            </w:r>
          </w:p>
        </w:tc>
        <w:tc>
          <w:tcPr>
            <w:tcW w:w="58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60" w:lineRule="exact"/>
              <w:ind w:left="105" w:leftChars="50" w:right="10" w:rightChars="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评委对制造商或代理商在华东地区的售后服务和维修能力进行评审，酌情打分（5-0分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 w:hRule="atLeast"/>
          <w:jc w:val="center"/>
        </w:trPr>
        <w:tc>
          <w:tcPr>
            <w:tcW w:w="67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26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投标人提供的超出招标文件的优惠条件</w:t>
            </w:r>
          </w:p>
        </w:tc>
        <w:tc>
          <w:tcPr>
            <w:tcW w:w="7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w:t>
            </w:r>
          </w:p>
        </w:tc>
        <w:tc>
          <w:tcPr>
            <w:tcW w:w="58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60" w:lineRule="exact"/>
              <w:ind w:left="105" w:leftChars="50" w:right="10" w:rightChars="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评委对投标文件中是否有超出招标文件的优惠条件进行评议，没有实质性优惠条件得0分；有优惠条件的，根据优惠内容得0.5-2分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 w:hRule="atLeast"/>
          <w:jc w:val="center"/>
        </w:trPr>
        <w:tc>
          <w:tcPr>
            <w:tcW w:w="67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60" w:lineRule="exact"/>
              <w:jc w:val="center"/>
              <w:rPr>
                <w:rFonts w:hint="eastAsia" w:ascii="新宋体" w:hAnsi="新宋体" w:eastAsia="新宋体" w:cs="新宋体"/>
                <w:color w:val="auto"/>
                <w:sz w:val="22"/>
                <w:szCs w:val="22"/>
                <w:highlight w:val="none"/>
              </w:rPr>
            </w:pPr>
            <w:r>
              <w:rPr>
                <w:rFonts w:hint="default" w:ascii="新宋体" w:hAnsi="新宋体" w:eastAsia="新宋体" w:cs="新宋体"/>
                <w:color w:val="auto"/>
                <w:sz w:val="22"/>
                <w:szCs w:val="22"/>
                <w:highlight w:val="none"/>
                <w:lang w:val="en-US"/>
              </w:rPr>
              <w:t>8</w:t>
            </w:r>
            <w:bookmarkStart w:id="60" w:name="_GoBack"/>
            <w:bookmarkEnd w:id="60"/>
          </w:p>
        </w:tc>
        <w:tc>
          <w:tcPr>
            <w:tcW w:w="26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环境标志产品、节能产品</w:t>
            </w:r>
          </w:p>
        </w:tc>
        <w:tc>
          <w:tcPr>
            <w:tcW w:w="7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w:t>
            </w:r>
          </w:p>
        </w:tc>
        <w:tc>
          <w:tcPr>
            <w:tcW w:w="58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60" w:lineRule="exact"/>
              <w:ind w:left="105" w:leftChars="50" w:right="10" w:rightChars="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投标产品主体列入财政部、环境保护部“环境标志产品政府采购清单”的、列入财政部、国家发展改革委“节能产品政府采购清单”的，每项的0.5分；投标人提供清单并显著标识。</w:t>
            </w:r>
          </w:p>
        </w:tc>
      </w:tr>
    </w:tbl>
    <w:p>
      <w:pPr>
        <w:pStyle w:val="23"/>
        <w:spacing w:line="460" w:lineRule="exact"/>
        <w:ind w:left="0" w:leftChars="0" w:firstLine="221" w:firstLineChars="1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2、报价评分（</w:t>
      </w:r>
      <w:r>
        <w:rPr>
          <w:rFonts w:hint="eastAsia" w:ascii="宋体" w:hAnsi="宋体" w:cs="宋体"/>
          <w:b/>
          <w:color w:val="auto"/>
          <w:sz w:val="22"/>
          <w:szCs w:val="22"/>
          <w:highlight w:val="none"/>
          <w:lang w:val="en-US" w:eastAsia="zh-CN"/>
        </w:rPr>
        <w:t>3</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3</w:t>
      </w:r>
      <w:r>
        <w:rPr>
          <w:rFonts w:hint="eastAsia" w:ascii="宋体" w:hAnsi="宋体" w:eastAsia="宋体" w:cs="宋体"/>
          <w:b/>
          <w:color w:val="auto"/>
          <w:sz w:val="22"/>
          <w:szCs w:val="22"/>
          <w:highlight w:val="none"/>
        </w:rPr>
        <w:t>0%）：</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满足招标文件要求且投标报价最低的投标报价为评标基准价，其余投标人投标报价与该基准价对比，计算出商务报价评分值（保留小数2位）：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1）有效投标人的投标报价等于评标基准价时其报价分为满分</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0分；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2）其他投标人的价格分按以下公式计算：</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投标报价得分=（评分基准价/投标人投标报价）× 价格权值 ×100（保留小数2位）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3、有效投标人的综合得分为技术分和商务（报价）分的总和。</w:t>
      </w:r>
    </w:p>
    <w:p>
      <w:pPr>
        <w:spacing w:line="460" w:lineRule="exact"/>
        <w:ind w:firstLine="539" w:firstLineChars="245"/>
        <w:rPr>
          <w:rFonts w:hint="eastAsia" w:ascii="新宋体" w:hAnsi="新宋体" w:eastAsia="新宋体"/>
          <w:b w:val="0"/>
          <w:bCs w:val="0"/>
          <w:color w:val="auto"/>
          <w:sz w:val="22"/>
          <w:szCs w:val="22"/>
          <w:highlight w:val="none"/>
          <w:lang w:val="zh-CN"/>
        </w:rPr>
      </w:pPr>
      <w:r>
        <w:rPr>
          <w:rFonts w:hint="eastAsia" w:ascii="新宋体" w:hAnsi="新宋体" w:eastAsia="新宋体"/>
          <w:b w:val="0"/>
          <w:bCs w:val="0"/>
          <w:color w:val="auto"/>
          <w:sz w:val="22"/>
          <w:szCs w:val="22"/>
          <w:highlight w:val="none"/>
          <w:lang w:val="zh-CN"/>
        </w:rPr>
        <w:t>根据</w:t>
      </w:r>
      <w:r>
        <w:rPr>
          <w:rFonts w:hint="eastAsia" w:ascii="新宋体" w:hAnsi="新宋体" w:eastAsia="新宋体" w:cs="新宋体"/>
          <w:b w:val="0"/>
          <w:bCs w:val="0"/>
          <w:color w:val="auto"/>
          <w:kern w:val="0"/>
          <w:sz w:val="22"/>
          <w:szCs w:val="22"/>
          <w:highlight w:val="none"/>
        </w:rPr>
        <w:t>《政府采购促进中小企业发展管理办法》（财库〔2020〕46号）</w:t>
      </w:r>
      <w:r>
        <w:rPr>
          <w:rFonts w:hint="eastAsia" w:ascii="新宋体" w:hAnsi="新宋体" w:eastAsia="新宋体" w:cs="新宋体"/>
          <w:b w:val="0"/>
          <w:bCs w:val="0"/>
          <w:color w:val="auto"/>
          <w:kern w:val="0"/>
          <w:sz w:val="22"/>
          <w:szCs w:val="22"/>
          <w:highlight w:val="none"/>
          <w:lang w:eastAsia="zh-CN"/>
        </w:rPr>
        <w:t>、</w:t>
      </w:r>
      <w:r>
        <w:rPr>
          <w:rFonts w:hint="eastAsia" w:ascii="新宋体" w:hAnsi="新宋体" w:eastAsia="新宋体" w:cs="新宋体"/>
          <w:b w:val="0"/>
          <w:bCs w:val="0"/>
          <w:color w:val="auto"/>
          <w:kern w:val="0"/>
          <w:sz w:val="22"/>
          <w:szCs w:val="22"/>
          <w:highlight w:val="none"/>
        </w:rPr>
        <w:t>《财政部关于进一步加大政府采购支持中小企业力度的通知》（财库〔2022〕19号）</w:t>
      </w:r>
      <w:r>
        <w:rPr>
          <w:rFonts w:hint="eastAsia" w:ascii="新宋体" w:hAnsi="新宋体" w:eastAsia="新宋体" w:cs="新宋体"/>
          <w:b w:val="0"/>
          <w:bCs w:val="0"/>
          <w:color w:val="auto"/>
          <w:kern w:val="0"/>
          <w:sz w:val="22"/>
          <w:szCs w:val="22"/>
          <w:highlight w:val="none"/>
          <w:lang w:eastAsia="zh-CN"/>
        </w:rPr>
        <w:t>、《浙江省财政厅关于进一步加大政府采购支持中小企业力度助力扎实稳住经济的通知》（</w:t>
      </w:r>
      <w:r>
        <w:rPr>
          <w:rFonts w:hint="eastAsia" w:ascii="新宋体" w:hAnsi="新宋体" w:eastAsia="新宋体" w:cs="新宋体"/>
          <w:b w:val="0"/>
          <w:bCs w:val="0"/>
          <w:color w:val="auto"/>
          <w:kern w:val="0"/>
          <w:sz w:val="22"/>
          <w:szCs w:val="22"/>
          <w:highlight w:val="none"/>
        </w:rPr>
        <w:t>浙财采监〔2022〕8号</w:t>
      </w:r>
      <w:r>
        <w:rPr>
          <w:rFonts w:hint="eastAsia" w:ascii="新宋体" w:hAnsi="新宋体" w:eastAsia="新宋体" w:cs="新宋体"/>
          <w:b w:val="0"/>
          <w:bCs w:val="0"/>
          <w:color w:val="auto"/>
          <w:kern w:val="0"/>
          <w:sz w:val="22"/>
          <w:szCs w:val="22"/>
          <w:highlight w:val="none"/>
          <w:lang w:eastAsia="zh-CN"/>
        </w:rPr>
        <w:t>）</w:t>
      </w:r>
      <w:r>
        <w:rPr>
          <w:rFonts w:hint="eastAsia" w:ascii="新宋体" w:hAnsi="新宋体" w:eastAsia="新宋体" w:cs="新宋体"/>
          <w:b w:val="0"/>
          <w:bCs w:val="0"/>
          <w:color w:val="auto"/>
          <w:kern w:val="0"/>
          <w:sz w:val="22"/>
          <w:szCs w:val="22"/>
          <w:highlight w:val="none"/>
          <w:lang w:val="en-US" w:eastAsia="zh-CN"/>
        </w:rPr>
        <w:t>等</w:t>
      </w:r>
      <w:r>
        <w:rPr>
          <w:rFonts w:hint="eastAsia" w:ascii="新宋体" w:hAnsi="新宋体" w:eastAsia="新宋体" w:cs="新宋体"/>
          <w:b w:val="0"/>
          <w:bCs w:val="0"/>
          <w:color w:val="auto"/>
          <w:kern w:val="0"/>
          <w:sz w:val="22"/>
          <w:szCs w:val="22"/>
          <w:highlight w:val="none"/>
        </w:rPr>
        <w:t>有关规定</w:t>
      </w:r>
      <w:r>
        <w:rPr>
          <w:rFonts w:hint="eastAsia" w:ascii="新宋体" w:hAnsi="新宋体" w:eastAsia="新宋体"/>
          <w:b w:val="0"/>
          <w:bCs w:val="0"/>
          <w:color w:val="auto"/>
          <w:sz w:val="22"/>
          <w:szCs w:val="22"/>
          <w:highlight w:val="none"/>
          <w:lang w:val="zh-CN"/>
        </w:rPr>
        <w:t>，对</w:t>
      </w:r>
      <w:r>
        <w:rPr>
          <w:rFonts w:hint="eastAsia" w:ascii="新宋体" w:hAnsi="新宋体" w:eastAsia="新宋体"/>
          <w:b w:val="0"/>
          <w:bCs w:val="0"/>
          <w:color w:val="auto"/>
          <w:sz w:val="22"/>
          <w:szCs w:val="22"/>
          <w:highlight w:val="none"/>
          <w:lang w:val="en-US" w:eastAsia="zh-CN"/>
        </w:rPr>
        <w:t>货物类项目</w:t>
      </w:r>
      <w:r>
        <w:rPr>
          <w:rFonts w:hint="eastAsia" w:ascii="新宋体" w:hAnsi="新宋体" w:eastAsia="新宋体"/>
          <w:b w:val="0"/>
          <w:bCs w:val="0"/>
          <w:color w:val="auto"/>
          <w:sz w:val="22"/>
          <w:szCs w:val="22"/>
          <w:highlight w:val="none"/>
          <w:lang w:val="zh-CN"/>
        </w:rPr>
        <w:t>投标产品为小型或微型企业生产的，</w:t>
      </w:r>
      <w:r>
        <w:rPr>
          <w:rFonts w:hint="eastAsia" w:ascii="新宋体" w:hAnsi="新宋体" w:eastAsia="新宋体"/>
          <w:b w:val="0"/>
          <w:bCs w:val="0"/>
          <w:color w:val="auto"/>
          <w:sz w:val="22"/>
          <w:szCs w:val="22"/>
          <w:highlight w:val="none"/>
          <w:lang w:val="en-US" w:eastAsia="zh-CN"/>
        </w:rPr>
        <w:t>工程、服务类项目由小型或微型企业承建、承接的</w:t>
      </w:r>
      <w:r>
        <w:rPr>
          <w:rFonts w:hint="eastAsia" w:ascii="新宋体" w:hAnsi="新宋体" w:eastAsia="新宋体"/>
          <w:b w:val="0"/>
          <w:bCs w:val="0"/>
          <w:color w:val="auto"/>
          <w:sz w:val="22"/>
          <w:szCs w:val="22"/>
          <w:highlight w:val="none"/>
          <w:lang w:val="zh-CN"/>
        </w:rPr>
        <w:t>，</w:t>
      </w:r>
      <w:r>
        <w:rPr>
          <w:rFonts w:hint="eastAsia" w:ascii="新宋体" w:hAnsi="新宋体" w:eastAsia="新宋体"/>
          <w:b w:val="0"/>
          <w:bCs w:val="0"/>
          <w:color w:val="auto"/>
          <w:sz w:val="22"/>
          <w:szCs w:val="22"/>
          <w:highlight w:val="none"/>
          <w:u w:val="single"/>
          <w:lang w:val="zh-CN"/>
        </w:rPr>
        <w:t>价格给予</w:t>
      </w:r>
      <w:r>
        <w:rPr>
          <w:rFonts w:hint="eastAsia" w:ascii="新宋体" w:hAnsi="新宋体" w:eastAsia="新宋体"/>
          <w:b w:val="0"/>
          <w:bCs w:val="0"/>
          <w:color w:val="auto"/>
          <w:sz w:val="22"/>
          <w:szCs w:val="22"/>
          <w:highlight w:val="none"/>
          <w:u w:val="single"/>
          <w:lang w:val="en-US" w:eastAsia="zh-CN"/>
        </w:rPr>
        <w:t>1</w:t>
      </w:r>
      <w:r>
        <w:rPr>
          <w:rFonts w:hint="eastAsia" w:ascii="新宋体" w:hAnsi="新宋体" w:eastAsia="新宋体"/>
          <w:b w:val="0"/>
          <w:bCs w:val="0"/>
          <w:color w:val="auto"/>
          <w:sz w:val="22"/>
          <w:szCs w:val="22"/>
          <w:highlight w:val="none"/>
          <w:u w:val="single"/>
        </w:rPr>
        <w:t>0</w:t>
      </w:r>
      <w:r>
        <w:rPr>
          <w:rFonts w:hint="eastAsia" w:ascii="新宋体" w:hAnsi="新宋体" w:eastAsia="新宋体"/>
          <w:b w:val="0"/>
          <w:bCs w:val="0"/>
          <w:color w:val="auto"/>
          <w:sz w:val="22"/>
          <w:szCs w:val="22"/>
          <w:highlight w:val="none"/>
          <w:u w:val="single"/>
          <w:lang w:val="zh-CN"/>
        </w:rPr>
        <w:t>%的扣除</w:t>
      </w:r>
      <w:r>
        <w:rPr>
          <w:rFonts w:hint="eastAsia" w:ascii="新宋体" w:hAnsi="新宋体" w:eastAsia="新宋体"/>
          <w:b w:val="0"/>
          <w:bCs w:val="0"/>
          <w:color w:val="auto"/>
          <w:sz w:val="22"/>
          <w:szCs w:val="22"/>
          <w:highlight w:val="none"/>
          <w:lang w:val="zh-CN"/>
        </w:rPr>
        <w:t>，用扣除后的价格参与价格评分。</w:t>
      </w:r>
    </w:p>
    <w:p>
      <w:pPr>
        <w:spacing w:line="460" w:lineRule="exact"/>
        <w:ind w:firstLine="539" w:firstLineChars="245"/>
        <w:rPr>
          <w:rFonts w:hint="eastAsia" w:ascii="宋体" w:hAnsi="宋体" w:eastAsia="宋体" w:cs="宋体"/>
          <w:b w:val="0"/>
          <w:bCs w:val="0"/>
          <w:i w:val="0"/>
          <w:iCs w:val="0"/>
          <w:color w:val="auto"/>
          <w:sz w:val="22"/>
          <w:szCs w:val="22"/>
          <w:highlight w:val="none"/>
          <w:lang w:val="zh-CN"/>
        </w:rPr>
      </w:pPr>
      <w:r>
        <w:rPr>
          <w:rFonts w:hint="eastAsia" w:ascii="宋体" w:hAnsi="宋体" w:eastAsia="宋体" w:cs="宋体"/>
          <w:b w:val="0"/>
          <w:bCs w:val="0"/>
          <w:i w:val="0"/>
          <w:iCs w:val="0"/>
          <w:color w:val="auto"/>
          <w:sz w:val="22"/>
          <w:szCs w:val="22"/>
          <w:highlight w:val="none"/>
          <w:u w:val="single"/>
          <w:lang w:val="en-US" w:eastAsia="zh-CN"/>
        </w:rPr>
        <w:t>同时</w:t>
      </w:r>
      <w:r>
        <w:rPr>
          <w:rFonts w:hint="eastAsia" w:ascii="宋体" w:hAnsi="宋体" w:eastAsia="宋体" w:cs="宋体"/>
          <w:b w:val="0"/>
          <w:bCs w:val="0"/>
          <w:i w:val="0"/>
          <w:iCs w:val="0"/>
          <w:color w:val="auto"/>
          <w:sz w:val="22"/>
          <w:szCs w:val="22"/>
          <w:highlight w:val="none"/>
          <w:u w:val="single"/>
          <w:lang w:val="zh-CN"/>
        </w:rPr>
        <w:t>符合以下所有要求的投标人被认定为小型、微型企业：</w:t>
      </w:r>
    </w:p>
    <w:p>
      <w:pPr>
        <w:spacing w:line="460" w:lineRule="exact"/>
        <w:ind w:firstLine="539" w:firstLineChars="245"/>
        <w:rPr>
          <w:rFonts w:hint="eastAsia" w:ascii="宋体" w:hAnsi="宋体" w:eastAsia="宋体" w:cs="宋体"/>
          <w:b w:val="0"/>
          <w:bCs w:val="0"/>
          <w:i w:val="0"/>
          <w:iCs w:val="0"/>
          <w:color w:val="auto"/>
          <w:sz w:val="22"/>
          <w:szCs w:val="22"/>
          <w:highlight w:val="none"/>
          <w:lang w:val="zh-CN"/>
        </w:rPr>
      </w:pPr>
      <w:r>
        <w:rPr>
          <w:rFonts w:hint="eastAsia" w:ascii="宋体" w:hAnsi="宋体" w:eastAsia="宋体" w:cs="宋体"/>
          <w:b w:val="0"/>
          <w:bCs w:val="0"/>
          <w:i w:val="0"/>
          <w:iCs w:val="0"/>
          <w:color w:val="auto"/>
          <w:sz w:val="22"/>
          <w:szCs w:val="22"/>
          <w:highlight w:val="none"/>
          <w:lang w:val="zh-CN"/>
        </w:rPr>
        <w:t>①投标产品生产企业按照《关于印发中小企业划型标准规定的通知》（工信部联企业〔2011〕300号）的所属行业规定为小型、微型企业。</w:t>
      </w:r>
    </w:p>
    <w:p>
      <w:pPr>
        <w:spacing w:line="460" w:lineRule="exact"/>
        <w:ind w:firstLine="539" w:firstLineChars="245"/>
        <w:rPr>
          <w:rFonts w:hint="eastAsia" w:ascii="宋体" w:hAnsi="宋体" w:eastAsia="宋体" w:cs="宋体"/>
          <w:b w:val="0"/>
          <w:bCs w:val="0"/>
          <w:i w:val="0"/>
          <w:iCs w:val="0"/>
          <w:color w:val="auto"/>
          <w:sz w:val="22"/>
          <w:szCs w:val="22"/>
          <w:highlight w:val="none"/>
          <w:u w:val="single"/>
          <w:lang w:val="zh-CN"/>
        </w:rPr>
      </w:pPr>
      <w:r>
        <w:rPr>
          <w:rFonts w:hint="eastAsia" w:ascii="宋体" w:hAnsi="宋体" w:eastAsia="宋体" w:cs="宋体"/>
          <w:b w:val="0"/>
          <w:bCs w:val="0"/>
          <w:i w:val="0"/>
          <w:iCs w:val="0"/>
          <w:color w:val="auto"/>
          <w:sz w:val="22"/>
          <w:szCs w:val="22"/>
          <w:highlight w:val="none"/>
          <w:u w:val="single"/>
          <w:lang w:val="en-US" w:eastAsia="zh-CN"/>
        </w:rPr>
        <w:t>②</w:t>
      </w:r>
      <w:r>
        <w:rPr>
          <w:rFonts w:hint="eastAsia" w:ascii="宋体" w:hAnsi="宋体" w:eastAsia="宋体" w:cs="宋体"/>
          <w:b w:val="0"/>
          <w:bCs w:val="0"/>
          <w:i w:val="0"/>
          <w:iCs w:val="0"/>
          <w:color w:val="auto"/>
          <w:sz w:val="22"/>
          <w:szCs w:val="22"/>
          <w:highlight w:val="none"/>
          <w:u w:val="single"/>
          <w:lang w:val="zh-CN"/>
        </w:rPr>
        <w:t>投标文件中必须提供《中小企业声明函》。</w:t>
      </w:r>
    </w:p>
    <w:p>
      <w:pPr>
        <w:spacing w:line="460" w:lineRule="exact"/>
        <w:ind w:firstLine="539" w:firstLineChars="245"/>
        <w:rPr>
          <w:rFonts w:hint="eastAsia" w:ascii="宋体" w:hAnsi="宋体" w:eastAsia="宋体" w:cs="宋体"/>
          <w:b w:val="0"/>
          <w:bCs w:val="0"/>
          <w:i w:val="0"/>
          <w:iCs w:val="0"/>
          <w:color w:val="auto"/>
          <w:sz w:val="22"/>
          <w:szCs w:val="22"/>
          <w:highlight w:val="none"/>
        </w:rPr>
      </w:pPr>
      <w:r>
        <w:rPr>
          <w:rFonts w:hint="eastAsia" w:ascii="宋体" w:hAnsi="宋体" w:eastAsia="宋体" w:cs="宋体"/>
          <w:b w:val="0"/>
          <w:bCs w:val="0"/>
          <w:i w:val="0"/>
          <w:iCs w:val="0"/>
          <w:color w:val="auto"/>
          <w:sz w:val="22"/>
          <w:szCs w:val="22"/>
          <w:highlight w:val="none"/>
          <w:lang w:val="zh-CN"/>
        </w:rPr>
        <w:t>监狱企业视同小微企业，其产品参加本项目投标的，享受小微企业同等的价格扣除。</w:t>
      </w:r>
    </w:p>
    <w:p>
      <w:pPr>
        <w:spacing w:line="460" w:lineRule="exact"/>
        <w:rPr>
          <w:rFonts w:hint="eastAsia" w:ascii="宋体" w:hAnsi="宋体" w:eastAsia="宋体" w:cs="宋体"/>
          <w:b w:val="0"/>
          <w:bCs w:val="0"/>
          <w:i w:val="0"/>
          <w:iCs w:val="0"/>
          <w:color w:val="auto"/>
          <w:sz w:val="22"/>
          <w:szCs w:val="22"/>
          <w:highlight w:val="none"/>
          <w:u w:val="single"/>
        </w:rPr>
      </w:pPr>
      <w:r>
        <w:rPr>
          <w:rFonts w:hint="eastAsia" w:ascii="宋体" w:hAnsi="宋体" w:eastAsia="宋体" w:cs="宋体"/>
          <w:b w:val="0"/>
          <w:bCs w:val="0"/>
          <w:i w:val="0"/>
          <w:iCs w:val="0"/>
          <w:color w:val="auto"/>
          <w:sz w:val="22"/>
          <w:szCs w:val="22"/>
          <w:highlight w:val="none"/>
        </w:rPr>
        <w:t xml:space="preserve">   </w:t>
      </w:r>
      <w:r>
        <w:rPr>
          <w:rFonts w:hint="eastAsia" w:ascii="宋体" w:hAnsi="宋体" w:eastAsia="宋体" w:cs="宋体"/>
          <w:b w:val="0"/>
          <w:bCs w:val="0"/>
          <w:i w:val="0"/>
          <w:iCs w:val="0"/>
          <w:color w:val="auto"/>
          <w:sz w:val="22"/>
          <w:szCs w:val="22"/>
          <w:highlight w:val="none"/>
          <w:u w:val="singl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60" w:lineRule="exact"/>
        <w:ind w:firstLine="541" w:firstLineChars="245"/>
        <w:outlineLvl w:val="1"/>
        <w:rPr>
          <w:rFonts w:hint="eastAsia" w:ascii="宋体" w:hAnsi="宋体" w:eastAsia="宋体" w:cs="宋体"/>
          <w:b/>
          <w:bCs/>
          <w:color w:val="auto"/>
          <w:sz w:val="22"/>
          <w:szCs w:val="22"/>
          <w:highlight w:val="none"/>
        </w:rPr>
      </w:pPr>
      <w:bookmarkStart w:id="56" w:name="_Toc4727"/>
      <w:bookmarkStart w:id="57" w:name="_Toc2482"/>
      <w:r>
        <w:rPr>
          <w:rFonts w:hint="eastAsia" w:ascii="宋体" w:hAnsi="宋体" w:eastAsia="宋体" w:cs="宋体"/>
          <w:b/>
          <w:bCs/>
          <w:color w:val="auto"/>
          <w:sz w:val="22"/>
          <w:szCs w:val="22"/>
          <w:highlight w:val="none"/>
        </w:rPr>
        <w:t>六、定标办法</w:t>
      </w:r>
      <w:bookmarkEnd w:id="56"/>
      <w:bookmarkEnd w:id="57"/>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1.1由评标委员会确定中标候选人。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2、确定中标人</w:t>
      </w: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中标人确定后，招标人将在指定媒体公告中标结果，招标人向中标人发出中标通知书。</w:t>
      </w:r>
    </w:p>
    <w:p>
      <w:pPr>
        <w:spacing w:line="460" w:lineRule="exact"/>
        <w:ind w:firstLine="541" w:firstLineChars="245"/>
        <w:outlineLvl w:val="1"/>
        <w:rPr>
          <w:rFonts w:hint="eastAsia" w:ascii="宋体" w:hAnsi="宋体" w:eastAsia="宋体" w:cs="宋体"/>
          <w:b/>
          <w:color w:val="auto"/>
          <w:sz w:val="22"/>
          <w:szCs w:val="22"/>
          <w:highlight w:val="none"/>
        </w:rPr>
      </w:pPr>
      <w:bookmarkStart w:id="58" w:name="_Toc3629"/>
      <w:bookmarkStart w:id="59" w:name="_Toc17587"/>
      <w:r>
        <w:rPr>
          <w:rFonts w:hint="eastAsia" w:ascii="宋体" w:hAnsi="宋体" w:eastAsia="宋体" w:cs="宋体"/>
          <w:b/>
          <w:color w:val="auto"/>
          <w:sz w:val="22"/>
          <w:szCs w:val="22"/>
          <w:highlight w:val="none"/>
        </w:rPr>
        <w:t>七、投标人义务</w:t>
      </w:r>
      <w:bookmarkEnd w:id="58"/>
      <w:bookmarkEnd w:id="59"/>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投标人应随时接受评标委员会的询标，解答包括有关的商务、技术问题等。评标结束，所有评标资料存招标机构备查。</w:t>
      </w: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57"/>
      </w:rPr>
    </w:pPr>
    <w:r>
      <w:fldChar w:fldCharType="begin"/>
    </w:r>
    <w:r>
      <w:rPr>
        <w:rStyle w:val="57"/>
      </w:rPr>
      <w:instrText xml:space="preserve">PAGE  </w:instrText>
    </w:r>
    <w:r>
      <w:fldChar w:fldCharType="separate"/>
    </w:r>
    <w:r>
      <w:rPr>
        <w:rStyle w:val="57"/>
      </w:rPr>
      <w:t>28</w:t>
    </w:r>
    <w:r>
      <w:fldChar w:fldCharType="end"/>
    </w:r>
  </w:p>
  <w:p>
    <w:pPr>
      <w:pStyle w:val="36"/>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57"/>
      </w:rPr>
    </w:pPr>
    <w:r>
      <w:fldChar w:fldCharType="begin"/>
    </w:r>
    <w:r>
      <w:rPr>
        <w:rStyle w:val="57"/>
      </w:rPr>
      <w:instrText xml:space="preserve">PAGE  </w:instrText>
    </w:r>
    <w:r>
      <w:fldChar w:fldCharType="separate"/>
    </w:r>
    <w:r>
      <w:rPr>
        <w:rStyle w:val="57"/>
      </w:rPr>
      <w:t>72</w:t>
    </w:r>
    <w:r>
      <w:fldChar w:fldCharType="end"/>
    </w:r>
  </w:p>
  <w:p>
    <w:pPr>
      <w:pStyle w:val="36"/>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single" w:color="auto" w:sz="6" w:space="0"/>
      </w:pBdr>
      <w:jc w:val="both"/>
    </w:pPr>
    <w:r>
      <w:rPr>
        <w:rFonts w:hint="eastAsia"/>
        <w:lang w:eastAsia="zh-CN"/>
      </w:rPr>
      <w:t>温州市中医院</w:t>
    </w:r>
    <w:r>
      <w:rPr>
        <w:rFonts w:hint="eastAsia"/>
      </w:rPr>
      <w:t>招标文件                                             项目编号：</w:t>
    </w:r>
    <w:r>
      <w:rPr>
        <w:rFonts w:hint="eastAsia"/>
        <w:lang w:eastAsia="zh-CN"/>
      </w:rPr>
      <w:t xml:space="preserve">WZLCZB（W）-2023-04174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single" w:color="auto" w:sz="6" w:space="0"/>
      </w:pBdr>
      <w:jc w:val="both"/>
    </w:pPr>
    <w:r>
      <w:rPr>
        <w:rFonts w:hint="eastAsia"/>
        <w:lang w:eastAsia="zh-CN"/>
      </w:rPr>
      <w:t>温州市中医院</w:t>
    </w:r>
    <w:r>
      <w:rPr>
        <w:rFonts w:hint="eastAsia"/>
      </w:rPr>
      <w:t>招标文件                                             项目编号：</w:t>
    </w:r>
    <w:r>
      <w:rPr>
        <w:rFonts w:hint="eastAsia"/>
        <w:lang w:eastAsia="zh-CN"/>
      </w:rPr>
      <w:t xml:space="preserve">WZLCZB（W）-2023-04174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66A58"/>
    <w:multiLevelType w:val="singleLevel"/>
    <w:tmpl w:val="86B66A58"/>
    <w:lvl w:ilvl="0" w:tentative="0">
      <w:start w:val="3"/>
      <w:numFmt w:val="decimal"/>
      <w:lvlText w:val="%1."/>
      <w:lvlJc w:val="left"/>
      <w:pPr>
        <w:tabs>
          <w:tab w:val="left" w:pos="312"/>
        </w:tabs>
      </w:pPr>
    </w:lvl>
  </w:abstractNum>
  <w:abstractNum w:abstractNumId="1">
    <w:nsid w:val="9DED2AFC"/>
    <w:multiLevelType w:val="singleLevel"/>
    <w:tmpl w:val="9DED2AFC"/>
    <w:lvl w:ilvl="0" w:tentative="0">
      <w:start w:val="4"/>
      <w:numFmt w:val="chineseCounting"/>
      <w:suff w:val="space"/>
      <w:lvlText w:val="第%1部分"/>
      <w:lvlJc w:val="left"/>
      <w:rPr>
        <w:rFonts w:hint="eastAsia"/>
      </w:rPr>
    </w:lvl>
  </w:abstractNum>
  <w:abstractNum w:abstractNumId="2">
    <w:nsid w:val="B1C0EE6B"/>
    <w:multiLevelType w:val="singleLevel"/>
    <w:tmpl w:val="B1C0EE6B"/>
    <w:lvl w:ilvl="0" w:tentative="0">
      <w:start w:val="5"/>
      <w:numFmt w:val="chineseCounting"/>
      <w:suff w:val="nothing"/>
      <w:lvlText w:val="%1、"/>
      <w:lvlJc w:val="left"/>
      <w:rPr>
        <w:rFonts w:hint="eastAsia"/>
      </w:rPr>
    </w:lvl>
  </w:abstractNum>
  <w:abstractNum w:abstractNumId="3">
    <w:nsid w:val="BAF9EC89"/>
    <w:multiLevelType w:val="singleLevel"/>
    <w:tmpl w:val="BAF9EC89"/>
    <w:lvl w:ilvl="0" w:tentative="0">
      <w:start w:val="1"/>
      <w:numFmt w:val="chineseCounting"/>
      <w:suff w:val="nothing"/>
      <w:lvlText w:val="（%1）"/>
      <w:lvlJc w:val="left"/>
      <w:rPr>
        <w:rFonts w:hint="eastAsia"/>
      </w:rPr>
    </w:lvl>
  </w:abstractNum>
  <w:abstractNum w:abstractNumId="4">
    <w:nsid w:val="CD31F181"/>
    <w:multiLevelType w:val="singleLevel"/>
    <w:tmpl w:val="CD31F181"/>
    <w:lvl w:ilvl="0" w:tentative="0">
      <w:start w:val="1"/>
      <w:numFmt w:val="decimal"/>
      <w:suff w:val="nothing"/>
      <w:lvlText w:val="%1、"/>
      <w:lvlJc w:val="left"/>
    </w:lvl>
  </w:abstractNum>
  <w:abstractNum w:abstractNumId="5">
    <w:nsid w:val="24F781FB"/>
    <w:multiLevelType w:val="singleLevel"/>
    <w:tmpl w:val="24F781FB"/>
    <w:lvl w:ilvl="0" w:tentative="0">
      <w:start w:val="1"/>
      <w:numFmt w:val="chineseCounting"/>
      <w:suff w:val="nothing"/>
      <w:lvlText w:val="%1、"/>
      <w:lvlJc w:val="left"/>
      <w:rPr>
        <w:rFonts w:hint="eastAsia"/>
      </w:rPr>
    </w:lvl>
  </w:abstractNum>
  <w:abstractNum w:abstractNumId="6">
    <w:nsid w:val="2D177BD0"/>
    <w:multiLevelType w:val="multilevel"/>
    <w:tmpl w:val="2D177BD0"/>
    <w:lvl w:ilvl="0" w:tentative="0">
      <w:start w:val="1"/>
      <w:numFmt w:val="decimal"/>
      <w:pStyle w:val="341"/>
      <w:suff w:val="nothing"/>
      <w:lvlText w:val="%1"/>
      <w:lvlJc w:val="left"/>
      <w:pPr>
        <w:ind w:left="0" w:firstLine="0"/>
      </w:pPr>
      <w:rPr>
        <w:rFonts w:hint="eastAsia" w:ascii="微软雅黑" w:hAnsi="微软雅黑" w:eastAsia="微软雅黑"/>
        <w:b w:val="0"/>
        <w:sz w:val="24"/>
      </w:rPr>
    </w:lvl>
    <w:lvl w:ilvl="1" w:tentative="0">
      <w:start w:val="1"/>
      <w:numFmt w:val="decimal"/>
      <w:pStyle w:val="342"/>
      <w:suff w:val="nothing"/>
      <w:lvlText w:val="%1.%2"/>
      <w:lvlJc w:val="left"/>
      <w:pPr>
        <w:ind w:left="0" w:firstLine="0"/>
      </w:pPr>
      <w:rPr>
        <w:rFonts w:hint="eastAsia" w:ascii="微软雅黑" w:hAnsi="微软雅黑" w:eastAsia="微软雅黑"/>
        <w:sz w:val="24"/>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40515ABD"/>
    <w:multiLevelType w:val="singleLevel"/>
    <w:tmpl w:val="40515ABD"/>
    <w:lvl w:ilvl="0" w:tentative="0">
      <w:start w:val="1"/>
      <w:numFmt w:val="decimal"/>
      <w:pStyle w:val="14"/>
      <w:lvlText w:val="%1."/>
      <w:lvlJc w:val="left"/>
      <w:pPr>
        <w:tabs>
          <w:tab w:val="left" w:pos="780"/>
        </w:tabs>
        <w:ind w:left="780" w:hanging="360"/>
      </w:pPr>
    </w:lvl>
  </w:abstractNum>
  <w:abstractNum w:abstractNumId="8">
    <w:nsid w:val="4DF73F39"/>
    <w:multiLevelType w:val="multilevel"/>
    <w:tmpl w:val="4DF73F39"/>
    <w:lvl w:ilvl="0" w:tentative="0">
      <w:start w:val="1"/>
      <w:numFmt w:val="decimal"/>
      <w:suff w:val="nothing"/>
      <w:lvlText w:val="%1"/>
      <w:lvlJc w:val="left"/>
      <w:pPr>
        <w:ind w:left="0" w:firstLine="0"/>
      </w:pPr>
      <w:rPr>
        <w:rFonts w:hint="default"/>
        <w:b w:val="0"/>
      </w:rPr>
    </w:lvl>
    <w:lvl w:ilvl="1" w:tentative="0">
      <w:start w:val="1"/>
      <w:numFmt w:val="decimal"/>
      <w:pStyle w:val="343"/>
      <w:suff w:val="nothing"/>
      <w:lvlText w:val="%1.%2"/>
      <w:lvlJc w:val="left"/>
      <w:pPr>
        <w:ind w:left="0"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52D7A3B6"/>
    <w:multiLevelType w:val="singleLevel"/>
    <w:tmpl w:val="52D7A3B6"/>
    <w:lvl w:ilvl="0" w:tentative="0">
      <w:start w:val="1"/>
      <w:numFmt w:val="decimal"/>
      <w:suff w:val="nothing"/>
      <w:lvlText w:val="（%1）"/>
      <w:lvlJc w:val="left"/>
    </w:lvl>
  </w:abstractNum>
  <w:num w:numId="1">
    <w:abstractNumId w:val="7"/>
  </w:num>
  <w:num w:numId="2">
    <w:abstractNumId w:val="6"/>
  </w:num>
  <w:num w:numId="3">
    <w:abstractNumId w:val="8"/>
  </w:num>
  <w:num w:numId="4">
    <w:abstractNumId w:val="0"/>
  </w:num>
  <w:num w:numId="5">
    <w:abstractNumId w:val="9"/>
  </w:num>
  <w:num w:numId="6">
    <w:abstractNumId w:val="4"/>
  </w:num>
  <w:num w:numId="7">
    <w:abstractNumId w:val="3"/>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yYjc0MjQ3MDVjYjJkMDFhZjlkZDA2OTg4YWRlZmQifQ=="/>
  </w:docVars>
  <w:rsids>
    <w:rsidRoot w:val="00172A27"/>
    <w:rsid w:val="000149E3"/>
    <w:rsid w:val="00020693"/>
    <w:rsid w:val="000217C7"/>
    <w:rsid w:val="00026A46"/>
    <w:rsid w:val="00027D0D"/>
    <w:rsid w:val="00031F49"/>
    <w:rsid w:val="00037B6F"/>
    <w:rsid w:val="000474B4"/>
    <w:rsid w:val="00063600"/>
    <w:rsid w:val="00090AE6"/>
    <w:rsid w:val="000A6326"/>
    <w:rsid w:val="000B2878"/>
    <w:rsid w:val="0010260A"/>
    <w:rsid w:val="0013451B"/>
    <w:rsid w:val="00146E35"/>
    <w:rsid w:val="00172A27"/>
    <w:rsid w:val="00176791"/>
    <w:rsid w:val="0019644F"/>
    <w:rsid w:val="001B0F17"/>
    <w:rsid w:val="001B2275"/>
    <w:rsid w:val="001D4048"/>
    <w:rsid w:val="001D49A1"/>
    <w:rsid w:val="001E7897"/>
    <w:rsid w:val="001F5D2B"/>
    <w:rsid w:val="002018F6"/>
    <w:rsid w:val="002044B9"/>
    <w:rsid w:val="00212172"/>
    <w:rsid w:val="00223CC1"/>
    <w:rsid w:val="00227214"/>
    <w:rsid w:val="00230913"/>
    <w:rsid w:val="00243D5B"/>
    <w:rsid w:val="002447E7"/>
    <w:rsid w:val="00261F3C"/>
    <w:rsid w:val="00270294"/>
    <w:rsid w:val="00271C2D"/>
    <w:rsid w:val="002843F3"/>
    <w:rsid w:val="00296547"/>
    <w:rsid w:val="002A31D6"/>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7176"/>
    <w:rsid w:val="00A92B83"/>
    <w:rsid w:val="00A957CF"/>
    <w:rsid w:val="00AA3DA6"/>
    <w:rsid w:val="00AA7C87"/>
    <w:rsid w:val="00AD66E6"/>
    <w:rsid w:val="00AE4B39"/>
    <w:rsid w:val="00AF7BEB"/>
    <w:rsid w:val="00B06E43"/>
    <w:rsid w:val="00B2584A"/>
    <w:rsid w:val="00B41362"/>
    <w:rsid w:val="00B43A9E"/>
    <w:rsid w:val="00B44537"/>
    <w:rsid w:val="00B5466C"/>
    <w:rsid w:val="00B74039"/>
    <w:rsid w:val="00B87E26"/>
    <w:rsid w:val="00B9767A"/>
    <w:rsid w:val="00BA78D1"/>
    <w:rsid w:val="00BC0A13"/>
    <w:rsid w:val="00BC2B54"/>
    <w:rsid w:val="00BC4AC5"/>
    <w:rsid w:val="00BC66D1"/>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C44CE"/>
    <w:rsid w:val="00FD52B1"/>
    <w:rsid w:val="00FF3A66"/>
    <w:rsid w:val="00FF6977"/>
    <w:rsid w:val="0116709E"/>
    <w:rsid w:val="01606883"/>
    <w:rsid w:val="020D29B1"/>
    <w:rsid w:val="021F7DAD"/>
    <w:rsid w:val="0224444B"/>
    <w:rsid w:val="022D7429"/>
    <w:rsid w:val="02451328"/>
    <w:rsid w:val="027D25C0"/>
    <w:rsid w:val="02841565"/>
    <w:rsid w:val="029411C5"/>
    <w:rsid w:val="02B3222E"/>
    <w:rsid w:val="02F63BA4"/>
    <w:rsid w:val="031D0871"/>
    <w:rsid w:val="03283281"/>
    <w:rsid w:val="03331487"/>
    <w:rsid w:val="034A64CB"/>
    <w:rsid w:val="039714E5"/>
    <w:rsid w:val="03BE392F"/>
    <w:rsid w:val="03E13A1E"/>
    <w:rsid w:val="04156ACE"/>
    <w:rsid w:val="042A5AFC"/>
    <w:rsid w:val="043D6DF1"/>
    <w:rsid w:val="043F2279"/>
    <w:rsid w:val="044865A2"/>
    <w:rsid w:val="048A4868"/>
    <w:rsid w:val="048D46D7"/>
    <w:rsid w:val="04A01243"/>
    <w:rsid w:val="04C27070"/>
    <w:rsid w:val="04E23C80"/>
    <w:rsid w:val="04FD6D0A"/>
    <w:rsid w:val="050751FC"/>
    <w:rsid w:val="05166806"/>
    <w:rsid w:val="0529508C"/>
    <w:rsid w:val="05395B50"/>
    <w:rsid w:val="053A30CA"/>
    <w:rsid w:val="057D25F0"/>
    <w:rsid w:val="05936339"/>
    <w:rsid w:val="05992721"/>
    <w:rsid w:val="05D76F02"/>
    <w:rsid w:val="06075169"/>
    <w:rsid w:val="062F7E7F"/>
    <w:rsid w:val="0650016B"/>
    <w:rsid w:val="06695ADA"/>
    <w:rsid w:val="067D145E"/>
    <w:rsid w:val="067F52AB"/>
    <w:rsid w:val="06E17425"/>
    <w:rsid w:val="06E81491"/>
    <w:rsid w:val="07081502"/>
    <w:rsid w:val="072046E3"/>
    <w:rsid w:val="07373C8C"/>
    <w:rsid w:val="074234A9"/>
    <w:rsid w:val="0747552D"/>
    <w:rsid w:val="07592C30"/>
    <w:rsid w:val="07791E20"/>
    <w:rsid w:val="078177D5"/>
    <w:rsid w:val="07924879"/>
    <w:rsid w:val="079C0E64"/>
    <w:rsid w:val="07D60F62"/>
    <w:rsid w:val="08621901"/>
    <w:rsid w:val="0868440A"/>
    <w:rsid w:val="08911C02"/>
    <w:rsid w:val="08913549"/>
    <w:rsid w:val="08B53A61"/>
    <w:rsid w:val="08E76FD5"/>
    <w:rsid w:val="08FD20E7"/>
    <w:rsid w:val="09101BCD"/>
    <w:rsid w:val="09315C91"/>
    <w:rsid w:val="09510BFE"/>
    <w:rsid w:val="097E368B"/>
    <w:rsid w:val="09816EE6"/>
    <w:rsid w:val="09A34824"/>
    <w:rsid w:val="09B85302"/>
    <w:rsid w:val="09B94936"/>
    <w:rsid w:val="09D26DBF"/>
    <w:rsid w:val="09F65854"/>
    <w:rsid w:val="0A07422F"/>
    <w:rsid w:val="0A0A733F"/>
    <w:rsid w:val="0A1B49C1"/>
    <w:rsid w:val="0A3D0590"/>
    <w:rsid w:val="0A7416D8"/>
    <w:rsid w:val="0A8945EB"/>
    <w:rsid w:val="0AAF2FEE"/>
    <w:rsid w:val="0AD95380"/>
    <w:rsid w:val="0B2B66A8"/>
    <w:rsid w:val="0BAC1F4C"/>
    <w:rsid w:val="0BBE4F63"/>
    <w:rsid w:val="0BDA530A"/>
    <w:rsid w:val="0C0247C0"/>
    <w:rsid w:val="0C353302"/>
    <w:rsid w:val="0C3E7749"/>
    <w:rsid w:val="0C496297"/>
    <w:rsid w:val="0C51563F"/>
    <w:rsid w:val="0C660E5E"/>
    <w:rsid w:val="0C7C51F9"/>
    <w:rsid w:val="0C9A109E"/>
    <w:rsid w:val="0CA74D09"/>
    <w:rsid w:val="0CA9483B"/>
    <w:rsid w:val="0CC51217"/>
    <w:rsid w:val="0D0A01F7"/>
    <w:rsid w:val="0D1F1C9D"/>
    <w:rsid w:val="0D3F6C37"/>
    <w:rsid w:val="0D735BCC"/>
    <w:rsid w:val="0D7C2119"/>
    <w:rsid w:val="0D920730"/>
    <w:rsid w:val="0DE33D9A"/>
    <w:rsid w:val="0E022677"/>
    <w:rsid w:val="0E064CB1"/>
    <w:rsid w:val="0E4706D1"/>
    <w:rsid w:val="0E4B6575"/>
    <w:rsid w:val="0E5C2643"/>
    <w:rsid w:val="0E6537C4"/>
    <w:rsid w:val="0E701E1B"/>
    <w:rsid w:val="0E750CB0"/>
    <w:rsid w:val="0E8E6882"/>
    <w:rsid w:val="0EE50D43"/>
    <w:rsid w:val="0F0377AE"/>
    <w:rsid w:val="0F0E6EE3"/>
    <w:rsid w:val="0F706416"/>
    <w:rsid w:val="0FCD5779"/>
    <w:rsid w:val="0FD03A0D"/>
    <w:rsid w:val="10381F40"/>
    <w:rsid w:val="104869BA"/>
    <w:rsid w:val="10972629"/>
    <w:rsid w:val="109A2257"/>
    <w:rsid w:val="10F47168"/>
    <w:rsid w:val="110264F1"/>
    <w:rsid w:val="1104198D"/>
    <w:rsid w:val="115434FF"/>
    <w:rsid w:val="115D3896"/>
    <w:rsid w:val="11B62E53"/>
    <w:rsid w:val="12103D4D"/>
    <w:rsid w:val="12345EA5"/>
    <w:rsid w:val="124027F2"/>
    <w:rsid w:val="125A673E"/>
    <w:rsid w:val="12775E6D"/>
    <w:rsid w:val="12A01322"/>
    <w:rsid w:val="12AB0828"/>
    <w:rsid w:val="12E05DF5"/>
    <w:rsid w:val="133616DD"/>
    <w:rsid w:val="13582BF6"/>
    <w:rsid w:val="13583E3E"/>
    <w:rsid w:val="136156A3"/>
    <w:rsid w:val="138356B4"/>
    <w:rsid w:val="13884680"/>
    <w:rsid w:val="13996DA4"/>
    <w:rsid w:val="13A56966"/>
    <w:rsid w:val="13B56A40"/>
    <w:rsid w:val="13D309B3"/>
    <w:rsid w:val="13EC3F05"/>
    <w:rsid w:val="14077D57"/>
    <w:rsid w:val="143079B7"/>
    <w:rsid w:val="14342819"/>
    <w:rsid w:val="14965811"/>
    <w:rsid w:val="14CE5CB2"/>
    <w:rsid w:val="14D92610"/>
    <w:rsid w:val="15001500"/>
    <w:rsid w:val="154A25D7"/>
    <w:rsid w:val="15525604"/>
    <w:rsid w:val="155E753C"/>
    <w:rsid w:val="156E5828"/>
    <w:rsid w:val="15B36E57"/>
    <w:rsid w:val="15B43A33"/>
    <w:rsid w:val="15C02CFA"/>
    <w:rsid w:val="15D02588"/>
    <w:rsid w:val="163004AD"/>
    <w:rsid w:val="164356BB"/>
    <w:rsid w:val="166F777C"/>
    <w:rsid w:val="169C21B8"/>
    <w:rsid w:val="169C6B59"/>
    <w:rsid w:val="16BB60A4"/>
    <w:rsid w:val="16D604C4"/>
    <w:rsid w:val="173A5387"/>
    <w:rsid w:val="1748067F"/>
    <w:rsid w:val="17725C57"/>
    <w:rsid w:val="17755246"/>
    <w:rsid w:val="17763711"/>
    <w:rsid w:val="17800AEC"/>
    <w:rsid w:val="18245E40"/>
    <w:rsid w:val="184F1816"/>
    <w:rsid w:val="186B461D"/>
    <w:rsid w:val="188B4950"/>
    <w:rsid w:val="18C7387D"/>
    <w:rsid w:val="18C75C51"/>
    <w:rsid w:val="18C76564"/>
    <w:rsid w:val="19087A11"/>
    <w:rsid w:val="191B7534"/>
    <w:rsid w:val="196E2C37"/>
    <w:rsid w:val="1974690A"/>
    <w:rsid w:val="1A510684"/>
    <w:rsid w:val="1A6171B2"/>
    <w:rsid w:val="1AA65F2A"/>
    <w:rsid w:val="1AA666F2"/>
    <w:rsid w:val="1AC73C81"/>
    <w:rsid w:val="1ADC340E"/>
    <w:rsid w:val="1AED2C78"/>
    <w:rsid w:val="1AEF15D5"/>
    <w:rsid w:val="1B1F6B22"/>
    <w:rsid w:val="1B343FD0"/>
    <w:rsid w:val="1B356551"/>
    <w:rsid w:val="1B377F92"/>
    <w:rsid w:val="1B3E4ABA"/>
    <w:rsid w:val="1B9D2D2C"/>
    <w:rsid w:val="1BA800ED"/>
    <w:rsid w:val="1BAB13EA"/>
    <w:rsid w:val="1BBF1820"/>
    <w:rsid w:val="1BE02644"/>
    <w:rsid w:val="1BF27CE6"/>
    <w:rsid w:val="1BF57F17"/>
    <w:rsid w:val="1C103A6D"/>
    <w:rsid w:val="1C13053F"/>
    <w:rsid w:val="1C162BF5"/>
    <w:rsid w:val="1C212DFA"/>
    <w:rsid w:val="1C3065A1"/>
    <w:rsid w:val="1C32514E"/>
    <w:rsid w:val="1C536B8E"/>
    <w:rsid w:val="1C6074FD"/>
    <w:rsid w:val="1C8449C2"/>
    <w:rsid w:val="1C8676F7"/>
    <w:rsid w:val="1C8B5EF5"/>
    <w:rsid w:val="1C9B7764"/>
    <w:rsid w:val="1C9C37E6"/>
    <w:rsid w:val="1CA3081A"/>
    <w:rsid w:val="1CB81673"/>
    <w:rsid w:val="1CEB7EC5"/>
    <w:rsid w:val="1D0A50BD"/>
    <w:rsid w:val="1D2A3DAB"/>
    <w:rsid w:val="1D46542E"/>
    <w:rsid w:val="1D6359BB"/>
    <w:rsid w:val="1D664936"/>
    <w:rsid w:val="1D71729C"/>
    <w:rsid w:val="1D981331"/>
    <w:rsid w:val="1DAB3C89"/>
    <w:rsid w:val="1DC06E93"/>
    <w:rsid w:val="1DCC77C2"/>
    <w:rsid w:val="1DCF4890"/>
    <w:rsid w:val="1DFB57EB"/>
    <w:rsid w:val="1E0062C5"/>
    <w:rsid w:val="1E4F15C4"/>
    <w:rsid w:val="1E665E93"/>
    <w:rsid w:val="1E6D0B8E"/>
    <w:rsid w:val="1E8A1B7B"/>
    <w:rsid w:val="1ED05FDD"/>
    <w:rsid w:val="1EDA4565"/>
    <w:rsid w:val="1F0115E6"/>
    <w:rsid w:val="1F1F4869"/>
    <w:rsid w:val="1F574D7C"/>
    <w:rsid w:val="1F8B73B9"/>
    <w:rsid w:val="1FC0508F"/>
    <w:rsid w:val="1FD17519"/>
    <w:rsid w:val="1FDE37FF"/>
    <w:rsid w:val="1FE87CF6"/>
    <w:rsid w:val="1FFE3B10"/>
    <w:rsid w:val="20142293"/>
    <w:rsid w:val="202875D1"/>
    <w:rsid w:val="203B6405"/>
    <w:rsid w:val="204042C4"/>
    <w:rsid w:val="204434A6"/>
    <w:rsid w:val="205143DE"/>
    <w:rsid w:val="208E2CB0"/>
    <w:rsid w:val="20C7192F"/>
    <w:rsid w:val="20D93FB0"/>
    <w:rsid w:val="20F3606E"/>
    <w:rsid w:val="20F85F56"/>
    <w:rsid w:val="213009EF"/>
    <w:rsid w:val="213D75BE"/>
    <w:rsid w:val="217A33A1"/>
    <w:rsid w:val="21872636"/>
    <w:rsid w:val="218F2648"/>
    <w:rsid w:val="21AB5C9B"/>
    <w:rsid w:val="21B427AB"/>
    <w:rsid w:val="21BD46E0"/>
    <w:rsid w:val="227C0C68"/>
    <w:rsid w:val="227D1F07"/>
    <w:rsid w:val="22AE5DFE"/>
    <w:rsid w:val="22BD440B"/>
    <w:rsid w:val="23025E80"/>
    <w:rsid w:val="235C31B0"/>
    <w:rsid w:val="23C16FD2"/>
    <w:rsid w:val="242C445B"/>
    <w:rsid w:val="248B6BF0"/>
    <w:rsid w:val="24975A35"/>
    <w:rsid w:val="24A451C8"/>
    <w:rsid w:val="24B0777F"/>
    <w:rsid w:val="24B80E3D"/>
    <w:rsid w:val="24BA3A6C"/>
    <w:rsid w:val="24C04FDC"/>
    <w:rsid w:val="24C14262"/>
    <w:rsid w:val="24DB11B1"/>
    <w:rsid w:val="24DB1DC1"/>
    <w:rsid w:val="254579AD"/>
    <w:rsid w:val="25550995"/>
    <w:rsid w:val="255572F5"/>
    <w:rsid w:val="25916749"/>
    <w:rsid w:val="25BD246C"/>
    <w:rsid w:val="25E5097B"/>
    <w:rsid w:val="25ED1CE2"/>
    <w:rsid w:val="25F220DD"/>
    <w:rsid w:val="260366CA"/>
    <w:rsid w:val="26190B1E"/>
    <w:rsid w:val="261954E5"/>
    <w:rsid w:val="264E443C"/>
    <w:rsid w:val="26B25A04"/>
    <w:rsid w:val="26E86A48"/>
    <w:rsid w:val="2707113A"/>
    <w:rsid w:val="27101EDB"/>
    <w:rsid w:val="27450F96"/>
    <w:rsid w:val="27A03254"/>
    <w:rsid w:val="27A230C5"/>
    <w:rsid w:val="27A851CF"/>
    <w:rsid w:val="27F6755B"/>
    <w:rsid w:val="2835156C"/>
    <w:rsid w:val="285E7742"/>
    <w:rsid w:val="285F589C"/>
    <w:rsid w:val="2860075F"/>
    <w:rsid w:val="288E7537"/>
    <w:rsid w:val="289A47D7"/>
    <w:rsid w:val="28D51CE9"/>
    <w:rsid w:val="28E0382C"/>
    <w:rsid w:val="28FB2940"/>
    <w:rsid w:val="2935387C"/>
    <w:rsid w:val="296D5786"/>
    <w:rsid w:val="29923BE6"/>
    <w:rsid w:val="29D70027"/>
    <w:rsid w:val="29E4565C"/>
    <w:rsid w:val="2A217644"/>
    <w:rsid w:val="2A5522DC"/>
    <w:rsid w:val="2A6D7AE4"/>
    <w:rsid w:val="2A7647B8"/>
    <w:rsid w:val="2A81126C"/>
    <w:rsid w:val="2A9A509F"/>
    <w:rsid w:val="2ABE75C5"/>
    <w:rsid w:val="2AC54EDF"/>
    <w:rsid w:val="2ADE1592"/>
    <w:rsid w:val="2AE72478"/>
    <w:rsid w:val="2AFE6BB2"/>
    <w:rsid w:val="2AFF547A"/>
    <w:rsid w:val="2B0F5BE3"/>
    <w:rsid w:val="2B194010"/>
    <w:rsid w:val="2B1A0A86"/>
    <w:rsid w:val="2B4654C8"/>
    <w:rsid w:val="2B766889"/>
    <w:rsid w:val="2B7B3036"/>
    <w:rsid w:val="2BB62C14"/>
    <w:rsid w:val="2BB82208"/>
    <w:rsid w:val="2BC1544C"/>
    <w:rsid w:val="2BF83122"/>
    <w:rsid w:val="2C451800"/>
    <w:rsid w:val="2C4D4422"/>
    <w:rsid w:val="2C61592A"/>
    <w:rsid w:val="2CF23348"/>
    <w:rsid w:val="2CFF2E26"/>
    <w:rsid w:val="2D0212AF"/>
    <w:rsid w:val="2D0721CE"/>
    <w:rsid w:val="2D2D0FB8"/>
    <w:rsid w:val="2D5369A4"/>
    <w:rsid w:val="2D553E12"/>
    <w:rsid w:val="2D563294"/>
    <w:rsid w:val="2D572DE8"/>
    <w:rsid w:val="2D7657B0"/>
    <w:rsid w:val="2DA92533"/>
    <w:rsid w:val="2DC542FD"/>
    <w:rsid w:val="2E027319"/>
    <w:rsid w:val="2E740C9C"/>
    <w:rsid w:val="2E912614"/>
    <w:rsid w:val="2EB82B9B"/>
    <w:rsid w:val="2EC0752C"/>
    <w:rsid w:val="2EDB211E"/>
    <w:rsid w:val="2F92082D"/>
    <w:rsid w:val="2FAF734F"/>
    <w:rsid w:val="2FB74538"/>
    <w:rsid w:val="2FF16930"/>
    <w:rsid w:val="30255652"/>
    <w:rsid w:val="302A5959"/>
    <w:rsid w:val="305B0C4B"/>
    <w:rsid w:val="306F34C7"/>
    <w:rsid w:val="3080195E"/>
    <w:rsid w:val="31024AE6"/>
    <w:rsid w:val="31170808"/>
    <w:rsid w:val="313F60CD"/>
    <w:rsid w:val="316C164E"/>
    <w:rsid w:val="31AC33EA"/>
    <w:rsid w:val="31B469D0"/>
    <w:rsid w:val="31CA2AA5"/>
    <w:rsid w:val="31D64F96"/>
    <w:rsid w:val="31EC51C6"/>
    <w:rsid w:val="32017181"/>
    <w:rsid w:val="3202578C"/>
    <w:rsid w:val="322F554F"/>
    <w:rsid w:val="326D3B31"/>
    <w:rsid w:val="327021FA"/>
    <w:rsid w:val="3292519B"/>
    <w:rsid w:val="329C1DF0"/>
    <w:rsid w:val="329E2BA3"/>
    <w:rsid w:val="32AE7A75"/>
    <w:rsid w:val="32E032B1"/>
    <w:rsid w:val="32EF11A3"/>
    <w:rsid w:val="32EF2028"/>
    <w:rsid w:val="33011C41"/>
    <w:rsid w:val="333C6A3D"/>
    <w:rsid w:val="33420402"/>
    <w:rsid w:val="33644CFD"/>
    <w:rsid w:val="33774568"/>
    <w:rsid w:val="33A0028D"/>
    <w:rsid w:val="33A570FA"/>
    <w:rsid w:val="33D32C1C"/>
    <w:rsid w:val="33D92429"/>
    <w:rsid w:val="343B3818"/>
    <w:rsid w:val="343C1893"/>
    <w:rsid w:val="3449265D"/>
    <w:rsid w:val="356521C2"/>
    <w:rsid w:val="358526AE"/>
    <w:rsid w:val="35B54B22"/>
    <w:rsid w:val="35DF0F8E"/>
    <w:rsid w:val="35E83CBD"/>
    <w:rsid w:val="35EF293B"/>
    <w:rsid w:val="35F13A2A"/>
    <w:rsid w:val="35FD564E"/>
    <w:rsid w:val="360453EB"/>
    <w:rsid w:val="362C0965"/>
    <w:rsid w:val="36495F37"/>
    <w:rsid w:val="36523501"/>
    <w:rsid w:val="366A6E58"/>
    <w:rsid w:val="37366041"/>
    <w:rsid w:val="373D0F4E"/>
    <w:rsid w:val="37625DAE"/>
    <w:rsid w:val="377717B0"/>
    <w:rsid w:val="379D7A74"/>
    <w:rsid w:val="37A03DDA"/>
    <w:rsid w:val="37DC389E"/>
    <w:rsid w:val="37E41DF1"/>
    <w:rsid w:val="37FC364E"/>
    <w:rsid w:val="38157C2A"/>
    <w:rsid w:val="38463090"/>
    <w:rsid w:val="3882116E"/>
    <w:rsid w:val="388234B9"/>
    <w:rsid w:val="38973473"/>
    <w:rsid w:val="38A56CC9"/>
    <w:rsid w:val="38C05F24"/>
    <w:rsid w:val="38D750B8"/>
    <w:rsid w:val="38F2240C"/>
    <w:rsid w:val="39171CC0"/>
    <w:rsid w:val="393F39C1"/>
    <w:rsid w:val="3941283A"/>
    <w:rsid w:val="395212E1"/>
    <w:rsid w:val="39976574"/>
    <w:rsid w:val="39A165F9"/>
    <w:rsid w:val="39B72706"/>
    <w:rsid w:val="39C84E5A"/>
    <w:rsid w:val="39FA0921"/>
    <w:rsid w:val="3A033549"/>
    <w:rsid w:val="3A3457E8"/>
    <w:rsid w:val="3A3F0320"/>
    <w:rsid w:val="3A536E24"/>
    <w:rsid w:val="3A565A98"/>
    <w:rsid w:val="3A5D7130"/>
    <w:rsid w:val="3A810ECA"/>
    <w:rsid w:val="3A871F8A"/>
    <w:rsid w:val="3AA31206"/>
    <w:rsid w:val="3AB57780"/>
    <w:rsid w:val="3AC65AD2"/>
    <w:rsid w:val="3ACF5A26"/>
    <w:rsid w:val="3B3575B2"/>
    <w:rsid w:val="3B4764C1"/>
    <w:rsid w:val="3B54731C"/>
    <w:rsid w:val="3B67428D"/>
    <w:rsid w:val="3B713350"/>
    <w:rsid w:val="3B7A26BE"/>
    <w:rsid w:val="3BBD2198"/>
    <w:rsid w:val="3BE767A5"/>
    <w:rsid w:val="3C1701DB"/>
    <w:rsid w:val="3C2E25AC"/>
    <w:rsid w:val="3C33699A"/>
    <w:rsid w:val="3C41291B"/>
    <w:rsid w:val="3C447C27"/>
    <w:rsid w:val="3C4E3440"/>
    <w:rsid w:val="3DCF2772"/>
    <w:rsid w:val="3E225ED0"/>
    <w:rsid w:val="3E29108F"/>
    <w:rsid w:val="3E530817"/>
    <w:rsid w:val="3E763568"/>
    <w:rsid w:val="3EB341AB"/>
    <w:rsid w:val="3EC20226"/>
    <w:rsid w:val="3EC451E1"/>
    <w:rsid w:val="3EC47F80"/>
    <w:rsid w:val="3F1E63B0"/>
    <w:rsid w:val="3F2226EC"/>
    <w:rsid w:val="3F601C75"/>
    <w:rsid w:val="3FA47469"/>
    <w:rsid w:val="3FAC6CE4"/>
    <w:rsid w:val="3FDA48AC"/>
    <w:rsid w:val="3FE53BD5"/>
    <w:rsid w:val="400C6F8F"/>
    <w:rsid w:val="402A3DD6"/>
    <w:rsid w:val="402E363B"/>
    <w:rsid w:val="403A7A13"/>
    <w:rsid w:val="40883F9A"/>
    <w:rsid w:val="40A6403B"/>
    <w:rsid w:val="40C31767"/>
    <w:rsid w:val="40D11C13"/>
    <w:rsid w:val="40D14228"/>
    <w:rsid w:val="40E32648"/>
    <w:rsid w:val="413F338F"/>
    <w:rsid w:val="415D3A83"/>
    <w:rsid w:val="418A5114"/>
    <w:rsid w:val="41A50FA5"/>
    <w:rsid w:val="41B113E8"/>
    <w:rsid w:val="41CC07BC"/>
    <w:rsid w:val="41DD5AAF"/>
    <w:rsid w:val="420569A4"/>
    <w:rsid w:val="42144F10"/>
    <w:rsid w:val="4246080B"/>
    <w:rsid w:val="42CE24FD"/>
    <w:rsid w:val="42F302DD"/>
    <w:rsid w:val="43260C43"/>
    <w:rsid w:val="438034F8"/>
    <w:rsid w:val="4388321A"/>
    <w:rsid w:val="441A31FF"/>
    <w:rsid w:val="446A3759"/>
    <w:rsid w:val="446B4961"/>
    <w:rsid w:val="449428DA"/>
    <w:rsid w:val="44AC074C"/>
    <w:rsid w:val="44BF2B1E"/>
    <w:rsid w:val="45132E7E"/>
    <w:rsid w:val="45403958"/>
    <w:rsid w:val="456F7A14"/>
    <w:rsid w:val="45787455"/>
    <w:rsid w:val="45B725A0"/>
    <w:rsid w:val="462E25CA"/>
    <w:rsid w:val="46303A17"/>
    <w:rsid w:val="465A58CC"/>
    <w:rsid w:val="46620428"/>
    <w:rsid w:val="46D637ED"/>
    <w:rsid w:val="46DD3F38"/>
    <w:rsid w:val="46F16F1D"/>
    <w:rsid w:val="46FD2CBF"/>
    <w:rsid w:val="472910BD"/>
    <w:rsid w:val="47553E8E"/>
    <w:rsid w:val="477C293C"/>
    <w:rsid w:val="47CA2F97"/>
    <w:rsid w:val="47D84675"/>
    <w:rsid w:val="47E17B3A"/>
    <w:rsid w:val="47FF4104"/>
    <w:rsid w:val="48114111"/>
    <w:rsid w:val="481379C4"/>
    <w:rsid w:val="4816651B"/>
    <w:rsid w:val="481947FE"/>
    <w:rsid w:val="483B043E"/>
    <w:rsid w:val="486B0826"/>
    <w:rsid w:val="486B1D8E"/>
    <w:rsid w:val="48A93D74"/>
    <w:rsid w:val="48D139F6"/>
    <w:rsid w:val="48F56DD6"/>
    <w:rsid w:val="491916C6"/>
    <w:rsid w:val="49573AC8"/>
    <w:rsid w:val="49AA7971"/>
    <w:rsid w:val="49D557A4"/>
    <w:rsid w:val="49FE240E"/>
    <w:rsid w:val="4A0A0AC4"/>
    <w:rsid w:val="4A141151"/>
    <w:rsid w:val="4A316318"/>
    <w:rsid w:val="4A643B84"/>
    <w:rsid w:val="4A777A6A"/>
    <w:rsid w:val="4A791AFA"/>
    <w:rsid w:val="4AC017AB"/>
    <w:rsid w:val="4AC9062D"/>
    <w:rsid w:val="4AE52C42"/>
    <w:rsid w:val="4AF2187D"/>
    <w:rsid w:val="4AFC3953"/>
    <w:rsid w:val="4B103205"/>
    <w:rsid w:val="4B1E385E"/>
    <w:rsid w:val="4B425A6C"/>
    <w:rsid w:val="4B4B4F3A"/>
    <w:rsid w:val="4B6870F9"/>
    <w:rsid w:val="4B6C2969"/>
    <w:rsid w:val="4BCF6DCB"/>
    <w:rsid w:val="4BD06B38"/>
    <w:rsid w:val="4BDF321A"/>
    <w:rsid w:val="4BE962F6"/>
    <w:rsid w:val="4C0065CE"/>
    <w:rsid w:val="4C18241E"/>
    <w:rsid w:val="4C227943"/>
    <w:rsid w:val="4C472142"/>
    <w:rsid w:val="4C5F22C4"/>
    <w:rsid w:val="4C9463A6"/>
    <w:rsid w:val="4CA5648E"/>
    <w:rsid w:val="4CE617D5"/>
    <w:rsid w:val="4DC86CD0"/>
    <w:rsid w:val="4DD62C1F"/>
    <w:rsid w:val="4DF46D27"/>
    <w:rsid w:val="4E367509"/>
    <w:rsid w:val="4E5211BA"/>
    <w:rsid w:val="4E90713C"/>
    <w:rsid w:val="4E9D1D1E"/>
    <w:rsid w:val="4F0E0B1D"/>
    <w:rsid w:val="4FBD41CA"/>
    <w:rsid w:val="4FD246D2"/>
    <w:rsid w:val="50077D56"/>
    <w:rsid w:val="50131451"/>
    <w:rsid w:val="50831BFE"/>
    <w:rsid w:val="50B52FE4"/>
    <w:rsid w:val="50BF2E54"/>
    <w:rsid w:val="51390BE4"/>
    <w:rsid w:val="51C804DE"/>
    <w:rsid w:val="51CF0D4C"/>
    <w:rsid w:val="51E33826"/>
    <w:rsid w:val="51E71C22"/>
    <w:rsid w:val="520C6B50"/>
    <w:rsid w:val="522E62F3"/>
    <w:rsid w:val="52A33960"/>
    <w:rsid w:val="52B476CE"/>
    <w:rsid w:val="52F47A95"/>
    <w:rsid w:val="52F71E1B"/>
    <w:rsid w:val="531645CA"/>
    <w:rsid w:val="531F2A96"/>
    <w:rsid w:val="53262EC9"/>
    <w:rsid w:val="53734149"/>
    <w:rsid w:val="53932760"/>
    <w:rsid w:val="539873E7"/>
    <w:rsid w:val="53B46D0C"/>
    <w:rsid w:val="54087353"/>
    <w:rsid w:val="54375044"/>
    <w:rsid w:val="544232E7"/>
    <w:rsid w:val="54837B70"/>
    <w:rsid w:val="549661B6"/>
    <w:rsid w:val="54D24E79"/>
    <w:rsid w:val="5503429F"/>
    <w:rsid w:val="551027C6"/>
    <w:rsid w:val="552F7315"/>
    <w:rsid w:val="554B0FDD"/>
    <w:rsid w:val="55631D2D"/>
    <w:rsid w:val="55BB1E97"/>
    <w:rsid w:val="55BE587F"/>
    <w:rsid w:val="55C8709D"/>
    <w:rsid w:val="560509A3"/>
    <w:rsid w:val="56126C00"/>
    <w:rsid w:val="56250237"/>
    <w:rsid w:val="564569EB"/>
    <w:rsid w:val="56AB5944"/>
    <w:rsid w:val="56D976B4"/>
    <w:rsid w:val="56F645A2"/>
    <w:rsid w:val="57214861"/>
    <w:rsid w:val="572B4616"/>
    <w:rsid w:val="57541EAD"/>
    <w:rsid w:val="577465D8"/>
    <w:rsid w:val="57AE5029"/>
    <w:rsid w:val="57C23486"/>
    <w:rsid w:val="57D123D3"/>
    <w:rsid w:val="58117CC1"/>
    <w:rsid w:val="581B6D8F"/>
    <w:rsid w:val="582C3384"/>
    <w:rsid w:val="58624A55"/>
    <w:rsid w:val="5881143C"/>
    <w:rsid w:val="59216A89"/>
    <w:rsid w:val="59671A3A"/>
    <w:rsid w:val="59A14E6F"/>
    <w:rsid w:val="59A175DF"/>
    <w:rsid w:val="59B819C2"/>
    <w:rsid w:val="59C4549E"/>
    <w:rsid w:val="59C7668D"/>
    <w:rsid w:val="59FC4729"/>
    <w:rsid w:val="5A0B75E4"/>
    <w:rsid w:val="5A575BFF"/>
    <w:rsid w:val="5A77586F"/>
    <w:rsid w:val="5AA12CBD"/>
    <w:rsid w:val="5ACA65CD"/>
    <w:rsid w:val="5ACC7A53"/>
    <w:rsid w:val="5AE42F12"/>
    <w:rsid w:val="5AE51758"/>
    <w:rsid w:val="5B581F93"/>
    <w:rsid w:val="5B6B529B"/>
    <w:rsid w:val="5BB250E2"/>
    <w:rsid w:val="5BB3320D"/>
    <w:rsid w:val="5BC31A45"/>
    <w:rsid w:val="5BC772C9"/>
    <w:rsid w:val="5C3F6538"/>
    <w:rsid w:val="5C465FA2"/>
    <w:rsid w:val="5C544090"/>
    <w:rsid w:val="5C726BB6"/>
    <w:rsid w:val="5C7322D1"/>
    <w:rsid w:val="5CEF4070"/>
    <w:rsid w:val="5CFC28A8"/>
    <w:rsid w:val="5D246FFC"/>
    <w:rsid w:val="5D36426B"/>
    <w:rsid w:val="5DDA696A"/>
    <w:rsid w:val="5E0C55BA"/>
    <w:rsid w:val="5E410FFD"/>
    <w:rsid w:val="5E544606"/>
    <w:rsid w:val="5E551F89"/>
    <w:rsid w:val="5E8E05EA"/>
    <w:rsid w:val="5EFB61FA"/>
    <w:rsid w:val="5F2C7D02"/>
    <w:rsid w:val="5F7663E9"/>
    <w:rsid w:val="5FB656F9"/>
    <w:rsid w:val="5FBC2CFA"/>
    <w:rsid w:val="5FC53466"/>
    <w:rsid w:val="5FC85BDE"/>
    <w:rsid w:val="5FD13015"/>
    <w:rsid w:val="5FDE21DF"/>
    <w:rsid w:val="60190EE3"/>
    <w:rsid w:val="601D48F2"/>
    <w:rsid w:val="601E31F8"/>
    <w:rsid w:val="602832C7"/>
    <w:rsid w:val="603D1F50"/>
    <w:rsid w:val="603F673E"/>
    <w:rsid w:val="605467C6"/>
    <w:rsid w:val="60D605A1"/>
    <w:rsid w:val="60FC7585"/>
    <w:rsid w:val="61464F6C"/>
    <w:rsid w:val="61515A7F"/>
    <w:rsid w:val="61633E93"/>
    <w:rsid w:val="61A4558D"/>
    <w:rsid w:val="61C32B70"/>
    <w:rsid w:val="61E045CD"/>
    <w:rsid w:val="62016875"/>
    <w:rsid w:val="628B7263"/>
    <w:rsid w:val="62902D58"/>
    <w:rsid w:val="62AE4BDA"/>
    <w:rsid w:val="62C97640"/>
    <w:rsid w:val="62D27C48"/>
    <w:rsid w:val="6307315E"/>
    <w:rsid w:val="63184211"/>
    <w:rsid w:val="631B5AD9"/>
    <w:rsid w:val="633613B5"/>
    <w:rsid w:val="635C575B"/>
    <w:rsid w:val="636863CF"/>
    <w:rsid w:val="63752C12"/>
    <w:rsid w:val="637A0016"/>
    <w:rsid w:val="638C1080"/>
    <w:rsid w:val="63B413CF"/>
    <w:rsid w:val="63C832E6"/>
    <w:rsid w:val="63FF6C27"/>
    <w:rsid w:val="6405263C"/>
    <w:rsid w:val="642454D9"/>
    <w:rsid w:val="644A58BB"/>
    <w:rsid w:val="64613942"/>
    <w:rsid w:val="6464336B"/>
    <w:rsid w:val="64B81776"/>
    <w:rsid w:val="653C5193"/>
    <w:rsid w:val="655C7828"/>
    <w:rsid w:val="65652A5B"/>
    <w:rsid w:val="65CB1350"/>
    <w:rsid w:val="66234F1A"/>
    <w:rsid w:val="66330E7B"/>
    <w:rsid w:val="66351622"/>
    <w:rsid w:val="663E7042"/>
    <w:rsid w:val="665A2304"/>
    <w:rsid w:val="669C6349"/>
    <w:rsid w:val="66A80AC6"/>
    <w:rsid w:val="66F70CBF"/>
    <w:rsid w:val="67144976"/>
    <w:rsid w:val="67202357"/>
    <w:rsid w:val="67603F26"/>
    <w:rsid w:val="67977208"/>
    <w:rsid w:val="67D3264E"/>
    <w:rsid w:val="68024DD3"/>
    <w:rsid w:val="680F332B"/>
    <w:rsid w:val="6832253F"/>
    <w:rsid w:val="685C3C4D"/>
    <w:rsid w:val="687102AD"/>
    <w:rsid w:val="68724B40"/>
    <w:rsid w:val="68902798"/>
    <w:rsid w:val="690C7142"/>
    <w:rsid w:val="69412846"/>
    <w:rsid w:val="695907E9"/>
    <w:rsid w:val="6964290E"/>
    <w:rsid w:val="69706994"/>
    <w:rsid w:val="698304CD"/>
    <w:rsid w:val="69932BAE"/>
    <w:rsid w:val="69A06126"/>
    <w:rsid w:val="69A16FDB"/>
    <w:rsid w:val="69BA6060"/>
    <w:rsid w:val="69D62885"/>
    <w:rsid w:val="69ED079D"/>
    <w:rsid w:val="6A223F21"/>
    <w:rsid w:val="6A4771F0"/>
    <w:rsid w:val="6A641277"/>
    <w:rsid w:val="6A985E45"/>
    <w:rsid w:val="6AAD0001"/>
    <w:rsid w:val="6AB84C10"/>
    <w:rsid w:val="6ACC3B62"/>
    <w:rsid w:val="6AE30427"/>
    <w:rsid w:val="6B1B05C6"/>
    <w:rsid w:val="6B35684E"/>
    <w:rsid w:val="6B6C1D6A"/>
    <w:rsid w:val="6B706DFD"/>
    <w:rsid w:val="6B735145"/>
    <w:rsid w:val="6B76701F"/>
    <w:rsid w:val="6BB64940"/>
    <w:rsid w:val="6BBA5ABD"/>
    <w:rsid w:val="6BC04151"/>
    <w:rsid w:val="6BFF6B53"/>
    <w:rsid w:val="6C161EDD"/>
    <w:rsid w:val="6C17534B"/>
    <w:rsid w:val="6C52384A"/>
    <w:rsid w:val="6C5F577B"/>
    <w:rsid w:val="6C5F6B13"/>
    <w:rsid w:val="6C82745D"/>
    <w:rsid w:val="6C831486"/>
    <w:rsid w:val="6C8C7141"/>
    <w:rsid w:val="6C903E5F"/>
    <w:rsid w:val="6C92595F"/>
    <w:rsid w:val="6CA31D11"/>
    <w:rsid w:val="6CA820A8"/>
    <w:rsid w:val="6CC950A1"/>
    <w:rsid w:val="6CE513BE"/>
    <w:rsid w:val="6CEE595E"/>
    <w:rsid w:val="6CF82160"/>
    <w:rsid w:val="6D094BFA"/>
    <w:rsid w:val="6D1D7324"/>
    <w:rsid w:val="6D283EB3"/>
    <w:rsid w:val="6D476F5C"/>
    <w:rsid w:val="6D524D35"/>
    <w:rsid w:val="6D631E8B"/>
    <w:rsid w:val="6DA45721"/>
    <w:rsid w:val="6DEF5724"/>
    <w:rsid w:val="6E2D7396"/>
    <w:rsid w:val="6E967068"/>
    <w:rsid w:val="6E977E1E"/>
    <w:rsid w:val="6E9A083E"/>
    <w:rsid w:val="6F1013D6"/>
    <w:rsid w:val="6F1830F3"/>
    <w:rsid w:val="6F2C4E6B"/>
    <w:rsid w:val="6F425191"/>
    <w:rsid w:val="6F7502BE"/>
    <w:rsid w:val="6F8E346E"/>
    <w:rsid w:val="6F922D77"/>
    <w:rsid w:val="6FA85985"/>
    <w:rsid w:val="6FEA2DEF"/>
    <w:rsid w:val="70231C9D"/>
    <w:rsid w:val="70411BFE"/>
    <w:rsid w:val="708C386D"/>
    <w:rsid w:val="7093353E"/>
    <w:rsid w:val="70A25D2A"/>
    <w:rsid w:val="70EC15F1"/>
    <w:rsid w:val="70F606D1"/>
    <w:rsid w:val="710C3141"/>
    <w:rsid w:val="71104E62"/>
    <w:rsid w:val="71357785"/>
    <w:rsid w:val="713927A1"/>
    <w:rsid w:val="71426CAF"/>
    <w:rsid w:val="71673F9F"/>
    <w:rsid w:val="719525E5"/>
    <w:rsid w:val="71C43EDF"/>
    <w:rsid w:val="71D12B7B"/>
    <w:rsid w:val="72047D57"/>
    <w:rsid w:val="72563FB1"/>
    <w:rsid w:val="726E28BC"/>
    <w:rsid w:val="729701F7"/>
    <w:rsid w:val="72C13435"/>
    <w:rsid w:val="7332304C"/>
    <w:rsid w:val="73460DCF"/>
    <w:rsid w:val="73685E2B"/>
    <w:rsid w:val="736F51CC"/>
    <w:rsid w:val="73765DF7"/>
    <w:rsid w:val="739C093C"/>
    <w:rsid w:val="739D0315"/>
    <w:rsid w:val="73CE4F10"/>
    <w:rsid w:val="73DE0BF4"/>
    <w:rsid w:val="73EF72A5"/>
    <w:rsid w:val="740166CA"/>
    <w:rsid w:val="741606DE"/>
    <w:rsid w:val="74504BE3"/>
    <w:rsid w:val="746B4618"/>
    <w:rsid w:val="748E187D"/>
    <w:rsid w:val="74CB3C90"/>
    <w:rsid w:val="74F727ED"/>
    <w:rsid w:val="75395A4F"/>
    <w:rsid w:val="75A62599"/>
    <w:rsid w:val="75C718AC"/>
    <w:rsid w:val="75E5168E"/>
    <w:rsid w:val="75E65018"/>
    <w:rsid w:val="75FD7923"/>
    <w:rsid w:val="760C615E"/>
    <w:rsid w:val="764536B8"/>
    <w:rsid w:val="764C1E95"/>
    <w:rsid w:val="765340BE"/>
    <w:rsid w:val="76600B0B"/>
    <w:rsid w:val="76970C04"/>
    <w:rsid w:val="76AC2216"/>
    <w:rsid w:val="76EC025F"/>
    <w:rsid w:val="76F84AA9"/>
    <w:rsid w:val="77104195"/>
    <w:rsid w:val="77532B5B"/>
    <w:rsid w:val="77A72B49"/>
    <w:rsid w:val="77B93D3D"/>
    <w:rsid w:val="77BA48A1"/>
    <w:rsid w:val="77EA45C3"/>
    <w:rsid w:val="77F3515D"/>
    <w:rsid w:val="77F537AF"/>
    <w:rsid w:val="78427D95"/>
    <w:rsid w:val="78CE3373"/>
    <w:rsid w:val="78EA06B1"/>
    <w:rsid w:val="79303653"/>
    <w:rsid w:val="79332894"/>
    <w:rsid w:val="79432FDA"/>
    <w:rsid w:val="794E031B"/>
    <w:rsid w:val="796340FE"/>
    <w:rsid w:val="79900E13"/>
    <w:rsid w:val="79F651E3"/>
    <w:rsid w:val="7A0539F1"/>
    <w:rsid w:val="7A4A0DFD"/>
    <w:rsid w:val="7A552236"/>
    <w:rsid w:val="7A735659"/>
    <w:rsid w:val="7A7E0068"/>
    <w:rsid w:val="7AC17447"/>
    <w:rsid w:val="7AD70C9B"/>
    <w:rsid w:val="7ADA5B3C"/>
    <w:rsid w:val="7B4531F1"/>
    <w:rsid w:val="7B4D07FD"/>
    <w:rsid w:val="7BAB3DF5"/>
    <w:rsid w:val="7BD26364"/>
    <w:rsid w:val="7BDB29F1"/>
    <w:rsid w:val="7BF87D2D"/>
    <w:rsid w:val="7C215CCC"/>
    <w:rsid w:val="7C2F53CB"/>
    <w:rsid w:val="7C3A3603"/>
    <w:rsid w:val="7C461D0D"/>
    <w:rsid w:val="7C485C63"/>
    <w:rsid w:val="7C921903"/>
    <w:rsid w:val="7CA834CE"/>
    <w:rsid w:val="7CB9036C"/>
    <w:rsid w:val="7D047631"/>
    <w:rsid w:val="7D3475DB"/>
    <w:rsid w:val="7D771F95"/>
    <w:rsid w:val="7D942460"/>
    <w:rsid w:val="7DDD5D1F"/>
    <w:rsid w:val="7DEF4A1C"/>
    <w:rsid w:val="7E0B3754"/>
    <w:rsid w:val="7E3C4D54"/>
    <w:rsid w:val="7E563F68"/>
    <w:rsid w:val="7EC40A24"/>
    <w:rsid w:val="7EDF5F74"/>
    <w:rsid w:val="7F171963"/>
    <w:rsid w:val="7F270DFD"/>
    <w:rsid w:val="7F4659A6"/>
    <w:rsid w:val="7F5F072D"/>
    <w:rsid w:val="7F711C25"/>
    <w:rsid w:val="7F733C1D"/>
    <w:rsid w:val="7FC50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9"/>
    <w:qFormat/>
    <w:uiPriority w:val="0"/>
    <w:pPr>
      <w:keepNext/>
      <w:jc w:val="center"/>
      <w:outlineLvl w:val="0"/>
    </w:pPr>
    <w:rPr>
      <w:rFonts w:eastAsia="黑体"/>
      <w:b/>
      <w:sz w:val="32"/>
      <w:szCs w:val="20"/>
    </w:rPr>
  </w:style>
  <w:style w:type="paragraph" w:styleId="5">
    <w:name w:val="heading 2"/>
    <w:basedOn w:val="1"/>
    <w:next w:val="1"/>
    <w:link w:val="67"/>
    <w:qFormat/>
    <w:uiPriority w:val="0"/>
    <w:pPr>
      <w:keepNext/>
      <w:outlineLvl w:val="1"/>
    </w:pPr>
    <w:rPr>
      <w:rFonts w:ascii="仿宋_GB2312"/>
      <w:b/>
      <w:sz w:val="28"/>
      <w:szCs w:val="32"/>
    </w:rPr>
  </w:style>
  <w:style w:type="paragraph" w:styleId="6">
    <w:name w:val="heading 3"/>
    <w:basedOn w:val="1"/>
    <w:next w:val="1"/>
    <w:link w:val="152"/>
    <w:qFormat/>
    <w:uiPriority w:val="0"/>
    <w:pPr>
      <w:keepNext/>
      <w:keepLines/>
      <w:spacing w:line="540" w:lineRule="atLeast"/>
      <w:outlineLvl w:val="2"/>
    </w:pPr>
    <w:rPr>
      <w:rFonts w:eastAsia="黑体"/>
      <w:b/>
      <w:sz w:val="28"/>
      <w:szCs w:val="20"/>
    </w:rPr>
  </w:style>
  <w:style w:type="paragraph" w:styleId="7">
    <w:name w:val="heading 4"/>
    <w:basedOn w:val="1"/>
    <w:next w:val="1"/>
    <w:link w:val="149"/>
    <w:qFormat/>
    <w:uiPriority w:val="0"/>
    <w:pPr>
      <w:keepNext/>
      <w:keepLines/>
      <w:spacing w:line="540" w:lineRule="atLeast"/>
      <w:outlineLvl w:val="3"/>
    </w:pPr>
    <w:rPr>
      <w:sz w:val="28"/>
      <w:szCs w:val="28"/>
    </w:rPr>
  </w:style>
  <w:style w:type="paragraph" w:styleId="8">
    <w:name w:val="heading 5"/>
    <w:basedOn w:val="1"/>
    <w:next w:val="1"/>
    <w:link w:val="132"/>
    <w:qFormat/>
    <w:uiPriority w:val="0"/>
    <w:pPr>
      <w:keepNext/>
      <w:keepLines/>
      <w:spacing w:before="280" w:after="290" w:line="372" w:lineRule="auto"/>
      <w:outlineLvl w:val="4"/>
    </w:pPr>
    <w:rPr>
      <w:b/>
      <w:bCs/>
      <w:kern w:val="0"/>
      <w:sz w:val="28"/>
      <w:szCs w:val="28"/>
    </w:rPr>
  </w:style>
  <w:style w:type="paragraph" w:styleId="9">
    <w:name w:val="heading 6"/>
    <w:basedOn w:val="1"/>
    <w:next w:val="2"/>
    <w:link w:val="173"/>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2"/>
    <w:link w:val="70"/>
    <w:qFormat/>
    <w:uiPriority w:val="0"/>
    <w:pPr>
      <w:keepNext/>
      <w:keepLines/>
      <w:spacing w:before="240" w:after="64" w:line="317" w:lineRule="auto"/>
      <w:outlineLvl w:val="6"/>
    </w:pPr>
    <w:rPr>
      <w:b/>
      <w:sz w:val="24"/>
      <w:szCs w:val="20"/>
    </w:rPr>
  </w:style>
  <w:style w:type="paragraph" w:styleId="11">
    <w:name w:val="heading 8"/>
    <w:basedOn w:val="1"/>
    <w:next w:val="2"/>
    <w:link w:val="176"/>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2"/>
    <w:link w:val="163"/>
    <w:qFormat/>
    <w:uiPriority w:val="0"/>
    <w:pPr>
      <w:keepNext/>
      <w:keepLines/>
      <w:spacing w:before="240" w:after="64" w:line="317" w:lineRule="auto"/>
      <w:outlineLvl w:val="8"/>
    </w:pPr>
    <w:rPr>
      <w:rFonts w:ascii="Arial" w:hAnsi="Arial" w:eastAsia="黑体"/>
      <w:szCs w:val="20"/>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05"/>
    <w:qFormat/>
    <w:uiPriority w:val="0"/>
    <w:pPr>
      <w:adjustRightInd w:val="0"/>
      <w:spacing w:line="312" w:lineRule="atLeast"/>
      <w:ind w:firstLine="420"/>
      <w:textAlignment w:val="baseline"/>
    </w:pPr>
    <w:rPr>
      <w:rFonts w:ascii="仿宋_GB2312"/>
      <w:b/>
      <w:kern w:val="0"/>
      <w:szCs w:val="32"/>
    </w:rPr>
  </w:style>
  <w:style w:type="paragraph" w:styleId="3">
    <w:name w:val="macro"/>
    <w:link w:val="11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2"/>
    <w:basedOn w:val="1"/>
    <w:qFormat/>
    <w:uiPriority w:val="0"/>
    <w:pPr>
      <w:numPr>
        <w:ilvl w:val="0"/>
        <w:numId w:val="1"/>
      </w:numPr>
    </w:pPr>
  </w:style>
  <w:style w:type="paragraph" w:styleId="15">
    <w:name w:val="List Number"/>
    <w:basedOn w:val="1"/>
    <w:qFormat/>
    <w:uiPriority w:val="0"/>
    <w:pPr>
      <w:tabs>
        <w:tab w:val="left" w:pos="360"/>
      </w:tabs>
      <w:ind w:left="360" w:hanging="360" w:hangingChars="200"/>
    </w:pPr>
  </w:style>
  <w:style w:type="paragraph" w:styleId="16">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7">
    <w:name w:val="List Bullet"/>
    <w:basedOn w:val="1"/>
    <w:qFormat/>
    <w:uiPriority w:val="0"/>
    <w:pPr>
      <w:tabs>
        <w:tab w:val="left" w:pos="360"/>
      </w:tabs>
    </w:pPr>
    <w:rPr>
      <w:rFonts w:ascii="Calibri" w:hAnsi="Calibri"/>
      <w:szCs w:val="22"/>
    </w:rPr>
  </w:style>
  <w:style w:type="paragraph" w:styleId="18">
    <w:name w:val="Document Map"/>
    <w:basedOn w:val="1"/>
    <w:link w:val="131"/>
    <w:qFormat/>
    <w:uiPriority w:val="0"/>
    <w:pPr>
      <w:shd w:val="clear" w:color="auto" w:fill="000080"/>
    </w:pPr>
  </w:style>
  <w:style w:type="paragraph" w:styleId="19">
    <w:name w:val="annotation text"/>
    <w:basedOn w:val="1"/>
    <w:link w:val="91"/>
    <w:qFormat/>
    <w:uiPriority w:val="0"/>
    <w:pPr>
      <w:jc w:val="left"/>
    </w:pPr>
  </w:style>
  <w:style w:type="paragraph" w:styleId="20">
    <w:name w:val="Salutation"/>
    <w:basedOn w:val="1"/>
    <w:next w:val="1"/>
    <w:link w:val="79"/>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1">
    <w:name w:val="Body Text 3"/>
    <w:basedOn w:val="1"/>
    <w:link w:val="95"/>
    <w:qFormat/>
    <w:uiPriority w:val="0"/>
    <w:pPr>
      <w:autoSpaceDE w:val="0"/>
      <w:autoSpaceDN w:val="0"/>
      <w:adjustRightInd w:val="0"/>
      <w:jc w:val="center"/>
    </w:pPr>
  </w:style>
  <w:style w:type="paragraph" w:styleId="22">
    <w:name w:val="Body Text"/>
    <w:basedOn w:val="1"/>
    <w:next w:val="1"/>
    <w:link w:val="164"/>
    <w:qFormat/>
    <w:uiPriority w:val="0"/>
    <w:pPr>
      <w:spacing w:after="120"/>
    </w:pPr>
    <w:rPr>
      <w:rFonts w:ascii="仿宋_GB2312"/>
      <w:b/>
    </w:rPr>
  </w:style>
  <w:style w:type="paragraph" w:styleId="23">
    <w:name w:val="Body Text Indent"/>
    <w:basedOn w:val="1"/>
    <w:next w:val="24"/>
    <w:link w:val="144"/>
    <w:qFormat/>
    <w:uiPriority w:val="0"/>
    <w:pPr>
      <w:ind w:left="480" w:hanging="480" w:hangingChars="200"/>
    </w:pPr>
    <w:rPr>
      <w:sz w:val="24"/>
    </w:rPr>
  </w:style>
  <w:style w:type="paragraph" w:styleId="24">
    <w:name w:val="Body Text First Indent 2"/>
    <w:basedOn w:val="23"/>
    <w:qFormat/>
    <w:uiPriority w:val="0"/>
    <w:pPr>
      <w:spacing w:after="120"/>
      <w:ind w:left="420" w:leftChars="200" w:firstLine="420"/>
    </w:pPr>
    <w:rPr>
      <w:rFonts w:cs="宋体"/>
      <w:sz w:val="21"/>
      <w:szCs w:val="21"/>
    </w:rPr>
  </w:style>
  <w:style w:type="paragraph" w:styleId="25">
    <w:name w:val="List Number 3"/>
    <w:basedOn w:val="1"/>
    <w:qFormat/>
    <w:uiPriority w:val="0"/>
    <w:pPr>
      <w:tabs>
        <w:tab w:val="left" w:pos="1200"/>
      </w:tabs>
      <w:ind w:left="1200" w:leftChars="400" w:hanging="360" w:hangingChars="200"/>
    </w:pPr>
  </w:style>
  <w:style w:type="paragraph" w:styleId="26">
    <w:name w:val="Block Text"/>
    <w:basedOn w:val="1"/>
    <w:qFormat/>
    <w:uiPriority w:val="0"/>
    <w:pPr>
      <w:spacing w:line="520" w:lineRule="exact"/>
      <w:ind w:left="540" w:leftChars="257" w:right="-514"/>
    </w:pPr>
    <w:rPr>
      <w:rFonts w:ascii="宋体" w:hAnsi="宋体"/>
      <w:sz w:val="24"/>
    </w:rPr>
  </w:style>
  <w:style w:type="paragraph" w:styleId="27">
    <w:name w:val="List Bullet 2"/>
    <w:basedOn w:val="1"/>
    <w:qFormat/>
    <w:uiPriority w:val="0"/>
    <w:pPr>
      <w:tabs>
        <w:tab w:val="left" w:pos="780"/>
      </w:tabs>
      <w:spacing w:line="360" w:lineRule="auto"/>
      <w:ind w:left="780" w:leftChars="200" w:hanging="360" w:hangingChars="200"/>
    </w:pPr>
  </w:style>
  <w:style w:type="paragraph" w:styleId="28">
    <w:name w:val="toc 5"/>
    <w:basedOn w:val="1"/>
    <w:next w:val="1"/>
    <w:qFormat/>
    <w:uiPriority w:val="0"/>
    <w:pPr>
      <w:autoSpaceDE w:val="0"/>
      <w:autoSpaceDN w:val="0"/>
      <w:adjustRightInd w:val="0"/>
      <w:ind w:left="1680" w:leftChars="800"/>
      <w:jc w:val="left"/>
    </w:pPr>
    <w:rPr>
      <w:kern w:val="0"/>
      <w:sz w:val="20"/>
      <w:szCs w:val="20"/>
    </w:rPr>
  </w:style>
  <w:style w:type="paragraph" w:styleId="29">
    <w:name w:val="toc 3"/>
    <w:basedOn w:val="1"/>
    <w:next w:val="1"/>
    <w:qFormat/>
    <w:uiPriority w:val="0"/>
    <w:pPr>
      <w:ind w:left="840" w:leftChars="400"/>
    </w:pPr>
  </w:style>
  <w:style w:type="paragraph" w:styleId="30">
    <w:name w:val="Plain Text"/>
    <w:basedOn w:val="1"/>
    <w:link w:val="192"/>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1">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2">
    <w:name w:val="toc 8"/>
    <w:basedOn w:val="1"/>
    <w:next w:val="1"/>
    <w:qFormat/>
    <w:uiPriority w:val="0"/>
    <w:pPr>
      <w:autoSpaceDE w:val="0"/>
      <w:autoSpaceDN w:val="0"/>
      <w:adjustRightInd w:val="0"/>
      <w:ind w:left="2940" w:leftChars="1400"/>
      <w:jc w:val="left"/>
    </w:pPr>
    <w:rPr>
      <w:kern w:val="0"/>
      <w:sz w:val="20"/>
      <w:szCs w:val="20"/>
    </w:rPr>
  </w:style>
  <w:style w:type="paragraph" w:styleId="33">
    <w:name w:val="Date"/>
    <w:basedOn w:val="1"/>
    <w:next w:val="1"/>
    <w:link w:val="133"/>
    <w:qFormat/>
    <w:uiPriority w:val="0"/>
    <w:pPr>
      <w:ind w:left="100" w:leftChars="2500"/>
    </w:pPr>
  </w:style>
  <w:style w:type="paragraph" w:styleId="34">
    <w:name w:val="Body Text Indent 2"/>
    <w:basedOn w:val="1"/>
    <w:link w:val="178"/>
    <w:qFormat/>
    <w:uiPriority w:val="0"/>
    <w:pPr>
      <w:spacing w:line="500" w:lineRule="exact"/>
      <w:ind w:firstLine="511" w:firstLineChars="213"/>
    </w:pPr>
    <w:rPr>
      <w:sz w:val="24"/>
    </w:rPr>
  </w:style>
  <w:style w:type="paragraph" w:styleId="35">
    <w:name w:val="Balloon Text"/>
    <w:basedOn w:val="1"/>
    <w:link w:val="151"/>
    <w:qFormat/>
    <w:uiPriority w:val="0"/>
    <w:rPr>
      <w:sz w:val="18"/>
      <w:szCs w:val="18"/>
    </w:rPr>
  </w:style>
  <w:style w:type="paragraph" w:styleId="36">
    <w:name w:val="footer"/>
    <w:basedOn w:val="1"/>
    <w:link w:val="120"/>
    <w:qFormat/>
    <w:uiPriority w:val="0"/>
    <w:pPr>
      <w:tabs>
        <w:tab w:val="center" w:pos="4153"/>
        <w:tab w:val="right" w:pos="8306"/>
      </w:tabs>
      <w:snapToGrid w:val="0"/>
      <w:jc w:val="left"/>
    </w:pPr>
    <w:rPr>
      <w:sz w:val="18"/>
      <w:szCs w:val="18"/>
    </w:rPr>
  </w:style>
  <w:style w:type="paragraph" w:styleId="37">
    <w:name w:val="header"/>
    <w:basedOn w:val="1"/>
    <w:link w:val="135"/>
    <w:qFormat/>
    <w:uiPriority w:val="0"/>
    <w:pPr>
      <w:pBdr>
        <w:bottom w:val="single" w:color="auto" w:sz="6" w:space="1"/>
      </w:pBdr>
      <w:tabs>
        <w:tab w:val="center" w:pos="4153"/>
        <w:tab w:val="right" w:pos="8306"/>
      </w:tabs>
      <w:snapToGrid w:val="0"/>
      <w:jc w:val="center"/>
    </w:pPr>
    <w:rPr>
      <w:sz w:val="18"/>
      <w:szCs w:val="18"/>
    </w:rPr>
  </w:style>
  <w:style w:type="paragraph" w:styleId="38">
    <w:name w:val="Signature"/>
    <w:basedOn w:val="1"/>
    <w:link w:val="154"/>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39">
    <w:name w:val="toc 1"/>
    <w:basedOn w:val="1"/>
    <w:next w:val="1"/>
    <w:qFormat/>
    <w:uiPriority w:val="0"/>
  </w:style>
  <w:style w:type="paragraph" w:styleId="40">
    <w:name w:val="toc 4"/>
    <w:basedOn w:val="1"/>
    <w:next w:val="1"/>
    <w:qFormat/>
    <w:uiPriority w:val="0"/>
    <w:pPr>
      <w:autoSpaceDE w:val="0"/>
      <w:autoSpaceDN w:val="0"/>
      <w:adjustRightInd w:val="0"/>
      <w:ind w:left="1260" w:leftChars="600"/>
      <w:jc w:val="left"/>
    </w:pPr>
    <w:rPr>
      <w:kern w:val="0"/>
      <w:sz w:val="20"/>
      <w:szCs w:val="20"/>
    </w:rPr>
  </w:style>
  <w:style w:type="paragraph" w:styleId="41">
    <w:name w:val="Subtitle"/>
    <w:basedOn w:val="1"/>
    <w:next w:val="1"/>
    <w:link w:val="134"/>
    <w:qFormat/>
    <w:uiPriority w:val="0"/>
    <w:pPr>
      <w:spacing w:before="240" w:after="60" w:line="312" w:lineRule="auto"/>
      <w:jc w:val="center"/>
      <w:outlineLvl w:val="1"/>
    </w:pPr>
    <w:rPr>
      <w:rFonts w:ascii="Cambria" w:hAnsi="Cambria"/>
      <w:b/>
      <w:bCs/>
      <w:kern w:val="28"/>
      <w:sz w:val="32"/>
      <w:szCs w:val="32"/>
    </w:rPr>
  </w:style>
  <w:style w:type="paragraph" w:styleId="42">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3">
    <w:name w:val="List"/>
    <w:basedOn w:val="1"/>
    <w:qFormat/>
    <w:uiPriority w:val="0"/>
    <w:pPr>
      <w:ind w:left="200" w:hanging="200" w:hangingChars="200"/>
    </w:pPr>
  </w:style>
  <w:style w:type="paragraph" w:styleId="44">
    <w:name w:val="toc 6"/>
    <w:basedOn w:val="1"/>
    <w:next w:val="1"/>
    <w:qFormat/>
    <w:uiPriority w:val="0"/>
    <w:pPr>
      <w:autoSpaceDE w:val="0"/>
      <w:autoSpaceDN w:val="0"/>
      <w:adjustRightInd w:val="0"/>
      <w:ind w:left="2100" w:leftChars="1000"/>
      <w:jc w:val="left"/>
    </w:pPr>
    <w:rPr>
      <w:kern w:val="0"/>
      <w:sz w:val="20"/>
      <w:szCs w:val="20"/>
    </w:rPr>
  </w:style>
  <w:style w:type="paragraph" w:styleId="45">
    <w:name w:val="Body Text Indent 3"/>
    <w:basedOn w:val="1"/>
    <w:link w:val="146"/>
    <w:qFormat/>
    <w:uiPriority w:val="0"/>
    <w:pPr>
      <w:spacing w:line="500" w:lineRule="exact"/>
      <w:ind w:left="511" w:hanging="511" w:hangingChars="213"/>
    </w:pPr>
    <w:rPr>
      <w:sz w:val="24"/>
    </w:rPr>
  </w:style>
  <w:style w:type="paragraph" w:styleId="46">
    <w:name w:val="toc 2"/>
    <w:basedOn w:val="1"/>
    <w:next w:val="1"/>
    <w:qFormat/>
    <w:uiPriority w:val="0"/>
    <w:pPr>
      <w:ind w:left="420" w:leftChars="200"/>
    </w:pPr>
  </w:style>
  <w:style w:type="paragraph" w:styleId="47">
    <w:name w:val="toc 9"/>
    <w:basedOn w:val="1"/>
    <w:next w:val="1"/>
    <w:qFormat/>
    <w:uiPriority w:val="0"/>
    <w:pPr>
      <w:autoSpaceDE w:val="0"/>
      <w:autoSpaceDN w:val="0"/>
      <w:adjustRightInd w:val="0"/>
      <w:ind w:left="3360" w:leftChars="1600"/>
      <w:jc w:val="left"/>
    </w:pPr>
    <w:rPr>
      <w:kern w:val="0"/>
      <w:sz w:val="20"/>
      <w:szCs w:val="20"/>
    </w:rPr>
  </w:style>
  <w:style w:type="paragraph" w:styleId="48">
    <w:name w:val="Body Text 2"/>
    <w:basedOn w:val="1"/>
    <w:link w:val="198"/>
    <w:qFormat/>
    <w:uiPriority w:val="0"/>
    <w:pPr>
      <w:autoSpaceDE w:val="0"/>
      <w:autoSpaceDN w:val="0"/>
      <w:adjustRightInd w:val="0"/>
      <w:spacing w:after="120" w:line="480" w:lineRule="auto"/>
      <w:jc w:val="left"/>
    </w:pPr>
  </w:style>
  <w:style w:type="paragraph" w:styleId="4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0">
    <w:name w:val="Title"/>
    <w:basedOn w:val="1"/>
    <w:next w:val="1"/>
    <w:link w:val="111"/>
    <w:qFormat/>
    <w:uiPriority w:val="0"/>
    <w:pPr>
      <w:spacing w:before="240" w:after="60"/>
      <w:jc w:val="center"/>
      <w:outlineLvl w:val="0"/>
    </w:pPr>
    <w:rPr>
      <w:rFonts w:ascii="Cambria" w:hAnsi="Cambria"/>
      <w:b/>
      <w:bCs/>
      <w:sz w:val="32"/>
      <w:szCs w:val="32"/>
    </w:rPr>
  </w:style>
  <w:style w:type="paragraph" w:styleId="51">
    <w:name w:val="annotation subject"/>
    <w:basedOn w:val="19"/>
    <w:next w:val="19"/>
    <w:link w:val="96"/>
    <w:qFormat/>
    <w:uiPriority w:val="0"/>
    <w:rPr>
      <w:b/>
      <w:bCs/>
    </w:rPr>
  </w:style>
  <w:style w:type="paragraph" w:styleId="52">
    <w:name w:val="Body Text First Indent"/>
    <w:basedOn w:val="22"/>
    <w:link w:val="196"/>
    <w:qFormat/>
    <w:uiPriority w:val="0"/>
    <w:pPr>
      <w:autoSpaceDE w:val="0"/>
      <w:autoSpaceDN w:val="0"/>
      <w:adjustRightInd w:val="0"/>
      <w:ind w:firstLine="420" w:firstLineChars="100"/>
      <w:jc w:val="left"/>
    </w:pPr>
    <w:rPr>
      <w:rFonts w:ascii="Times New Roman"/>
      <w:b w:val="0"/>
      <w:kern w:val="0"/>
      <w:sz w:val="20"/>
      <w:szCs w:val="20"/>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basedOn w:val="55"/>
    <w:qFormat/>
    <w:uiPriority w:val="0"/>
    <w:rPr>
      <w:rFonts w:ascii="仿宋_GB2312" w:eastAsia="仿宋_GB2312"/>
      <w:bCs/>
      <w:sz w:val="32"/>
      <w:szCs w:val="32"/>
    </w:rPr>
  </w:style>
  <w:style w:type="character" w:styleId="57">
    <w:name w:val="page number"/>
    <w:basedOn w:val="55"/>
    <w:qFormat/>
    <w:uiPriority w:val="0"/>
  </w:style>
  <w:style w:type="character" w:styleId="58">
    <w:name w:val="FollowedHyperlink"/>
    <w:qFormat/>
    <w:uiPriority w:val="0"/>
    <w:rPr>
      <w:rFonts w:ascii="仿宋_GB2312" w:eastAsia="仿宋_GB2312"/>
      <w:b/>
      <w:color w:val="800080"/>
      <w:sz w:val="32"/>
      <w:szCs w:val="32"/>
      <w:u w:val="none"/>
    </w:rPr>
  </w:style>
  <w:style w:type="character" w:styleId="59">
    <w:name w:val="Emphasis"/>
    <w:qFormat/>
    <w:uiPriority w:val="0"/>
    <w:rPr>
      <w:i/>
      <w:iCs/>
    </w:rPr>
  </w:style>
  <w:style w:type="character" w:styleId="60">
    <w:name w:val="line number"/>
    <w:basedOn w:val="55"/>
    <w:qFormat/>
    <w:uiPriority w:val="0"/>
  </w:style>
  <w:style w:type="character" w:styleId="61">
    <w:name w:val="Hyperlink"/>
    <w:qFormat/>
    <w:uiPriority w:val="0"/>
    <w:rPr>
      <w:rFonts w:ascii="仿宋_GB2312" w:eastAsia="仿宋_GB2312"/>
      <w:b/>
      <w:color w:val="0000FF"/>
      <w:sz w:val="32"/>
      <w:szCs w:val="32"/>
      <w:u w:val="none"/>
    </w:rPr>
  </w:style>
  <w:style w:type="character" w:styleId="62">
    <w:name w:val="annotation reference"/>
    <w:qFormat/>
    <w:uiPriority w:val="0"/>
    <w:rPr>
      <w:sz w:val="21"/>
      <w:szCs w:val="21"/>
    </w:rPr>
  </w:style>
  <w:style w:type="character" w:styleId="63">
    <w:name w:val="HTML Cite"/>
    <w:qFormat/>
    <w:uiPriority w:val="0"/>
    <w:rPr>
      <w:color w:val="008000"/>
    </w:rPr>
  </w:style>
  <w:style w:type="paragraph" w:customStyle="1" w:styleId="64">
    <w:name w:val="Char3 Char Char Char"/>
    <w:basedOn w:val="1"/>
    <w:qFormat/>
    <w:uiPriority w:val="0"/>
  </w:style>
  <w:style w:type="character" w:customStyle="1" w:styleId="65">
    <w:name w:val="不明显参考1"/>
    <w:qFormat/>
    <w:uiPriority w:val="0"/>
    <w:rPr>
      <w:smallCaps/>
      <w:color w:val="C0504D"/>
      <w:u w:val="single"/>
    </w:rPr>
  </w:style>
  <w:style w:type="character" w:customStyle="1" w:styleId="66">
    <w:name w:val="PI Char1"/>
    <w:qFormat/>
    <w:uiPriority w:val="0"/>
    <w:rPr>
      <w:rFonts w:eastAsia="宋体"/>
      <w:kern w:val="2"/>
      <w:sz w:val="24"/>
      <w:szCs w:val="24"/>
      <w:lang w:val="en-US" w:eastAsia="zh-CN" w:bidi="ar-SA"/>
    </w:rPr>
  </w:style>
  <w:style w:type="character" w:customStyle="1" w:styleId="67">
    <w:name w:val="标题 2 Char"/>
    <w:link w:val="5"/>
    <w:qFormat/>
    <w:uiPriority w:val="0"/>
    <w:rPr>
      <w:rFonts w:ascii="仿宋_GB2312" w:eastAsia="宋体"/>
      <w:b/>
      <w:kern w:val="2"/>
      <w:sz w:val="28"/>
      <w:szCs w:val="32"/>
      <w:lang w:val="en-US" w:eastAsia="zh-CN" w:bidi="ar-SA"/>
    </w:rPr>
  </w:style>
  <w:style w:type="character" w:customStyle="1" w:styleId="68">
    <w:name w:val="pt141"/>
    <w:qFormat/>
    <w:uiPriority w:val="0"/>
    <w:rPr>
      <w:color w:val="330066"/>
      <w:spacing w:val="450"/>
      <w:sz w:val="22"/>
      <w:szCs w:val="22"/>
    </w:rPr>
  </w:style>
  <w:style w:type="character" w:customStyle="1" w:styleId="69">
    <w:name w:val="Char Char27"/>
    <w:qFormat/>
    <w:uiPriority w:val="0"/>
    <w:rPr>
      <w:rFonts w:eastAsia="宋体"/>
      <w:kern w:val="2"/>
      <w:sz w:val="28"/>
      <w:lang w:val="en-US" w:eastAsia="zh-CN" w:bidi="ar-SA"/>
    </w:rPr>
  </w:style>
  <w:style w:type="character" w:customStyle="1" w:styleId="70">
    <w:name w:val="标题 7 Char"/>
    <w:link w:val="10"/>
    <w:qFormat/>
    <w:uiPriority w:val="0"/>
    <w:rPr>
      <w:rFonts w:eastAsia="宋体"/>
      <w:b/>
      <w:kern w:val="2"/>
      <w:sz w:val="24"/>
      <w:lang w:val="en-US" w:eastAsia="zh-CN" w:bidi="ar-SA"/>
    </w:rPr>
  </w:style>
  <w:style w:type="character" w:customStyle="1" w:styleId="71">
    <w:name w:val="明显参考1"/>
    <w:qFormat/>
    <w:uiPriority w:val="0"/>
    <w:rPr>
      <w:b/>
      <w:bCs/>
      <w:smallCaps/>
      <w:color w:val="C0504D"/>
      <w:spacing w:val="5"/>
      <w:u w:val="single"/>
    </w:rPr>
  </w:style>
  <w:style w:type="character" w:customStyle="1" w:styleId="72">
    <w:name w:val="书籍标题1"/>
    <w:qFormat/>
    <w:uiPriority w:val="0"/>
    <w:rPr>
      <w:b/>
      <w:bCs/>
      <w:smallCaps/>
      <w:spacing w:val="5"/>
    </w:rPr>
  </w:style>
  <w:style w:type="character" w:customStyle="1" w:styleId="73">
    <w:name w:val="Char Char61"/>
    <w:qFormat/>
    <w:uiPriority w:val="0"/>
    <w:rPr>
      <w:rFonts w:ascii="Times New Roman" w:hAnsi="Times New Roman" w:eastAsia="宋体" w:cs="Times New Roman"/>
      <w:szCs w:val="24"/>
    </w:rPr>
  </w:style>
  <w:style w:type="character" w:customStyle="1" w:styleId="74">
    <w:name w:val="Char Char24"/>
    <w:qFormat/>
    <w:uiPriority w:val="0"/>
    <w:rPr>
      <w:rFonts w:eastAsia="宋体"/>
      <w:b/>
      <w:kern w:val="2"/>
      <w:sz w:val="28"/>
      <w:lang w:val="en-US" w:eastAsia="zh-CN" w:bidi="ar-SA"/>
    </w:rPr>
  </w:style>
  <w:style w:type="character" w:customStyle="1" w:styleId="75">
    <w:name w:val="Style4"/>
    <w:qFormat/>
    <w:uiPriority w:val="0"/>
    <w:rPr>
      <w:rFonts w:ascii="Calibri" w:hAnsi="宋体" w:eastAsia="宋体" w:cs="Times New Roman"/>
      <w:szCs w:val="22"/>
      <w:lang w:eastAsia="zh-CN"/>
    </w:rPr>
  </w:style>
  <w:style w:type="character" w:customStyle="1" w:styleId="76">
    <w:name w:val="Style1"/>
    <w:qFormat/>
    <w:uiPriority w:val="0"/>
    <w:rPr>
      <w:rFonts w:ascii="Calibri" w:hAnsi="宋体" w:eastAsia="宋体" w:cs="Times New Roman"/>
      <w:sz w:val="22"/>
      <w:szCs w:val="22"/>
      <w:lang w:eastAsia="zh-CN"/>
    </w:rPr>
  </w:style>
  <w:style w:type="character" w:customStyle="1" w:styleId="77">
    <w:name w:val="heading 1 Char1"/>
    <w:qFormat/>
    <w:uiPriority w:val="0"/>
    <w:rPr>
      <w:rFonts w:eastAsia="宋体"/>
      <w:b/>
      <w:bCs/>
      <w:kern w:val="44"/>
      <w:sz w:val="44"/>
      <w:szCs w:val="44"/>
      <w:lang w:val="en-US" w:eastAsia="zh-CN" w:bidi="ar-SA"/>
    </w:rPr>
  </w:style>
  <w:style w:type="character" w:customStyle="1" w:styleId="78">
    <w:name w:val="Style5"/>
    <w:qFormat/>
    <w:uiPriority w:val="0"/>
    <w:rPr>
      <w:rFonts w:ascii="Calibri" w:hAnsi="宋体" w:eastAsia="宋体" w:cs="Times New Roman"/>
      <w:sz w:val="22"/>
      <w:szCs w:val="22"/>
      <w:lang w:eastAsia="zh-CN"/>
    </w:rPr>
  </w:style>
  <w:style w:type="character" w:customStyle="1" w:styleId="79">
    <w:name w:val="称呼 Char"/>
    <w:link w:val="20"/>
    <w:qFormat/>
    <w:uiPriority w:val="0"/>
    <w:rPr>
      <w:rFonts w:ascii="仿宋_GB2312" w:eastAsia="仿宋_GB2312"/>
      <w:b/>
      <w:sz w:val="24"/>
      <w:szCs w:val="32"/>
    </w:rPr>
  </w:style>
  <w:style w:type="character" w:customStyle="1" w:styleId="80">
    <w:name w:val="Ò³Ã¼ Char Char2"/>
    <w:qFormat/>
    <w:uiPriority w:val="0"/>
    <w:rPr>
      <w:kern w:val="2"/>
      <w:sz w:val="18"/>
      <w:szCs w:val="18"/>
    </w:rPr>
  </w:style>
  <w:style w:type="character" w:customStyle="1" w:styleId="81">
    <w:name w:val="明显强调1"/>
    <w:qFormat/>
    <w:uiPriority w:val="0"/>
    <w:rPr>
      <w:b/>
      <w:bCs/>
      <w:i/>
      <w:iCs/>
      <w:color w:val="4F81BD"/>
    </w:rPr>
  </w:style>
  <w:style w:type="character" w:customStyle="1" w:styleId="82">
    <w:name w:val="样式 标题 3 + 黑体 小四 Char Char"/>
    <w:link w:val="83"/>
    <w:qFormat/>
    <w:uiPriority w:val="0"/>
    <w:rPr>
      <w:rFonts w:ascii="黑体" w:hAnsi="Arial" w:eastAsia="黑体"/>
      <w:bCs/>
      <w:sz w:val="24"/>
      <w:szCs w:val="24"/>
      <w:lang w:bidi="ar-SA"/>
    </w:rPr>
  </w:style>
  <w:style w:type="paragraph" w:customStyle="1" w:styleId="83">
    <w:name w:val="样式 标题 3 + 黑体 小四"/>
    <w:basedOn w:val="6"/>
    <w:link w:val="82"/>
    <w:qFormat/>
    <w:uiPriority w:val="0"/>
    <w:pPr>
      <w:spacing w:before="260" w:after="260" w:line="413" w:lineRule="auto"/>
    </w:pPr>
    <w:rPr>
      <w:rFonts w:ascii="黑体" w:hAnsi="Arial"/>
      <w:b w:val="0"/>
      <w:bCs/>
      <w:kern w:val="0"/>
      <w:sz w:val="24"/>
      <w:szCs w:val="24"/>
    </w:rPr>
  </w:style>
  <w:style w:type="character" w:customStyle="1" w:styleId="84">
    <w:name w:val="heading 7 Char1"/>
    <w:qFormat/>
    <w:uiPriority w:val="0"/>
    <w:rPr>
      <w:rFonts w:ascii="Arial" w:hAnsi="Arial" w:eastAsia="黑体"/>
      <w:sz w:val="21"/>
      <w:szCs w:val="21"/>
      <w:lang w:val="en-US" w:eastAsia="zh-CN" w:bidi="ar-SA"/>
    </w:rPr>
  </w:style>
  <w:style w:type="character" w:customStyle="1" w:styleId="85">
    <w:name w:val="Char Char1"/>
    <w:qFormat/>
    <w:uiPriority w:val="0"/>
    <w:rPr>
      <w:rFonts w:eastAsia="宋体"/>
      <w:sz w:val="21"/>
      <w:lang w:val="en-US" w:eastAsia="zh-CN" w:bidi="ar-SA"/>
    </w:rPr>
  </w:style>
  <w:style w:type="character" w:customStyle="1" w:styleId="86">
    <w:name w:val="Char Char12"/>
    <w:qFormat/>
    <w:uiPriority w:val="0"/>
    <w:rPr>
      <w:rFonts w:eastAsia="宋体"/>
      <w:kern w:val="2"/>
      <w:sz w:val="21"/>
      <w:szCs w:val="24"/>
      <w:lang w:val="en-US" w:eastAsia="zh-CN" w:bidi="ar-SA"/>
    </w:rPr>
  </w:style>
  <w:style w:type="character" w:customStyle="1" w:styleId="87">
    <w:name w:val="Char Char18"/>
    <w:qFormat/>
    <w:uiPriority w:val="0"/>
    <w:rPr>
      <w:b/>
      <w:bCs/>
      <w:kern w:val="2"/>
      <w:sz w:val="32"/>
      <w:szCs w:val="32"/>
    </w:rPr>
  </w:style>
  <w:style w:type="character" w:customStyle="1" w:styleId="88">
    <w:name w:val="Char Char4"/>
    <w:qFormat/>
    <w:uiPriority w:val="0"/>
    <w:rPr>
      <w:rFonts w:ascii="Cambria" w:hAnsi="Cambria" w:eastAsia="宋体"/>
      <w:b/>
      <w:bCs/>
      <w:sz w:val="32"/>
      <w:szCs w:val="32"/>
      <w:lang w:bidi="ar-SA"/>
    </w:rPr>
  </w:style>
  <w:style w:type="character" w:customStyle="1" w:styleId="89">
    <w:name w:val="PI Char"/>
    <w:qFormat/>
    <w:uiPriority w:val="0"/>
    <w:rPr>
      <w:rFonts w:ascii="宋体" w:hAnsi="宋体"/>
      <w:sz w:val="24"/>
    </w:rPr>
  </w:style>
  <w:style w:type="character" w:customStyle="1" w:styleId="90">
    <w:name w:val="明显参考2"/>
    <w:qFormat/>
    <w:uiPriority w:val="0"/>
    <w:rPr>
      <w:b/>
      <w:bCs/>
      <w:smallCaps/>
      <w:color w:val="C0504D"/>
      <w:spacing w:val="5"/>
      <w:u w:val="single"/>
    </w:rPr>
  </w:style>
  <w:style w:type="character" w:customStyle="1" w:styleId="91">
    <w:name w:val="批注文字 Char"/>
    <w:link w:val="19"/>
    <w:qFormat/>
    <w:uiPriority w:val="0"/>
    <w:rPr>
      <w:rFonts w:eastAsia="宋体"/>
      <w:kern w:val="2"/>
      <w:sz w:val="21"/>
      <w:szCs w:val="24"/>
      <w:lang w:val="en-US" w:eastAsia="zh-CN" w:bidi="ar-SA"/>
    </w:rPr>
  </w:style>
  <w:style w:type="character" w:customStyle="1" w:styleId="92">
    <w:name w:val="Style2"/>
    <w:qFormat/>
    <w:uiPriority w:val="0"/>
    <w:rPr>
      <w:rFonts w:ascii="Calibri" w:hAnsi="宋体" w:eastAsia="宋体" w:cs="Times New Roman"/>
      <w:sz w:val="22"/>
      <w:szCs w:val="22"/>
      <w:lang w:eastAsia="zh-CN"/>
    </w:rPr>
  </w:style>
  <w:style w:type="character" w:customStyle="1" w:styleId="93">
    <w:name w:val="Footer-Even Char1"/>
    <w:qFormat/>
    <w:uiPriority w:val="0"/>
    <w:rPr>
      <w:rFonts w:eastAsia="宋体"/>
      <w:kern w:val="2"/>
      <w:sz w:val="18"/>
      <w:szCs w:val="18"/>
      <w:lang w:val="en-US" w:eastAsia="zh-CN" w:bidi="ar-SA"/>
    </w:rPr>
  </w:style>
  <w:style w:type="character" w:customStyle="1" w:styleId="94">
    <w:name w:val="heading 4 Char1"/>
    <w:qFormat/>
    <w:uiPriority w:val="0"/>
    <w:rPr>
      <w:rFonts w:ascii="Cambria" w:hAnsi="Cambria" w:eastAsia="宋体"/>
      <w:b/>
      <w:bCs/>
      <w:kern w:val="2"/>
      <w:sz w:val="28"/>
      <w:szCs w:val="28"/>
      <w:lang w:val="en-US" w:eastAsia="zh-CN" w:bidi="ar-SA"/>
    </w:rPr>
  </w:style>
  <w:style w:type="character" w:customStyle="1" w:styleId="95">
    <w:name w:val="正文文本 3 Char"/>
    <w:basedOn w:val="55"/>
    <w:link w:val="21"/>
    <w:qFormat/>
    <w:uiPriority w:val="0"/>
  </w:style>
  <w:style w:type="character" w:customStyle="1" w:styleId="96">
    <w:name w:val="批注主题 Char"/>
    <w:link w:val="51"/>
    <w:qFormat/>
    <w:uiPriority w:val="0"/>
    <w:rPr>
      <w:rFonts w:eastAsia="宋体"/>
      <w:b/>
      <w:bCs/>
      <w:kern w:val="2"/>
      <w:sz w:val="21"/>
      <w:szCs w:val="24"/>
      <w:lang w:val="en-US" w:eastAsia="zh-CN" w:bidi="ar-SA"/>
    </w:rPr>
  </w:style>
  <w:style w:type="character" w:customStyle="1" w:styleId="97">
    <w:name w:val="不明显参考11"/>
    <w:qFormat/>
    <w:uiPriority w:val="0"/>
    <w:rPr>
      <w:smallCaps/>
      <w:color w:val="C0504D"/>
      <w:u w:val="single"/>
    </w:rPr>
  </w:style>
  <w:style w:type="character" w:customStyle="1" w:styleId="98">
    <w:name w:val="Plain Text Char"/>
    <w:qFormat/>
    <w:uiPriority w:val="0"/>
    <w:rPr>
      <w:rFonts w:ascii="宋体" w:hAnsi="Courier New" w:eastAsia="宋体" w:cs="Times New Roman"/>
      <w:sz w:val="21"/>
      <w:szCs w:val="21"/>
    </w:rPr>
  </w:style>
  <w:style w:type="character" w:customStyle="1" w:styleId="99">
    <w:name w:val="Char Char111"/>
    <w:qFormat/>
    <w:uiPriority w:val="0"/>
    <w:rPr>
      <w:rFonts w:ascii="Times New Roman" w:hAnsi="Times New Roman" w:eastAsia="宋体" w:cs="Times New Roman"/>
      <w:sz w:val="18"/>
      <w:szCs w:val="18"/>
    </w:rPr>
  </w:style>
  <w:style w:type="character" w:customStyle="1" w:styleId="100">
    <w:name w:val="无间距字符"/>
    <w:link w:val="101"/>
    <w:qFormat/>
    <w:uiPriority w:val="0"/>
    <w:rPr>
      <w:rFonts w:eastAsia="Times New Roman"/>
      <w:sz w:val="22"/>
      <w:szCs w:val="22"/>
      <w:lang w:val="en-US" w:eastAsia="zh-CN" w:bidi="ar-SA"/>
    </w:rPr>
  </w:style>
  <w:style w:type="paragraph" w:customStyle="1" w:styleId="101">
    <w:name w:val="无间距"/>
    <w:link w:val="100"/>
    <w:qFormat/>
    <w:uiPriority w:val="0"/>
    <w:rPr>
      <w:rFonts w:ascii="Times New Roman" w:hAnsi="Times New Roman" w:eastAsia="Times New Roman" w:cs="Times New Roman"/>
      <w:sz w:val="22"/>
      <w:szCs w:val="22"/>
      <w:lang w:val="en-US" w:eastAsia="zh-CN" w:bidi="ar-SA"/>
    </w:rPr>
  </w:style>
  <w:style w:type="character" w:customStyle="1" w:styleId="102">
    <w:name w:val="heading 5 Char2"/>
    <w:qFormat/>
    <w:uiPriority w:val="0"/>
    <w:rPr>
      <w:b/>
      <w:bCs/>
      <w:kern w:val="2"/>
      <w:sz w:val="28"/>
      <w:szCs w:val="28"/>
    </w:rPr>
  </w:style>
  <w:style w:type="character" w:customStyle="1" w:styleId="103">
    <w:name w:val="样式2 Char Char"/>
    <w:link w:val="104"/>
    <w:qFormat/>
    <w:uiPriority w:val="0"/>
    <w:rPr>
      <w:rFonts w:ascii="宋体" w:hAnsi="宋体" w:eastAsia="宋体"/>
      <w:bCs/>
      <w:kern w:val="2"/>
      <w:sz w:val="28"/>
      <w:szCs w:val="28"/>
      <w:lang w:val="en-US" w:eastAsia="zh-CN" w:bidi="ar-SA"/>
    </w:rPr>
  </w:style>
  <w:style w:type="paragraph" w:customStyle="1" w:styleId="104">
    <w:name w:val="样式2"/>
    <w:basedOn w:val="5"/>
    <w:link w:val="103"/>
    <w:qFormat/>
    <w:uiPriority w:val="0"/>
    <w:pPr>
      <w:keepLines/>
      <w:snapToGrid w:val="0"/>
      <w:spacing w:before="260" w:afterLines="50" w:line="480" w:lineRule="exact"/>
      <w:ind w:firstLine="556"/>
    </w:pPr>
    <w:rPr>
      <w:rFonts w:ascii="宋体" w:hAnsi="宋体"/>
      <w:b w:val="0"/>
      <w:bCs/>
      <w:szCs w:val="28"/>
    </w:rPr>
  </w:style>
  <w:style w:type="character" w:customStyle="1" w:styleId="105">
    <w:name w:val="正文缩进 Char"/>
    <w:link w:val="2"/>
    <w:qFormat/>
    <w:uiPriority w:val="0"/>
    <w:rPr>
      <w:rFonts w:ascii="仿宋_GB2312" w:eastAsia="宋体"/>
      <w:b/>
      <w:sz w:val="21"/>
      <w:szCs w:val="32"/>
      <w:lang w:val="en-US" w:eastAsia="zh-CN" w:bidi="ar-SA"/>
    </w:rPr>
  </w:style>
  <w:style w:type="character" w:customStyle="1" w:styleId="106">
    <w:name w:val="heading 2 Char1"/>
    <w:qFormat/>
    <w:uiPriority w:val="0"/>
    <w:rPr>
      <w:rFonts w:ascii="Cambria" w:hAnsi="Cambria" w:eastAsia="宋体"/>
      <w:b/>
      <w:bCs/>
      <w:kern w:val="2"/>
      <w:sz w:val="32"/>
      <w:szCs w:val="32"/>
      <w:lang w:val="en-US" w:eastAsia="zh-CN" w:bidi="ar-SA"/>
    </w:rPr>
  </w:style>
  <w:style w:type="character" w:customStyle="1" w:styleId="107">
    <w:name w:val="heading 3 Char1"/>
    <w:qFormat/>
    <w:uiPriority w:val="0"/>
    <w:rPr>
      <w:rFonts w:eastAsia="宋体"/>
      <w:b/>
      <w:bCs/>
      <w:kern w:val="2"/>
      <w:sz w:val="32"/>
      <w:szCs w:val="32"/>
      <w:lang w:val="en-US" w:eastAsia="zh-CN" w:bidi="ar-SA"/>
    </w:rPr>
  </w:style>
  <w:style w:type="character" w:customStyle="1" w:styleId="108">
    <w:name w:val="Char Char15"/>
    <w:qFormat/>
    <w:uiPriority w:val="0"/>
    <w:rPr>
      <w:rFonts w:ascii="Arial" w:hAnsi="Arial" w:eastAsia="黑体"/>
      <w:sz w:val="24"/>
      <w:szCs w:val="24"/>
    </w:rPr>
  </w:style>
  <w:style w:type="character" w:customStyle="1" w:styleId="109">
    <w:name w:val="heading 1 Char"/>
    <w:qFormat/>
    <w:uiPriority w:val="0"/>
    <w:rPr>
      <w:rFonts w:ascii="Arial" w:hAnsi="Arial" w:eastAsia="黑体"/>
      <w:b/>
      <w:sz w:val="36"/>
      <w:szCs w:val="36"/>
    </w:rPr>
  </w:style>
  <w:style w:type="character" w:customStyle="1" w:styleId="110">
    <w:name w:val="ändrad Char"/>
    <w:qFormat/>
    <w:uiPriority w:val="0"/>
    <w:rPr>
      <w:rFonts w:eastAsia="宋体"/>
      <w:kern w:val="2"/>
      <w:sz w:val="21"/>
      <w:szCs w:val="24"/>
      <w:lang w:val="en-US" w:eastAsia="zh-CN" w:bidi="ar-SA"/>
    </w:rPr>
  </w:style>
  <w:style w:type="character" w:customStyle="1" w:styleId="111">
    <w:name w:val="标题 Char"/>
    <w:link w:val="50"/>
    <w:qFormat/>
    <w:uiPriority w:val="0"/>
    <w:rPr>
      <w:rFonts w:ascii="Cambria" w:hAnsi="Cambria" w:eastAsia="宋体"/>
      <w:b/>
      <w:bCs/>
      <w:kern w:val="2"/>
      <w:sz w:val="32"/>
      <w:szCs w:val="32"/>
      <w:lang w:val="en-US" w:eastAsia="zh-CN" w:bidi="ar-SA"/>
    </w:rPr>
  </w:style>
  <w:style w:type="character" w:customStyle="1" w:styleId="112">
    <w:name w:val="Char Char22"/>
    <w:qFormat/>
    <w:uiPriority w:val="0"/>
    <w:rPr>
      <w:rFonts w:ascii="Arial" w:hAnsi="Arial" w:eastAsia="黑体"/>
      <w:b/>
      <w:bCs/>
      <w:kern w:val="44"/>
      <w:sz w:val="30"/>
      <w:szCs w:val="44"/>
      <w:lang w:val="en-US" w:eastAsia="zh-CN" w:bidi="ar-SA"/>
    </w:rPr>
  </w:style>
  <w:style w:type="character" w:customStyle="1" w:styleId="113">
    <w:name w:val="blue1"/>
    <w:basedOn w:val="55"/>
    <w:qFormat/>
    <w:uiPriority w:val="0"/>
  </w:style>
  <w:style w:type="character" w:customStyle="1" w:styleId="114">
    <w:name w:val="样式 宋体"/>
    <w:qFormat/>
    <w:uiPriority w:val="0"/>
    <w:rPr>
      <w:rFonts w:ascii="宋体" w:hAnsi="宋体" w:eastAsia="宋体"/>
      <w:sz w:val="24"/>
      <w:szCs w:val="24"/>
    </w:rPr>
  </w:style>
  <w:style w:type="character" w:customStyle="1" w:styleId="115">
    <w:name w:val="dandyren_title1"/>
    <w:qFormat/>
    <w:uiPriority w:val="0"/>
    <w:rPr>
      <w:b/>
      <w:bCs/>
      <w:color w:val="FF6633"/>
      <w:sz w:val="18"/>
      <w:szCs w:val="18"/>
    </w:rPr>
  </w:style>
  <w:style w:type="character" w:customStyle="1" w:styleId="116">
    <w:name w:val="font21"/>
    <w:basedOn w:val="55"/>
    <w:qFormat/>
    <w:uiPriority w:val="0"/>
    <w:rPr>
      <w:rFonts w:ascii="Wingdings 2" w:hAnsi="Wingdings 2" w:eastAsia="Wingdings 2" w:cs="Wingdings 2"/>
      <w:b/>
      <w:color w:val="000000"/>
      <w:sz w:val="20"/>
      <w:szCs w:val="20"/>
      <w:u w:val="none"/>
    </w:rPr>
  </w:style>
  <w:style w:type="character" w:customStyle="1" w:styleId="117">
    <w:name w:val="Ò³Ã¼ Char Char1"/>
    <w:qFormat/>
    <w:uiPriority w:val="0"/>
    <w:rPr>
      <w:rFonts w:eastAsia="宋体"/>
      <w:kern w:val="2"/>
      <w:sz w:val="18"/>
      <w:szCs w:val="18"/>
      <w:lang w:val="en-US" w:eastAsia="zh-CN" w:bidi="ar-SA"/>
    </w:rPr>
  </w:style>
  <w:style w:type="character" w:customStyle="1" w:styleId="118">
    <w:name w:val="宏文本 Char"/>
    <w:link w:val="3"/>
    <w:qFormat/>
    <w:uiPriority w:val="0"/>
    <w:rPr>
      <w:rFonts w:ascii="Courier New" w:hAnsi="Courier New" w:eastAsia="Times New Roman"/>
      <w:kern w:val="2"/>
      <w:sz w:val="24"/>
      <w:szCs w:val="24"/>
      <w:lang w:val="en-US" w:eastAsia="zh-CN" w:bidi="ar-SA"/>
    </w:rPr>
  </w:style>
  <w:style w:type="character" w:customStyle="1" w:styleId="119">
    <w:name w:val="Footer-Even Char"/>
    <w:qFormat/>
    <w:uiPriority w:val="0"/>
    <w:rPr>
      <w:sz w:val="18"/>
      <w:szCs w:val="18"/>
    </w:rPr>
  </w:style>
  <w:style w:type="character" w:customStyle="1" w:styleId="120">
    <w:name w:val="页脚 Char"/>
    <w:link w:val="36"/>
    <w:qFormat/>
    <w:uiPriority w:val="0"/>
    <w:rPr>
      <w:rFonts w:eastAsia="宋体"/>
      <w:kern w:val="2"/>
      <w:sz w:val="18"/>
      <w:szCs w:val="18"/>
      <w:lang w:val="en-US" w:eastAsia="zh-CN" w:bidi="ar-SA"/>
    </w:rPr>
  </w:style>
  <w:style w:type="character" w:customStyle="1" w:styleId="121">
    <w:name w:val="style111"/>
    <w:qFormat/>
    <w:uiPriority w:val="0"/>
    <w:rPr>
      <w:sz w:val="27"/>
      <w:szCs w:val="27"/>
    </w:rPr>
  </w:style>
  <w:style w:type="character" w:customStyle="1" w:styleId="122">
    <w:name w:val="PI Char2"/>
    <w:qFormat/>
    <w:uiPriority w:val="0"/>
    <w:rPr>
      <w:kern w:val="2"/>
      <w:sz w:val="24"/>
      <w:szCs w:val="24"/>
    </w:rPr>
  </w:style>
  <w:style w:type="character" w:customStyle="1" w:styleId="123">
    <w:name w:val="gray6"/>
    <w:basedOn w:val="55"/>
    <w:qFormat/>
    <w:uiPriority w:val="0"/>
  </w:style>
  <w:style w:type="character" w:customStyle="1" w:styleId="124">
    <w:name w:val="Char Char Char1"/>
    <w:qFormat/>
    <w:uiPriority w:val="0"/>
    <w:rPr>
      <w:rFonts w:ascii="宋体" w:hAnsi="Courier New"/>
      <w:sz w:val="21"/>
      <w:szCs w:val="21"/>
    </w:rPr>
  </w:style>
  <w:style w:type="character" w:customStyle="1" w:styleId="125">
    <w:name w:val="Char Char121"/>
    <w:qFormat/>
    <w:uiPriority w:val="0"/>
    <w:rPr>
      <w:rFonts w:eastAsia="宋体"/>
      <w:kern w:val="2"/>
      <w:sz w:val="21"/>
      <w:szCs w:val="24"/>
      <w:lang w:val="en-US" w:eastAsia="zh-CN" w:bidi="ar-SA"/>
    </w:rPr>
  </w:style>
  <w:style w:type="character" w:customStyle="1" w:styleId="126">
    <w:name w:val="Char Char Char Char Char Char Char Char Char"/>
    <w:qFormat/>
    <w:uiPriority w:val="0"/>
    <w:rPr>
      <w:rFonts w:ascii="宋体" w:hAnsi="Courier New" w:eastAsia="宋体"/>
      <w:sz w:val="21"/>
      <w:szCs w:val="21"/>
      <w:lang w:val="en-US" w:eastAsia="zh-CN" w:bidi="ar-SA"/>
    </w:rPr>
  </w:style>
  <w:style w:type="character" w:customStyle="1" w:styleId="127">
    <w:name w:val="heading 4 Char2"/>
    <w:qFormat/>
    <w:uiPriority w:val="0"/>
    <w:rPr>
      <w:rFonts w:ascii="Cambria" w:hAnsi="Cambria"/>
      <w:b/>
      <w:bCs/>
      <w:kern w:val="2"/>
      <w:sz w:val="28"/>
      <w:szCs w:val="28"/>
    </w:rPr>
  </w:style>
  <w:style w:type="character" w:customStyle="1" w:styleId="128">
    <w:name w:val="heading 3 Char"/>
    <w:qFormat/>
    <w:uiPriority w:val="0"/>
    <w:rPr>
      <w:rFonts w:ascii="Arial" w:hAnsi="Arial" w:eastAsia="黑体"/>
      <w:sz w:val="28"/>
      <w:szCs w:val="24"/>
    </w:rPr>
  </w:style>
  <w:style w:type="character" w:customStyle="1" w:styleId="129">
    <w:name w:val="标题 1 Char"/>
    <w:link w:val="4"/>
    <w:qFormat/>
    <w:uiPriority w:val="0"/>
    <w:rPr>
      <w:rFonts w:eastAsia="黑体"/>
      <w:b/>
      <w:kern w:val="2"/>
      <w:sz w:val="32"/>
      <w:lang w:val="en-US" w:eastAsia="zh-CN" w:bidi="ar-SA"/>
    </w:rPr>
  </w:style>
  <w:style w:type="character" w:customStyle="1" w:styleId="130">
    <w:name w:val="Char Char16"/>
    <w:qFormat/>
    <w:uiPriority w:val="0"/>
    <w:rPr>
      <w:b/>
      <w:bCs/>
      <w:kern w:val="2"/>
      <w:sz w:val="28"/>
      <w:szCs w:val="28"/>
    </w:rPr>
  </w:style>
  <w:style w:type="character" w:customStyle="1" w:styleId="131">
    <w:name w:val="文档结构图 Char"/>
    <w:link w:val="18"/>
    <w:qFormat/>
    <w:uiPriority w:val="0"/>
    <w:rPr>
      <w:rFonts w:eastAsia="宋体"/>
      <w:kern w:val="2"/>
      <w:sz w:val="21"/>
      <w:szCs w:val="24"/>
      <w:lang w:val="en-US" w:eastAsia="zh-CN" w:bidi="ar-SA"/>
    </w:rPr>
  </w:style>
  <w:style w:type="character" w:customStyle="1" w:styleId="132">
    <w:name w:val="标题 5 Char"/>
    <w:link w:val="8"/>
    <w:qFormat/>
    <w:uiPriority w:val="0"/>
    <w:rPr>
      <w:rFonts w:eastAsia="宋体"/>
      <w:b/>
      <w:bCs/>
      <w:sz w:val="28"/>
      <w:szCs w:val="28"/>
      <w:lang w:bidi="ar-SA"/>
    </w:rPr>
  </w:style>
  <w:style w:type="character" w:customStyle="1" w:styleId="133">
    <w:name w:val="日期 Char"/>
    <w:link w:val="33"/>
    <w:qFormat/>
    <w:uiPriority w:val="0"/>
    <w:rPr>
      <w:rFonts w:eastAsia="宋体"/>
      <w:kern w:val="2"/>
      <w:sz w:val="21"/>
      <w:szCs w:val="24"/>
      <w:lang w:val="en-US" w:eastAsia="zh-CN" w:bidi="ar-SA"/>
    </w:rPr>
  </w:style>
  <w:style w:type="character" w:customStyle="1" w:styleId="134">
    <w:name w:val="副标题 Char"/>
    <w:link w:val="41"/>
    <w:qFormat/>
    <w:uiPriority w:val="0"/>
    <w:rPr>
      <w:rFonts w:ascii="Cambria" w:hAnsi="Cambria" w:eastAsia="宋体"/>
      <w:b/>
      <w:bCs/>
      <w:kern w:val="28"/>
      <w:sz w:val="32"/>
      <w:szCs w:val="32"/>
      <w:lang w:val="en-US" w:eastAsia="zh-CN" w:bidi="ar-SA"/>
    </w:rPr>
  </w:style>
  <w:style w:type="character" w:customStyle="1" w:styleId="135">
    <w:name w:val="页眉 Char"/>
    <w:link w:val="37"/>
    <w:qFormat/>
    <w:uiPriority w:val="0"/>
    <w:rPr>
      <w:rFonts w:eastAsia="宋体"/>
      <w:kern w:val="2"/>
      <w:sz w:val="18"/>
      <w:szCs w:val="18"/>
      <w:lang w:val="en-US" w:eastAsia="zh-CN" w:bidi="ar-SA"/>
    </w:rPr>
  </w:style>
  <w:style w:type="character" w:customStyle="1" w:styleId="136">
    <w:name w:val="style13"/>
    <w:basedOn w:val="55"/>
    <w:qFormat/>
    <w:uiPriority w:val="0"/>
  </w:style>
  <w:style w:type="character" w:customStyle="1" w:styleId="137">
    <w:name w:val="textcolor1"/>
    <w:qFormat/>
    <w:uiPriority w:val="0"/>
    <w:rPr>
      <w:rFonts w:ascii="仿宋_GB2312" w:eastAsia="仿宋_GB2312"/>
      <w:b/>
      <w:color w:val="FF6600"/>
      <w:sz w:val="32"/>
      <w:szCs w:val="32"/>
    </w:rPr>
  </w:style>
  <w:style w:type="character" w:customStyle="1" w:styleId="138">
    <w:name w:val="Table Text Char Char"/>
    <w:link w:val="139"/>
    <w:qFormat/>
    <w:uiPriority w:val="0"/>
    <w:rPr>
      <w:sz w:val="21"/>
      <w:lang w:val="en-US" w:eastAsia="en-US" w:bidi="ar-SA"/>
    </w:rPr>
  </w:style>
  <w:style w:type="paragraph" w:customStyle="1" w:styleId="139">
    <w:name w:val="Table Text"/>
    <w:basedOn w:val="1"/>
    <w:link w:val="138"/>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40">
    <w:name w:val="Ò³Ã¼ Char Char"/>
    <w:qFormat/>
    <w:uiPriority w:val="0"/>
    <w:rPr>
      <w:sz w:val="18"/>
      <w:szCs w:val="18"/>
    </w:rPr>
  </w:style>
  <w:style w:type="character" w:customStyle="1" w:styleId="141">
    <w:name w:val="heading 2 Char2"/>
    <w:qFormat/>
    <w:uiPriority w:val="0"/>
    <w:rPr>
      <w:rFonts w:ascii="Cambria" w:hAnsi="Cambria"/>
      <w:b/>
      <w:bCs/>
      <w:kern w:val="2"/>
      <w:sz w:val="32"/>
      <w:szCs w:val="32"/>
    </w:rPr>
  </w:style>
  <w:style w:type="character" w:customStyle="1" w:styleId="142">
    <w:name w:val="书籍标题11"/>
    <w:qFormat/>
    <w:uiPriority w:val="0"/>
    <w:rPr>
      <w:b/>
      <w:bCs/>
      <w:smallCaps/>
      <w:spacing w:val="5"/>
    </w:rPr>
  </w:style>
  <w:style w:type="character" w:customStyle="1" w:styleId="143">
    <w:name w:val="Char Char21"/>
    <w:qFormat/>
    <w:uiPriority w:val="0"/>
    <w:rPr>
      <w:rFonts w:ascii="Times New Roman" w:hAnsi="Times New Roman" w:eastAsia="宋体" w:cs="Times New Roman"/>
      <w:b/>
      <w:bCs/>
      <w:kern w:val="44"/>
      <w:sz w:val="44"/>
      <w:szCs w:val="44"/>
    </w:rPr>
  </w:style>
  <w:style w:type="character" w:customStyle="1" w:styleId="144">
    <w:name w:val="正文文本缩进 Char"/>
    <w:link w:val="23"/>
    <w:qFormat/>
    <w:uiPriority w:val="0"/>
    <w:rPr>
      <w:rFonts w:eastAsia="宋体"/>
      <w:kern w:val="2"/>
      <w:sz w:val="24"/>
      <w:szCs w:val="24"/>
      <w:lang w:val="en-US" w:eastAsia="zh-CN" w:bidi="ar-SA"/>
    </w:rPr>
  </w:style>
  <w:style w:type="character" w:customStyle="1" w:styleId="145">
    <w:name w:val="不明显强调1"/>
    <w:qFormat/>
    <w:uiPriority w:val="0"/>
    <w:rPr>
      <w:i/>
      <w:iCs/>
      <w:color w:val="808080"/>
    </w:rPr>
  </w:style>
  <w:style w:type="character" w:customStyle="1" w:styleId="146">
    <w:name w:val="正文文本缩进 3 Char"/>
    <w:link w:val="45"/>
    <w:qFormat/>
    <w:uiPriority w:val="0"/>
    <w:rPr>
      <w:rFonts w:eastAsia="宋体"/>
      <w:kern w:val="2"/>
      <w:sz w:val="24"/>
      <w:szCs w:val="24"/>
      <w:lang w:val="en-US" w:eastAsia="zh-CN" w:bidi="ar-SA"/>
    </w:rPr>
  </w:style>
  <w:style w:type="character" w:customStyle="1" w:styleId="147">
    <w:name w:val="heading 5 Char"/>
    <w:qFormat/>
    <w:uiPriority w:val="0"/>
    <w:rPr>
      <w:rFonts w:ascii="Arial" w:hAnsi="Arial" w:eastAsia="黑体"/>
      <w:sz w:val="21"/>
      <w:szCs w:val="21"/>
    </w:rPr>
  </w:style>
  <w:style w:type="character" w:customStyle="1" w:styleId="148">
    <w:name w:val="Style3"/>
    <w:qFormat/>
    <w:uiPriority w:val="0"/>
    <w:rPr>
      <w:rFonts w:ascii="Calibri" w:hAnsi="宋体" w:eastAsia="宋体" w:cs="Times New Roman"/>
      <w:szCs w:val="22"/>
      <w:lang w:eastAsia="zh-CN"/>
    </w:rPr>
  </w:style>
  <w:style w:type="character" w:customStyle="1" w:styleId="149">
    <w:name w:val="标题 4 Char"/>
    <w:link w:val="7"/>
    <w:qFormat/>
    <w:uiPriority w:val="0"/>
    <w:rPr>
      <w:rFonts w:eastAsia="宋体"/>
      <w:kern w:val="2"/>
      <w:sz w:val="28"/>
      <w:szCs w:val="28"/>
      <w:lang w:val="en-US" w:eastAsia="zh-CN" w:bidi="ar-SA"/>
    </w:rPr>
  </w:style>
  <w:style w:type="character" w:customStyle="1" w:styleId="150">
    <w:name w:val="Char Char241"/>
    <w:qFormat/>
    <w:uiPriority w:val="0"/>
    <w:rPr>
      <w:rFonts w:eastAsia="宋体"/>
      <w:b/>
      <w:kern w:val="2"/>
      <w:sz w:val="28"/>
      <w:lang w:val="en-US" w:eastAsia="zh-CN" w:bidi="ar-SA"/>
    </w:rPr>
  </w:style>
  <w:style w:type="character" w:customStyle="1" w:styleId="151">
    <w:name w:val="批注框文本 Char"/>
    <w:link w:val="35"/>
    <w:qFormat/>
    <w:uiPriority w:val="0"/>
    <w:rPr>
      <w:rFonts w:eastAsia="宋体"/>
      <w:kern w:val="2"/>
      <w:sz w:val="18"/>
      <w:szCs w:val="18"/>
      <w:lang w:val="en-US" w:eastAsia="zh-CN" w:bidi="ar-SA"/>
    </w:rPr>
  </w:style>
  <w:style w:type="character" w:customStyle="1" w:styleId="152">
    <w:name w:val="标题 3 Char"/>
    <w:link w:val="6"/>
    <w:qFormat/>
    <w:uiPriority w:val="0"/>
    <w:rPr>
      <w:rFonts w:eastAsia="黑体"/>
      <w:b/>
      <w:kern w:val="2"/>
      <w:sz w:val="28"/>
      <w:lang w:val="en-US" w:eastAsia="zh-CN" w:bidi="ar-SA"/>
    </w:rPr>
  </w:style>
  <w:style w:type="character" w:customStyle="1" w:styleId="153">
    <w:name w:val="明显强调11"/>
    <w:qFormat/>
    <w:uiPriority w:val="0"/>
    <w:rPr>
      <w:b/>
      <w:bCs/>
      <w:i/>
      <w:iCs/>
      <w:color w:val="4F81BD"/>
    </w:rPr>
  </w:style>
  <w:style w:type="character" w:customStyle="1" w:styleId="154">
    <w:name w:val="签名 Char"/>
    <w:link w:val="38"/>
    <w:qFormat/>
    <w:uiPriority w:val="0"/>
    <w:rPr>
      <w:rFonts w:ascii="仿宋_GB2312" w:eastAsia="仿宋_GB2312"/>
      <w:b/>
      <w:sz w:val="24"/>
      <w:szCs w:val="32"/>
    </w:rPr>
  </w:style>
  <w:style w:type="character" w:customStyle="1" w:styleId="155">
    <w:name w:val="heading 3 Char2"/>
    <w:qFormat/>
    <w:uiPriority w:val="0"/>
    <w:rPr>
      <w:b/>
      <w:bCs/>
      <w:kern w:val="2"/>
      <w:sz w:val="32"/>
      <w:szCs w:val="32"/>
    </w:rPr>
  </w:style>
  <w:style w:type="character" w:customStyle="1" w:styleId="156">
    <w:name w:val="style21"/>
    <w:qFormat/>
    <w:uiPriority w:val="0"/>
    <w:rPr>
      <w:sz w:val="15"/>
      <w:szCs w:val="15"/>
    </w:rPr>
  </w:style>
  <w:style w:type="character" w:customStyle="1" w:styleId="157">
    <w:name w:val="Char Char271"/>
    <w:qFormat/>
    <w:uiPriority w:val="0"/>
    <w:rPr>
      <w:rFonts w:eastAsia="宋体"/>
      <w:kern w:val="2"/>
      <w:sz w:val="28"/>
      <w:lang w:val="en-US" w:eastAsia="zh-CN" w:bidi="ar-SA"/>
    </w:rPr>
  </w:style>
  <w:style w:type="character" w:customStyle="1" w:styleId="158">
    <w:name w:val="表格 Char Char"/>
    <w:link w:val="159"/>
    <w:qFormat/>
    <w:uiPriority w:val="0"/>
    <w:rPr>
      <w:rFonts w:ascii="宋体" w:hAnsi="宋体" w:eastAsia="宋体"/>
      <w:lang w:val="en-US" w:eastAsia="zh-CN" w:bidi="ar-SA"/>
    </w:rPr>
  </w:style>
  <w:style w:type="paragraph" w:customStyle="1" w:styleId="159">
    <w:name w:val="表格"/>
    <w:basedOn w:val="1"/>
    <w:link w:val="158"/>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60">
    <w:name w:val="heading 6 Char1"/>
    <w:qFormat/>
    <w:uiPriority w:val="0"/>
    <w:rPr>
      <w:rFonts w:ascii="Arial" w:hAnsi="Arial" w:eastAsia="黑体"/>
      <w:kern w:val="2"/>
      <w:sz w:val="24"/>
      <w:szCs w:val="24"/>
      <w:lang w:val="en-US" w:eastAsia="zh-CN" w:bidi="ar-SA"/>
    </w:rPr>
  </w:style>
  <w:style w:type="character" w:customStyle="1" w:styleId="161">
    <w:name w:val="Char Char211"/>
    <w:qFormat/>
    <w:uiPriority w:val="0"/>
    <w:rPr>
      <w:rFonts w:ascii="Times New Roman" w:hAnsi="Times New Roman" w:eastAsia="宋体" w:cs="Times New Roman"/>
      <w:b/>
      <w:bCs/>
      <w:kern w:val="44"/>
      <w:sz w:val="44"/>
      <w:szCs w:val="44"/>
    </w:rPr>
  </w:style>
  <w:style w:type="character" w:customStyle="1" w:styleId="162">
    <w:name w:val="不明显强调11"/>
    <w:qFormat/>
    <w:uiPriority w:val="0"/>
    <w:rPr>
      <w:i/>
      <w:iCs/>
      <w:color w:val="808080"/>
    </w:rPr>
  </w:style>
  <w:style w:type="character" w:customStyle="1" w:styleId="163">
    <w:name w:val="标题 9 Char"/>
    <w:link w:val="12"/>
    <w:qFormat/>
    <w:uiPriority w:val="0"/>
    <w:rPr>
      <w:rFonts w:ascii="Arial" w:hAnsi="Arial" w:eastAsia="黑体"/>
      <w:kern w:val="2"/>
      <w:sz w:val="21"/>
      <w:lang w:val="en-US" w:eastAsia="zh-CN" w:bidi="ar-SA"/>
    </w:rPr>
  </w:style>
  <w:style w:type="character" w:customStyle="1" w:styleId="164">
    <w:name w:val="正文文本 Char"/>
    <w:link w:val="22"/>
    <w:qFormat/>
    <w:uiPriority w:val="0"/>
    <w:rPr>
      <w:rFonts w:ascii="仿宋_GB2312" w:eastAsia="宋体"/>
      <w:b/>
      <w:kern w:val="2"/>
      <w:sz w:val="21"/>
      <w:szCs w:val="24"/>
      <w:lang w:val="en-US" w:eastAsia="zh-CN" w:bidi="ar-SA"/>
    </w:rPr>
  </w:style>
  <w:style w:type="character" w:customStyle="1" w:styleId="165">
    <w:name w:val="明显引用 Char"/>
    <w:link w:val="166"/>
    <w:qFormat/>
    <w:uiPriority w:val="0"/>
    <w:rPr>
      <w:rFonts w:ascii="Calibri" w:hAnsi="Calibri" w:eastAsia="宋体"/>
      <w:b/>
      <w:bCs/>
      <w:i/>
      <w:iCs/>
      <w:color w:val="4F81BD"/>
      <w:lang w:val="en-US" w:eastAsia="zh-CN" w:bidi="ar-SA"/>
    </w:rPr>
  </w:style>
  <w:style w:type="paragraph" w:styleId="166">
    <w:name w:val="Intense Quote"/>
    <w:basedOn w:val="1"/>
    <w:next w:val="1"/>
    <w:link w:val="165"/>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7">
    <w:name w:val="heading 5 Char1"/>
    <w:qFormat/>
    <w:uiPriority w:val="0"/>
    <w:rPr>
      <w:rFonts w:eastAsia="宋体"/>
      <w:b/>
      <w:bCs/>
      <w:kern w:val="2"/>
      <w:sz w:val="28"/>
      <w:szCs w:val="28"/>
      <w:lang w:val="en-US" w:eastAsia="zh-CN" w:bidi="ar-SA"/>
    </w:rPr>
  </w:style>
  <w:style w:type="character" w:customStyle="1" w:styleId="168">
    <w:name w:val="Texte Char Char"/>
    <w:qFormat/>
    <w:uiPriority w:val="0"/>
    <w:rPr>
      <w:rFonts w:ascii="宋体" w:hAnsi="Courier New" w:eastAsia="宋体"/>
      <w:sz w:val="21"/>
      <w:szCs w:val="21"/>
      <w:lang w:val="en-US" w:eastAsia="zh-CN" w:bidi="ar-SA"/>
    </w:rPr>
  </w:style>
  <w:style w:type="character" w:customStyle="1" w:styleId="169">
    <w:name w:val="正文1 Char Char"/>
    <w:link w:val="170"/>
    <w:qFormat/>
    <w:uiPriority w:val="0"/>
    <w:rPr>
      <w:rFonts w:ascii="宋体" w:hAnsi="宋体" w:eastAsia="宋体" w:cs="宋体"/>
      <w:sz w:val="21"/>
      <w:lang w:val="en-US" w:eastAsia="zh-CN" w:bidi="ar-SA"/>
    </w:rPr>
  </w:style>
  <w:style w:type="paragraph" w:customStyle="1" w:styleId="170">
    <w:name w:val="正文1"/>
    <w:basedOn w:val="1"/>
    <w:link w:val="169"/>
    <w:qFormat/>
    <w:uiPriority w:val="0"/>
    <w:pPr>
      <w:widowControl/>
      <w:spacing w:line="360" w:lineRule="auto"/>
      <w:ind w:left="360" w:firstLine="420"/>
      <w:jc w:val="left"/>
    </w:pPr>
    <w:rPr>
      <w:rFonts w:ascii="宋体" w:hAnsi="宋体" w:cs="宋体"/>
      <w:kern w:val="0"/>
      <w:szCs w:val="20"/>
    </w:rPr>
  </w:style>
  <w:style w:type="character" w:customStyle="1" w:styleId="171">
    <w:name w:val="heading 8 Char1"/>
    <w:qFormat/>
    <w:uiPriority w:val="0"/>
    <w:rPr>
      <w:rFonts w:ascii="Arial" w:hAnsi="Arial" w:eastAsia="黑体"/>
      <w:sz w:val="24"/>
      <w:lang w:val="en-US" w:eastAsia="zh-CN" w:bidi="ar-SA"/>
    </w:rPr>
  </w:style>
  <w:style w:type="character" w:customStyle="1" w:styleId="172">
    <w:name w:val="heading 9 Char1"/>
    <w:qFormat/>
    <w:uiPriority w:val="0"/>
    <w:rPr>
      <w:rFonts w:ascii="Arial" w:hAnsi="Arial" w:eastAsia="黑体"/>
      <w:sz w:val="21"/>
      <w:lang w:val="en-US" w:eastAsia="zh-CN" w:bidi="ar-SA"/>
    </w:rPr>
  </w:style>
  <w:style w:type="character" w:customStyle="1" w:styleId="173">
    <w:name w:val="标题 6 Char"/>
    <w:link w:val="9"/>
    <w:qFormat/>
    <w:uiPriority w:val="0"/>
    <w:rPr>
      <w:rFonts w:ascii="Arial" w:hAnsi="Arial" w:eastAsia="黑体"/>
      <w:b/>
      <w:kern w:val="2"/>
      <w:sz w:val="24"/>
      <w:lang w:val="en-US" w:eastAsia="zh-CN" w:bidi="ar-SA"/>
    </w:rPr>
  </w:style>
  <w:style w:type="character" w:customStyle="1" w:styleId="174">
    <w:name w:val="ändrad Char1"/>
    <w:qFormat/>
    <w:uiPriority w:val="0"/>
    <w:rPr>
      <w:rFonts w:ascii="仿宋_GB2312" w:eastAsia="宋体"/>
      <w:b/>
      <w:kern w:val="2"/>
      <w:sz w:val="21"/>
      <w:szCs w:val="24"/>
      <w:lang w:val="en-US" w:eastAsia="zh-CN" w:bidi="ar-SA"/>
    </w:rPr>
  </w:style>
  <w:style w:type="character" w:customStyle="1" w:styleId="175">
    <w:name w:val="Char Char41"/>
    <w:qFormat/>
    <w:uiPriority w:val="0"/>
    <w:rPr>
      <w:rFonts w:ascii="Cambria" w:hAnsi="Cambria" w:eastAsia="宋体"/>
      <w:b/>
      <w:bCs/>
      <w:sz w:val="32"/>
      <w:szCs w:val="32"/>
      <w:lang w:bidi="ar-SA"/>
    </w:rPr>
  </w:style>
  <w:style w:type="character" w:customStyle="1" w:styleId="176">
    <w:name w:val="标题 8 Char"/>
    <w:link w:val="11"/>
    <w:qFormat/>
    <w:uiPriority w:val="0"/>
    <w:rPr>
      <w:rFonts w:ascii="Arial" w:hAnsi="Arial" w:eastAsia="黑体"/>
      <w:kern w:val="2"/>
      <w:sz w:val="24"/>
      <w:lang w:val="en-US" w:eastAsia="zh-CN" w:bidi="ar-SA"/>
    </w:rPr>
  </w:style>
  <w:style w:type="character" w:customStyle="1" w:styleId="177">
    <w:name w:val="Char Char11"/>
    <w:qFormat/>
    <w:uiPriority w:val="0"/>
    <w:rPr>
      <w:rFonts w:ascii="Times New Roman" w:hAnsi="Times New Roman" w:eastAsia="宋体" w:cs="Times New Roman"/>
      <w:sz w:val="18"/>
      <w:szCs w:val="18"/>
    </w:rPr>
  </w:style>
  <w:style w:type="character" w:customStyle="1" w:styleId="178">
    <w:name w:val="正文文本缩进 2 Char"/>
    <w:link w:val="34"/>
    <w:qFormat/>
    <w:uiPriority w:val="0"/>
    <w:rPr>
      <w:rFonts w:eastAsia="宋体"/>
      <w:kern w:val="2"/>
      <w:sz w:val="24"/>
      <w:szCs w:val="24"/>
      <w:lang w:val="en-US" w:eastAsia="zh-CN" w:bidi="ar-SA"/>
    </w:rPr>
  </w:style>
  <w:style w:type="character" w:customStyle="1" w:styleId="179">
    <w:name w:val="Char Char6"/>
    <w:qFormat/>
    <w:uiPriority w:val="0"/>
    <w:rPr>
      <w:rFonts w:ascii="Times New Roman" w:hAnsi="Times New Roman" w:eastAsia="宋体" w:cs="Times New Roman"/>
      <w:szCs w:val="24"/>
    </w:rPr>
  </w:style>
  <w:style w:type="character" w:customStyle="1" w:styleId="180">
    <w:name w:val="Char Char Char"/>
    <w:qFormat/>
    <w:uiPriority w:val="0"/>
    <w:rPr>
      <w:rFonts w:ascii="宋体" w:hAnsi="Courier New" w:eastAsia="宋体"/>
      <w:b/>
      <w:sz w:val="21"/>
      <w:szCs w:val="21"/>
      <w:lang w:val="en-US" w:eastAsia="zh-CN" w:bidi="ar-SA"/>
    </w:rPr>
  </w:style>
  <w:style w:type="character" w:customStyle="1" w:styleId="181">
    <w:name w:val="heading 2 Char"/>
    <w:qFormat/>
    <w:uiPriority w:val="0"/>
    <w:rPr>
      <w:rFonts w:ascii="Arial" w:hAnsi="Arial" w:eastAsia="黑体" w:cs="Times New Roman"/>
      <w:sz w:val="30"/>
      <w:szCs w:val="24"/>
    </w:rPr>
  </w:style>
  <w:style w:type="character" w:customStyle="1" w:styleId="182">
    <w:name w:val="Char Char2"/>
    <w:qFormat/>
    <w:uiPriority w:val="0"/>
    <w:rPr>
      <w:rFonts w:ascii="Arial" w:hAnsi="Arial" w:eastAsia="黑体"/>
      <w:b/>
      <w:bCs/>
      <w:kern w:val="44"/>
      <w:sz w:val="30"/>
      <w:szCs w:val="44"/>
      <w:lang w:val="en-US" w:eastAsia="zh-CN" w:bidi="ar-SA"/>
    </w:rPr>
  </w:style>
  <w:style w:type="character" w:customStyle="1" w:styleId="183">
    <w:name w:val="Footer-Even Char2"/>
    <w:qFormat/>
    <w:uiPriority w:val="0"/>
    <w:rPr>
      <w:kern w:val="2"/>
      <w:sz w:val="18"/>
      <w:szCs w:val="18"/>
    </w:rPr>
  </w:style>
  <w:style w:type="character" w:customStyle="1" w:styleId="184">
    <w:name w:val="Char Char17"/>
    <w:qFormat/>
    <w:uiPriority w:val="0"/>
    <w:rPr>
      <w:rFonts w:ascii="Cambria" w:hAnsi="Cambria"/>
      <w:b/>
      <w:bCs/>
      <w:kern w:val="2"/>
      <w:sz w:val="28"/>
      <w:szCs w:val="28"/>
    </w:rPr>
  </w:style>
  <w:style w:type="character" w:customStyle="1" w:styleId="185">
    <w:name w:val="heading 4 Char"/>
    <w:qFormat/>
    <w:uiPriority w:val="0"/>
    <w:rPr>
      <w:rFonts w:ascii="Arial" w:hAnsi="Arial" w:eastAsia="黑体" w:cs="Times New Roman"/>
      <w:sz w:val="21"/>
      <w:szCs w:val="21"/>
    </w:rPr>
  </w:style>
  <w:style w:type="character" w:customStyle="1" w:styleId="186">
    <w:name w:val="Char Char20"/>
    <w:qFormat/>
    <w:uiPriority w:val="0"/>
    <w:rPr>
      <w:b/>
      <w:bCs/>
      <w:kern w:val="44"/>
      <w:sz w:val="44"/>
      <w:szCs w:val="44"/>
    </w:rPr>
  </w:style>
  <w:style w:type="character" w:customStyle="1" w:styleId="187">
    <w:name w:val="heading 1 Char2"/>
    <w:qFormat/>
    <w:uiPriority w:val="0"/>
    <w:rPr>
      <w:b/>
      <w:bCs/>
      <w:kern w:val="44"/>
      <w:sz w:val="44"/>
      <w:szCs w:val="44"/>
    </w:rPr>
  </w:style>
  <w:style w:type="character" w:customStyle="1" w:styleId="188">
    <w:name w:val="font11"/>
    <w:qFormat/>
    <w:uiPriority w:val="0"/>
    <w:rPr>
      <w:rFonts w:hint="eastAsia" w:ascii="宋体" w:hAnsi="宋体" w:eastAsia="宋体" w:cs="宋体"/>
      <w:b/>
      <w:color w:val="000000"/>
      <w:sz w:val="20"/>
      <w:szCs w:val="20"/>
      <w:u w:val="none"/>
    </w:rPr>
  </w:style>
  <w:style w:type="character" w:customStyle="1" w:styleId="189">
    <w:name w:val="表正文 Char2"/>
    <w:qFormat/>
    <w:uiPriority w:val="0"/>
    <w:rPr>
      <w:rFonts w:ascii="Times New Roman" w:hAnsi="Times New Roman" w:eastAsia="宋体" w:cs="Times New Roman"/>
      <w:szCs w:val="24"/>
    </w:rPr>
  </w:style>
  <w:style w:type="character" w:customStyle="1" w:styleId="190">
    <w:name w:val="引用 Char"/>
    <w:link w:val="191"/>
    <w:qFormat/>
    <w:uiPriority w:val="0"/>
    <w:rPr>
      <w:rFonts w:ascii="Calibri" w:hAnsi="Calibri" w:eastAsia="宋体"/>
      <w:i/>
      <w:iCs/>
      <w:color w:val="000000"/>
      <w:lang w:val="en-US" w:eastAsia="zh-CN" w:bidi="ar-SA"/>
    </w:rPr>
  </w:style>
  <w:style w:type="paragraph" w:styleId="191">
    <w:name w:val="Quote"/>
    <w:basedOn w:val="1"/>
    <w:next w:val="1"/>
    <w:link w:val="190"/>
    <w:qFormat/>
    <w:uiPriority w:val="0"/>
    <w:rPr>
      <w:rFonts w:ascii="Calibri" w:hAnsi="Calibri"/>
      <w:i/>
      <w:iCs/>
      <w:color w:val="000000"/>
      <w:kern w:val="0"/>
      <w:sz w:val="20"/>
      <w:szCs w:val="20"/>
    </w:rPr>
  </w:style>
  <w:style w:type="character" w:customStyle="1" w:styleId="192">
    <w:name w:val="纯文本 Char"/>
    <w:link w:val="30"/>
    <w:qFormat/>
    <w:uiPriority w:val="0"/>
    <w:rPr>
      <w:rFonts w:ascii="宋体" w:hAnsi="Courier New" w:eastAsia="宋体"/>
      <w:b/>
      <w:sz w:val="21"/>
      <w:szCs w:val="21"/>
      <w:lang w:val="en-US" w:eastAsia="zh-CN" w:bidi="ar-SA"/>
    </w:rPr>
  </w:style>
  <w:style w:type="character" w:customStyle="1" w:styleId="193">
    <w:name w:val="Char Char19"/>
    <w:qFormat/>
    <w:uiPriority w:val="0"/>
    <w:rPr>
      <w:rFonts w:ascii="Cambria" w:hAnsi="Cambria"/>
      <w:b/>
      <w:bCs/>
      <w:kern w:val="2"/>
      <w:sz w:val="32"/>
      <w:szCs w:val="32"/>
    </w:rPr>
  </w:style>
  <w:style w:type="character" w:customStyle="1" w:styleId="194">
    <w:name w:val="style41"/>
    <w:qFormat/>
    <w:uiPriority w:val="0"/>
    <w:rPr>
      <w:color w:val="auto"/>
    </w:rPr>
  </w:style>
  <w:style w:type="character" w:customStyle="1" w:styleId="195">
    <w:name w:val="Char Char201"/>
    <w:qFormat/>
    <w:uiPriority w:val="0"/>
    <w:rPr>
      <w:rFonts w:ascii="Cambria" w:hAnsi="Cambria" w:eastAsia="宋体" w:cs="Times New Roman"/>
      <w:b/>
      <w:bCs/>
      <w:sz w:val="32"/>
      <w:szCs w:val="32"/>
    </w:rPr>
  </w:style>
  <w:style w:type="character" w:customStyle="1" w:styleId="196">
    <w:name w:val="正文首行缩进 Char"/>
    <w:link w:val="52"/>
    <w:qFormat/>
    <w:uiPriority w:val="0"/>
    <w:rPr>
      <w:rFonts w:eastAsia="宋体"/>
      <w:lang w:val="en-US" w:eastAsia="zh-CN" w:bidi="ar-SA"/>
    </w:rPr>
  </w:style>
  <w:style w:type="character" w:customStyle="1" w:styleId="197">
    <w:name w:val="smalltxt1"/>
    <w:qFormat/>
    <w:uiPriority w:val="0"/>
    <w:rPr>
      <w:rFonts w:hint="default" w:ascii="ˎ̥" w:hAnsi="ˎ̥"/>
      <w:sz w:val="24"/>
      <w:szCs w:val="24"/>
    </w:rPr>
  </w:style>
  <w:style w:type="character" w:customStyle="1" w:styleId="198">
    <w:name w:val="正文文本 2 Char"/>
    <w:basedOn w:val="55"/>
    <w:link w:val="48"/>
    <w:qFormat/>
    <w:uiPriority w:val="0"/>
  </w:style>
  <w:style w:type="paragraph" w:customStyle="1" w:styleId="19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0">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01">
    <w:name w:val="表内文字"/>
    <w:basedOn w:val="1"/>
    <w:qFormat/>
    <w:uiPriority w:val="0"/>
    <w:pPr>
      <w:spacing w:line="240" w:lineRule="atLeast"/>
      <w:jc w:val="center"/>
    </w:pPr>
    <w:rPr>
      <w:rFonts w:ascii="Arial" w:hAnsi="Arial" w:cs="Arial"/>
      <w:b/>
      <w:bCs/>
    </w:rPr>
  </w:style>
  <w:style w:type="paragraph" w:customStyle="1" w:styleId="202">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3">
    <w:name w:val="Char Char Char Char Char Char Char"/>
    <w:basedOn w:val="1"/>
    <w:qFormat/>
    <w:uiPriority w:val="0"/>
    <w:rPr>
      <w:rFonts w:ascii="仿宋_GB2312" w:eastAsia="仿宋_GB2312"/>
      <w:b/>
      <w:sz w:val="32"/>
      <w:szCs w:val="32"/>
    </w:rPr>
  </w:style>
  <w:style w:type="paragraph" w:customStyle="1" w:styleId="20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5">
    <w:name w:val="列出段落1"/>
    <w:basedOn w:val="1"/>
    <w:qFormat/>
    <w:uiPriority w:val="0"/>
    <w:pPr>
      <w:ind w:firstLine="420" w:firstLineChars="200"/>
    </w:pPr>
    <w:rPr>
      <w:szCs w:val="20"/>
    </w:rPr>
  </w:style>
  <w:style w:type="paragraph" w:customStyle="1" w:styleId="206">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8">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9">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1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2">
    <w:name w:val="NICMAN Body Text"/>
    <w:basedOn w:val="1"/>
    <w:next w:val="22"/>
    <w:qFormat/>
    <w:uiPriority w:val="0"/>
    <w:pPr>
      <w:autoSpaceDE w:val="0"/>
      <w:autoSpaceDN w:val="0"/>
      <w:adjustRightInd w:val="0"/>
      <w:spacing w:after="120"/>
      <w:jc w:val="left"/>
    </w:pPr>
    <w:rPr>
      <w:kern w:val="0"/>
      <w:sz w:val="20"/>
      <w:szCs w:val="20"/>
    </w:rPr>
  </w:style>
  <w:style w:type="paragraph" w:customStyle="1" w:styleId="213">
    <w:name w:val="Char Char Char Char Char Char Char Char Char Char Char Char Char"/>
    <w:basedOn w:val="1"/>
    <w:qFormat/>
    <w:uiPriority w:val="0"/>
    <w:rPr>
      <w:rFonts w:ascii="Tahoma" w:hAnsi="Tahoma"/>
      <w:sz w:val="24"/>
      <w:szCs w:val="20"/>
    </w:rPr>
  </w:style>
  <w:style w:type="paragraph" w:customStyle="1" w:styleId="21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5">
    <w:name w:val="正文缩进1"/>
    <w:basedOn w:val="1"/>
    <w:next w:val="23"/>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6">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7">
    <w:name w:val="Char Char Char Char1"/>
    <w:basedOn w:val="18"/>
    <w:qFormat/>
    <w:uiPriority w:val="0"/>
    <w:rPr>
      <w:rFonts w:ascii="Tahoma" w:hAnsi="Tahoma"/>
      <w:sz w:val="24"/>
    </w:rPr>
  </w:style>
  <w:style w:type="paragraph" w:customStyle="1" w:styleId="218">
    <w:name w:val="正文 首行缩进:  2 字符 Char"/>
    <w:basedOn w:val="1"/>
    <w:qFormat/>
    <w:uiPriority w:val="0"/>
    <w:pPr>
      <w:spacing w:line="360" w:lineRule="auto"/>
      <w:ind w:firstLine="480"/>
    </w:pPr>
    <w:rPr>
      <w:rFonts w:cs="宋体"/>
      <w:sz w:val="24"/>
      <w:szCs w:val="20"/>
    </w:rPr>
  </w:style>
  <w:style w:type="paragraph" w:customStyle="1" w:styleId="219">
    <w:name w:val="样式1"/>
    <w:basedOn w:val="1"/>
    <w:qFormat/>
    <w:uiPriority w:val="0"/>
    <w:pPr>
      <w:autoSpaceDE w:val="0"/>
      <w:autoSpaceDN w:val="0"/>
      <w:adjustRightInd w:val="0"/>
      <w:spacing w:line="400" w:lineRule="exact"/>
    </w:pPr>
    <w:rPr>
      <w:rFonts w:ascii="宋体" w:cs="宋体"/>
      <w:kern w:val="0"/>
    </w:rPr>
  </w:style>
  <w:style w:type="paragraph" w:customStyle="1" w:styleId="2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1">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3">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4">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5">
    <w:name w:val="二级条标题"/>
    <w:basedOn w:val="206"/>
    <w:next w:val="1"/>
    <w:qFormat/>
    <w:uiPriority w:val="0"/>
    <w:pPr>
      <w:tabs>
        <w:tab w:val="left" w:pos="4309"/>
        <w:tab w:val="clear" w:pos="3889"/>
      </w:tabs>
      <w:ind w:left="4309"/>
      <w:outlineLvl w:val="3"/>
    </w:pPr>
  </w:style>
  <w:style w:type="paragraph" w:customStyle="1" w:styleId="226">
    <w:name w:val="正文－恩普"/>
    <w:basedOn w:val="2"/>
    <w:qFormat/>
    <w:uiPriority w:val="0"/>
    <w:pPr>
      <w:adjustRightInd/>
      <w:spacing w:line="360" w:lineRule="auto"/>
      <w:ind w:firstLine="200" w:firstLineChars="200"/>
      <w:textAlignment w:val="auto"/>
    </w:pPr>
    <w:rPr>
      <w:kern w:val="2"/>
      <w:sz w:val="24"/>
      <w:szCs w:val="24"/>
    </w:rPr>
  </w:style>
  <w:style w:type="paragraph" w:customStyle="1" w:styleId="227">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8">
    <w:name w:val="正文（首行缩进）"/>
    <w:basedOn w:val="23"/>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9">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30">
    <w:name w:val="文字"/>
    <w:basedOn w:val="1"/>
    <w:qFormat/>
    <w:uiPriority w:val="0"/>
    <w:pPr>
      <w:tabs>
        <w:tab w:val="left" w:pos="8520"/>
      </w:tabs>
      <w:spacing w:line="312" w:lineRule="auto"/>
      <w:ind w:right="-210" w:firstLine="556"/>
    </w:pPr>
    <w:rPr>
      <w:rFonts w:ascii="宋体"/>
      <w:sz w:val="28"/>
      <w:szCs w:val="20"/>
    </w:rPr>
  </w:style>
  <w:style w:type="paragraph" w:customStyle="1" w:styleId="23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2">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3">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34">
    <w:name w:val="三级条标题"/>
    <w:basedOn w:val="225"/>
    <w:next w:val="1"/>
    <w:qFormat/>
    <w:uiPriority w:val="0"/>
    <w:pPr>
      <w:tabs>
        <w:tab w:val="left" w:pos="4729"/>
        <w:tab w:val="clear" w:pos="4309"/>
      </w:tabs>
      <w:ind w:left="4729"/>
      <w:outlineLvl w:val="4"/>
    </w:pPr>
  </w:style>
  <w:style w:type="paragraph" w:customStyle="1" w:styleId="235">
    <w:name w:val="Test2"/>
    <w:basedOn w:val="5"/>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6">
    <w:name w:val="默认段落字体 Para Char Char Char Char Char Char Char"/>
    <w:basedOn w:val="1"/>
    <w:qFormat/>
    <w:uiPriority w:val="0"/>
  </w:style>
  <w:style w:type="paragraph" w:customStyle="1" w:styleId="237">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9">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4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1">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2">
    <w:name w:val="列表段落"/>
    <w:basedOn w:val="1"/>
    <w:qFormat/>
    <w:uiPriority w:val="0"/>
    <w:pPr>
      <w:ind w:firstLine="420" w:firstLineChars="200"/>
    </w:pPr>
    <w:rPr>
      <w:rFonts w:ascii="Calibri" w:hAnsi="Calibri"/>
      <w:szCs w:val="22"/>
    </w:rPr>
  </w:style>
  <w:style w:type="paragraph" w:customStyle="1" w:styleId="243">
    <w:name w:val="五级条标题"/>
    <w:basedOn w:val="244"/>
    <w:next w:val="1"/>
    <w:qFormat/>
    <w:uiPriority w:val="0"/>
    <w:pPr>
      <w:tabs>
        <w:tab w:val="left" w:pos="5149"/>
        <w:tab w:val="left" w:pos="5569"/>
      </w:tabs>
      <w:ind w:left="5569"/>
      <w:outlineLvl w:val="6"/>
    </w:pPr>
  </w:style>
  <w:style w:type="paragraph" w:customStyle="1" w:styleId="244">
    <w:name w:val="四级条标题"/>
    <w:basedOn w:val="234"/>
    <w:next w:val="1"/>
    <w:qFormat/>
    <w:uiPriority w:val="0"/>
    <w:pPr>
      <w:tabs>
        <w:tab w:val="left" w:pos="5149"/>
        <w:tab w:val="clear" w:pos="4729"/>
      </w:tabs>
      <w:ind w:left="5149"/>
      <w:outlineLvl w:val="5"/>
    </w:pPr>
  </w:style>
  <w:style w:type="paragraph" w:customStyle="1" w:styleId="245">
    <w:name w:val="正文-宋体四号"/>
    <w:basedOn w:val="1"/>
    <w:qFormat/>
    <w:uiPriority w:val="0"/>
    <w:pPr>
      <w:spacing w:line="360" w:lineRule="auto"/>
      <w:ind w:firstLine="560" w:firstLineChars="200"/>
    </w:pPr>
    <w:rPr>
      <w:rFonts w:cs="宋体"/>
      <w:sz w:val="28"/>
      <w:szCs w:val="20"/>
    </w:rPr>
  </w:style>
  <w:style w:type="paragraph" w:customStyle="1" w:styleId="246">
    <w:name w:val="纯文本1"/>
    <w:basedOn w:val="1"/>
    <w:qFormat/>
    <w:uiPriority w:val="0"/>
    <w:pPr>
      <w:adjustRightInd w:val="0"/>
      <w:textAlignment w:val="baseline"/>
    </w:pPr>
    <w:rPr>
      <w:rFonts w:ascii="宋体" w:hAnsi="Courier New" w:eastAsia="楷体_GB2312"/>
      <w:sz w:val="28"/>
      <w:szCs w:val="20"/>
    </w:rPr>
  </w:style>
  <w:style w:type="paragraph" w:customStyle="1" w:styleId="247">
    <w:name w:val="Char2"/>
    <w:basedOn w:val="1"/>
    <w:qFormat/>
    <w:uiPriority w:val="0"/>
  </w:style>
  <w:style w:type="paragraph" w:customStyle="1" w:styleId="248">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49">
    <w:name w:val="样式5"/>
    <w:basedOn w:val="2"/>
    <w:qFormat/>
    <w:uiPriority w:val="0"/>
    <w:pPr>
      <w:adjustRightInd/>
      <w:spacing w:line="360" w:lineRule="auto"/>
      <w:ind w:firstLine="200" w:firstLineChars="200"/>
      <w:textAlignment w:val="auto"/>
    </w:pPr>
    <w:rPr>
      <w:sz w:val="28"/>
      <w:szCs w:val="21"/>
    </w:rPr>
  </w:style>
  <w:style w:type="paragraph" w:customStyle="1" w:styleId="250">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1">
    <w:name w:val="Char Char Char Char Char Char Char Char Char Char Char Char Char1"/>
    <w:basedOn w:val="1"/>
    <w:qFormat/>
    <w:uiPriority w:val="0"/>
  </w:style>
  <w:style w:type="paragraph" w:customStyle="1" w:styleId="252">
    <w:name w:val="样式 标题 1Level 1Level 11h1II+IHeading1H1-Heading 1Header 1..."/>
    <w:basedOn w:val="4"/>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3">
    <w:name w:val="样式 标题 3 + 黑色 段前: 5 磅 段后: 5 磅 行距: 1.5 倍行距"/>
    <w:basedOn w:val="1"/>
    <w:qFormat/>
    <w:uiPriority w:val="0"/>
    <w:pPr>
      <w:ind w:left="855" w:hanging="855"/>
    </w:pPr>
    <w:rPr>
      <w:sz w:val="24"/>
      <w:szCs w:val="20"/>
    </w:rPr>
  </w:style>
  <w:style w:type="paragraph" w:customStyle="1" w:styleId="254">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5">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7">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8">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9">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60">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1">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6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5">
    <w:name w:val="tabletext"/>
    <w:basedOn w:val="1"/>
    <w:qFormat/>
    <w:uiPriority w:val="0"/>
    <w:pPr>
      <w:widowControl/>
      <w:spacing w:line="300" w:lineRule="atLeast"/>
      <w:jc w:val="left"/>
    </w:pPr>
    <w:rPr>
      <w:rFonts w:ascii="宋体" w:hAnsi="宋体" w:cs="宋体"/>
      <w:kern w:val="0"/>
      <w:sz w:val="18"/>
      <w:szCs w:val="18"/>
    </w:rPr>
  </w:style>
  <w:style w:type="paragraph" w:customStyle="1" w:styleId="266">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7">
    <w:name w:val="TOC 标题1"/>
    <w:basedOn w:val="4"/>
    <w:next w:val="1"/>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8">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9">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70">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1">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2">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3">
    <w:name w:val="简单回函地址"/>
    <w:basedOn w:val="1"/>
    <w:qFormat/>
    <w:uiPriority w:val="0"/>
  </w:style>
  <w:style w:type="paragraph" w:customStyle="1" w:styleId="274">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5">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6">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7">
    <w:name w:val="1 Char"/>
    <w:basedOn w:val="2"/>
    <w:qFormat/>
    <w:uiPriority w:val="0"/>
    <w:pPr>
      <w:adjustRightInd/>
      <w:spacing w:line="360" w:lineRule="auto"/>
      <w:ind w:firstLine="200" w:firstLineChars="200"/>
      <w:textAlignment w:val="auto"/>
    </w:pPr>
    <w:rPr>
      <w:kern w:val="2"/>
    </w:rPr>
  </w:style>
  <w:style w:type="paragraph" w:customStyle="1" w:styleId="278">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9">
    <w:name w:val="TOC 标题2"/>
    <w:basedOn w:val="4"/>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80">
    <w:name w:val="Char Char"/>
    <w:basedOn w:val="1"/>
    <w:qFormat/>
    <w:uiPriority w:val="0"/>
    <w:rPr>
      <w:rFonts w:ascii="仿宋_GB2312" w:eastAsia="仿宋_GB2312"/>
      <w:b/>
      <w:sz w:val="32"/>
      <w:szCs w:val="32"/>
    </w:rPr>
  </w:style>
  <w:style w:type="paragraph" w:customStyle="1" w:styleId="281">
    <w:name w:val="l正文"/>
    <w:basedOn w:val="1"/>
    <w:qFormat/>
    <w:uiPriority w:val="0"/>
    <w:pPr>
      <w:spacing w:line="360" w:lineRule="auto"/>
      <w:ind w:firstLine="200" w:firstLineChars="200"/>
    </w:pPr>
    <w:rPr>
      <w:rFonts w:ascii="宋体" w:hAnsi="宋体"/>
      <w:sz w:val="24"/>
    </w:rPr>
  </w:style>
  <w:style w:type="paragraph" w:customStyle="1" w:styleId="282">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4">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5">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6">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7">
    <w:name w:val="Char Char Char Char Char Char Char1"/>
    <w:basedOn w:val="1"/>
    <w:qFormat/>
    <w:uiPriority w:val="0"/>
    <w:rPr>
      <w:rFonts w:ascii="仿宋_GB2312" w:eastAsia="仿宋_GB2312"/>
      <w:b/>
      <w:sz w:val="32"/>
      <w:szCs w:val="32"/>
    </w:rPr>
  </w:style>
  <w:style w:type="paragraph" w:customStyle="1" w:styleId="28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9">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0">
    <w:name w:val="标题2"/>
    <w:basedOn w:val="5"/>
    <w:qFormat/>
    <w:uiPriority w:val="0"/>
    <w:pPr>
      <w:tabs>
        <w:tab w:val="left" w:pos="709"/>
      </w:tabs>
    </w:pPr>
    <w:rPr>
      <w:rFonts w:ascii="宋体" w:hAnsi="宋体"/>
      <w:sz w:val="36"/>
      <w:szCs w:val="36"/>
    </w:rPr>
  </w:style>
  <w:style w:type="paragraph" w:customStyle="1" w:styleId="291">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3">
    <w:name w:val="Char1"/>
    <w:basedOn w:val="1"/>
    <w:qFormat/>
    <w:uiPriority w:val="0"/>
    <w:rPr>
      <w:rFonts w:ascii="仿宋_GB2312" w:eastAsia="仿宋_GB2312"/>
      <w:b/>
      <w:sz w:val="32"/>
      <w:szCs w:val="32"/>
    </w:rPr>
  </w:style>
  <w:style w:type="paragraph" w:customStyle="1" w:styleId="294">
    <w:name w:val="正文字缩2字"/>
    <w:basedOn w:val="1"/>
    <w:qFormat/>
    <w:uiPriority w:val="0"/>
    <w:pPr>
      <w:spacing w:before="60" w:after="60" w:line="360" w:lineRule="auto"/>
      <w:ind w:left="200" w:leftChars="200" w:firstLine="200" w:firstLineChars="200"/>
    </w:pPr>
    <w:rPr>
      <w:sz w:val="24"/>
    </w:rPr>
  </w:style>
  <w:style w:type="paragraph" w:customStyle="1" w:styleId="295">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6">
    <w:name w:val="保留正文"/>
    <w:basedOn w:val="22"/>
    <w:qFormat/>
    <w:uiPriority w:val="0"/>
    <w:pPr>
      <w:keepNext/>
      <w:spacing w:after="160"/>
    </w:pPr>
    <w:rPr>
      <w:szCs w:val="20"/>
    </w:rPr>
  </w:style>
  <w:style w:type="paragraph" w:customStyle="1" w:styleId="297">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0">
    <w:name w:val="Char"/>
    <w:basedOn w:val="1"/>
    <w:qFormat/>
    <w:uiPriority w:val="0"/>
    <w:rPr>
      <w:rFonts w:ascii="仿宋_GB2312" w:eastAsia="仿宋_GB2312"/>
      <w:b/>
      <w:sz w:val="32"/>
      <w:szCs w:val="32"/>
    </w:rPr>
  </w:style>
  <w:style w:type="paragraph" w:customStyle="1" w:styleId="301">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2">
    <w:name w:val="正文文字表格居中"/>
    <w:basedOn w:val="1"/>
    <w:next w:val="48"/>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3">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4">
    <w:name w:val="Char1 Char Char Char Char Char Char"/>
    <w:basedOn w:val="1"/>
    <w:qFormat/>
    <w:uiPriority w:val="0"/>
    <w:rPr>
      <w:rFonts w:ascii="宋体" w:hAnsi="宋体"/>
      <w:color w:val="000000"/>
      <w:sz w:val="24"/>
    </w:rPr>
  </w:style>
  <w:style w:type="paragraph" w:customStyle="1" w:styleId="305">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6">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09">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10">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1">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3">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4">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5">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6">
    <w:name w:val="样式 标题 3 + 黑体 小四 非加粗"/>
    <w:basedOn w:val="6"/>
    <w:qFormat/>
    <w:uiPriority w:val="0"/>
    <w:pPr>
      <w:spacing w:before="260" w:after="260" w:line="413" w:lineRule="auto"/>
    </w:pPr>
    <w:rPr>
      <w:rFonts w:ascii="黑体" w:hAnsi="黑体"/>
      <w:b w:val="0"/>
      <w:kern w:val="0"/>
      <w:sz w:val="24"/>
      <w:szCs w:val="32"/>
    </w:rPr>
  </w:style>
  <w:style w:type="paragraph" w:customStyle="1" w:styleId="317">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9">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2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2">
    <w:name w:val="文档正文"/>
    <w:basedOn w:val="1"/>
    <w:qFormat/>
    <w:uiPriority w:val="0"/>
    <w:pPr>
      <w:adjustRightInd w:val="0"/>
      <w:spacing w:line="300" w:lineRule="auto"/>
      <w:ind w:firstLine="567"/>
      <w:textAlignment w:val="baseline"/>
    </w:pPr>
    <w:rPr>
      <w:kern w:val="0"/>
      <w:sz w:val="24"/>
      <w:szCs w:val="20"/>
    </w:rPr>
  </w:style>
  <w:style w:type="paragraph" w:customStyle="1" w:styleId="323">
    <w:name w:val="列出段落2"/>
    <w:basedOn w:val="1"/>
    <w:qFormat/>
    <w:uiPriority w:val="0"/>
    <w:pPr>
      <w:ind w:firstLine="420" w:firstLineChars="200"/>
    </w:pPr>
  </w:style>
  <w:style w:type="paragraph" w:customStyle="1" w:styleId="324">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5">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6">
    <w:name w:val="p0"/>
    <w:basedOn w:val="1"/>
    <w:qFormat/>
    <w:uiPriority w:val="0"/>
    <w:pPr>
      <w:widowControl/>
    </w:pPr>
    <w:rPr>
      <w:kern w:val="0"/>
      <w:szCs w:val="21"/>
    </w:rPr>
  </w:style>
  <w:style w:type="paragraph" w:customStyle="1" w:styleId="327">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8">
    <w:name w:val="TableGrid"/>
    <w:qFormat/>
    <w:uiPriority w:val="0"/>
    <w:tblPr>
      <w:tblCellMar>
        <w:top w:w="0" w:type="dxa"/>
        <w:left w:w="0" w:type="dxa"/>
        <w:bottom w:w="0" w:type="dxa"/>
        <w:right w:w="0" w:type="dxa"/>
      </w:tblCellMar>
    </w:tblPr>
  </w:style>
  <w:style w:type="paragraph" w:styleId="329">
    <w:name w:val="List Paragraph"/>
    <w:basedOn w:val="1"/>
    <w:qFormat/>
    <w:uiPriority w:val="99"/>
    <w:pPr>
      <w:ind w:firstLine="420" w:firstLineChars="200"/>
    </w:pPr>
  </w:style>
  <w:style w:type="paragraph" w:customStyle="1" w:styleId="330">
    <w:name w:val="正文段"/>
    <w:basedOn w:val="1"/>
    <w:qFormat/>
    <w:uiPriority w:val="0"/>
    <w:pPr>
      <w:widowControl/>
      <w:snapToGrid w:val="0"/>
      <w:spacing w:afterLines="50"/>
      <w:ind w:firstLine="200" w:firstLineChars="200"/>
    </w:pPr>
    <w:rPr>
      <w:sz w:val="24"/>
      <w:szCs w:val="20"/>
    </w:rPr>
  </w:style>
  <w:style w:type="paragraph" w:customStyle="1" w:styleId="331">
    <w:name w:val="_Style 3"/>
    <w:basedOn w:val="1"/>
    <w:next w:val="1"/>
    <w:qFormat/>
    <w:uiPriority w:val="34"/>
    <w:pPr>
      <w:spacing w:line="360" w:lineRule="auto"/>
      <w:ind w:firstLine="420" w:firstLineChars="200"/>
    </w:pPr>
  </w:style>
  <w:style w:type="paragraph" w:customStyle="1" w:styleId="332">
    <w:name w:val="_Style 2"/>
    <w:basedOn w:val="1"/>
    <w:next w:val="1"/>
    <w:qFormat/>
    <w:uiPriority w:val="0"/>
    <w:pPr>
      <w:pBdr>
        <w:bottom w:val="single" w:color="auto" w:sz="6" w:space="1"/>
      </w:pBdr>
      <w:jc w:val="center"/>
    </w:pPr>
    <w:rPr>
      <w:rFonts w:ascii="Arial"/>
      <w:vanish/>
      <w:sz w:val="16"/>
    </w:rPr>
  </w:style>
  <w:style w:type="character" w:customStyle="1" w:styleId="333">
    <w:name w:val="font31"/>
    <w:basedOn w:val="55"/>
    <w:qFormat/>
    <w:uiPriority w:val="0"/>
    <w:rPr>
      <w:rFonts w:hint="eastAsia" w:ascii="宋体" w:hAnsi="宋体" w:eastAsia="宋体" w:cs="宋体"/>
      <w:color w:val="000000"/>
      <w:sz w:val="24"/>
      <w:szCs w:val="24"/>
      <w:u w:val="single"/>
    </w:rPr>
  </w:style>
  <w:style w:type="paragraph" w:customStyle="1" w:styleId="334">
    <w:name w:val="表格文字"/>
    <w:basedOn w:val="1"/>
    <w:next w:val="22"/>
    <w:qFormat/>
    <w:uiPriority w:val="0"/>
    <w:pPr>
      <w:adjustRightInd w:val="0"/>
      <w:spacing w:line="420" w:lineRule="atLeast"/>
      <w:jc w:val="left"/>
      <w:textAlignment w:val="baseline"/>
    </w:pPr>
    <w:rPr>
      <w:kern w:val="0"/>
    </w:rPr>
  </w:style>
  <w:style w:type="character" w:customStyle="1" w:styleId="335">
    <w:name w:val="font01"/>
    <w:basedOn w:val="55"/>
    <w:qFormat/>
    <w:uiPriority w:val="0"/>
    <w:rPr>
      <w:rFonts w:ascii="Arial" w:hAnsi="Arial" w:cs="Arial"/>
      <w:color w:val="000000"/>
      <w:sz w:val="18"/>
      <w:szCs w:val="18"/>
      <w:u w:val="none"/>
    </w:rPr>
  </w:style>
  <w:style w:type="paragraph" w:customStyle="1" w:styleId="336">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7">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38">
    <w:name w:val="font61"/>
    <w:basedOn w:val="55"/>
    <w:qFormat/>
    <w:uiPriority w:val="0"/>
    <w:rPr>
      <w:rFonts w:hint="eastAsia" w:ascii="宋体" w:hAnsi="宋体" w:eastAsia="宋体" w:cs="宋体"/>
      <w:color w:val="000000"/>
      <w:sz w:val="20"/>
      <w:szCs w:val="20"/>
      <w:u w:val="none"/>
    </w:rPr>
  </w:style>
  <w:style w:type="character" w:customStyle="1" w:styleId="339">
    <w:name w:val="font81"/>
    <w:basedOn w:val="55"/>
    <w:qFormat/>
    <w:uiPriority w:val="0"/>
    <w:rPr>
      <w:rFonts w:ascii="Calibri" w:hAnsi="Calibri" w:cs="Calibri"/>
      <w:color w:val="000000"/>
      <w:sz w:val="20"/>
      <w:szCs w:val="20"/>
      <w:u w:val="none"/>
    </w:rPr>
  </w:style>
  <w:style w:type="character" w:customStyle="1" w:styleId="340">
    <w:name w:val="font71"/>
    <w:basedOn w:val="55"/>
    <w:qFormat/>
    <w:uiPriority w:val="0"/>
    <w:rPr>
      <w:rFonts w:hint="eastAsia" w:ascii="宋体" w:hAnsi="宋体" w:eastAsia="宋体" w:cs="宋体"/>
      <w:color w:val="000000"/>
      <w:sz w:val="22"/>
      <w:szCs w:val="22"/>
      <w:u w:val="none"/>
    </w:rPr>
  </w:style>
  <w:style w:type="paragraph" w:customStyle="1" w:styleId="341">
    <w:name w:val="列表编号1"/>
    <w:basedOn w:val="15"/>
    <w:qFormat/>
    <w:uiPriority w:val="0"/>
    <w:pPr>
      <w:numPr>
        <w:ilvl w:val="0"/>
        <w:numId w:val="2"/>
      </w:numPr>
      <w:adjustRightInd w:val="0"/>
      <w:snapToGrid w:val="0"/>
      <w:contextualSpacing w:val="0"/>
      <w:jc w:val="center"/>
    </w:pPr>
    <w:rPr>
      <w:rFonts w:eastAsia="微软雅黑"/>
      <w:sz w:val="24"/>
    </w:rPr>
  </w:style>
  <w:style w:type="paragraph" w:customStyle="1" w:styleId="342">
    <w:name w:val="列表编号2"/>
    <w:basedOn w:val="14"/>
    <w:next w:val="14"/>
    <w:qFormat/>
    <w:uiPriority w:val="0"/>
    <w:pPr>
      <w:numPr>
        <w:ilvl w:val="1"/>
        <w:numId w:val="2"/>
      </w:numPr>
      <w:adjustRightInd w:val="0"/>
      <w:snapToGrid w:val="0"/>
      <w:contextualSpacing w:val="0"/>
      <w:jc w:val="center"/>
    </w:pPr>
    <w:rPr>
      <w:rFonts w:eastAsia="微软雅黑"/>
      <w:sz w:val="24"/>
    </w:rPr>
  </w:style>
  <w:style w:type="paragraph" w:customStyle="1" w:styleId="343">
    <w:name w:val="列表段落2"/>
    <w:basedOn w:val="1"/>
    <w:next w:val="14"/>
    <w:qFormat/>
    <w:uiPriority w:val="99"/>
    <w:pPr>
      <w:widowControl/>
      <w:numPr>
        <w:ilvl w:val="1"/>
        <w:numId w:val="3"/>
      </w:numPr>
      <w:jc w:val="center"/>
    </w:pPr>
    <w:rPr>
      <w:rFonts w:ascii="宋体" w:hAnsi="宋体" w:eastAsia="宋体" w:cs="宋体"/>
      <w:kern w:val="0"/>
      <w:sz w:val="24"/>
      <w:szCs w:val="24"/>
    </w:rPr>
  </w:style>
  <w:style w:type="paragraph" w:customStyle="1" w:styleId="344">
    <w:name w:val="样式 正文缩进 + 首行缩进:  2 字符"/>
    <w:basedOn w:val="2"/>
    <w:qFormat/>
    <w:uiPriority w:val="0"/>
    <w:pPr>
      <w:spacing w:line="360" w:lineRule="auto"/>
      <w:ind w:firstLine="200"/>
    </w:pPr>
    <w:rPr>
      <w:rFonts w:ascii="Times New Roman" w:hAnsi="Times New Roman" w:eastAsia="仿宋" w:cs="Times New Roman"/>
      <w:sz w:val="24"/>
      <w:szCs w:val="20"/>
    </w:rPr>
  </w:style>
  <w:style w:type="paragraph" w:customStyle="1" w:styleId="34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57</Pages>
  <Words>27864</Words>
  <Characters>29117</Characters>
  <Lines>322</Lines>
  <Paragraphs>90</Paragraphs>
  <TotalTime>7</TotalTime>
  <ScaleCrop>false</ScaleCrop>
  <LinksUpToDate>false</LinksUpToDate>
  <CharactersWithSpaces>31879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2020-10-13T06:50:00Z</dcterms:created>
  <dc:creator>zyq</dc:creator>
  <cp:lastModifiedBy>历程招标</cp:lastModifiedBy>
  <cp:lastPrinted>2022-12-14T06:56:00Z</cp:lastPrinted>
  <dcterms:modified xsi:type="dcterms:W3CDTF">2023-04-19T08:19:25Z</dcterms:modified>
  <dc:title>招标文件目录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BC1BA64C697642BF92F420CC9F67FF35</vt:lpwstr>
  </property>
</Properties>
</file>