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宋体" w:hAnsi="宋体" w:eastAsia="宋体" w:cs="宋体"/>
          <w:b/>
          <w:bCs/>
          <w:color w:val="auto"/>
          <w:sz w:val="56"/>
          <w:szCs w:val="56"/>
          <w:highlight w:val="none"/>
          <w:lang w:val="en-US" w:eastAsia="zh-CN"/>
        </w:rPr>
      </w:pPr>
      <w:r>
        <w:rPr>
          <w:rFonts w:hint="eastAsia" w:ascii="宋体" w:hAnsi="宋体" w:eastAsia="宋体" w:cs="宋体"/>
          <w:color w:val="auto"/>
          <w:spacing w:val="20"/>
          <w:sz w:val="96"/>
          <w:szCs w:val="28"/>
          <w:highlight w:val="none"/>
        </w:rPr>
        <w:t>温州市</w:t>
      </w:r>
      <w:r>
        <w:rPr>
          <w:rFonts w:hint="eastAsia" w:ascii="宋体" w:hAnsi="宋体" w:cs="宋体"/>
          <w:color w:val="auto"/>
          <w:spacing w:val="20"/>
          <w:sz w:val="96"/>
          <w:szCs w:val="28"/>
          <w:highlight w:val="none"/>
          <w:lang w:val="en-US" w:eastAsia="zh-CN"/>
        </w:rPr>
        <w:t>中医院</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3"/>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4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4885" w:type="dxa"/>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WZLCZB（W）-2023-04155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488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安全设备及网络维保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488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488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spacing w:line="700" w:lineRule="exact"/>
        <w:ind w:left="3802" w:leftChars="540" w:hanging="2668" w:hangingChars="700"/>
        <w:rPr>
          <w:rFonts w:hint="eastAsia" w:ascii="宋体" w:hAnsi="宋体" w:eastAsia="宋体" w:cs="宋体"/>
          <w:b/>
          <w:color w:val="auto"/>
          <w:spacing w:val="40"/>
          <w:sz w:val="30"/>
          <w:szCs w:val="30"/>
          <w:highlight w:val="none"/>
        </w:rPr>
      </w:pPr>
    </w:p>
    <w:p>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pPr>
        <w:pStyle w:val="4"/>
        <w:rPr>
          <w:rFonts w:hint="eastAsia"/>
        </w:rPr>
      </w:pPr>
    </w:p>
    <w:p>
      <w:pPr>
        <w:pStyle w:val="4"/>
        <w:rPr>
          <w:rFonts w:hint="eastAsia" w:ascii="宋体" w:hAnsi="宋体" w:eastAsia="宋体" w:cs="宋体"/>
          <w:b/>
          <w:color w:val="auto"/>
          <w:spacing w:val="40"/>
          <w:sz w:val="30"/>
          <w:szCs w:val="30"/>
          <w:highlight w:val="none"/>
        </w:rPr>
      </w:pPr>
    </w:p>
    <w:p>
      <w:pPr>
        <w:rPr>
          <w:rFonts w:hint="eastAsia"/>
        </w:rPr>
      </w:pPr>
    </w:p>
    <w:p>
      <w:pPr>
        <w:spacing w:line="600" w:lineRule="exact"/>
        <w:jc w:val="center"/>
        <w:rPr>
          <w:rFonts w:hint="eastAsia" w:ascii="宋体" w:hAnsi="宋体" w:eastAsia="宋体" w:cs="宋体"/>
          <w:color w:val="000000" w:themeColor="text1"/>
          <w:spacing w:val="30"/>
          <w:sz w:val="30"/>
          <w:highlight w:val="none"/>
          <w:lang w:eastAsia="zh-CN"/>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招 标 人:</w:t>
      </w:r>
      <w:r>
        <w:rPr>
          <w:rFonts w:hint="eastAsia" w:ascii="宋体" w:hAnsi="宋体" w:cs="宋体"/>
          <w:color w:val="000000" w:themeColor="text1"/>
          <w:spacing w:val="30"/>
          <w:sz w:val="30"/>
          <w:highlight w:val="none"/>
          <w:lang w:eastAsia="zh-CN"/>
          <w14:textFill>
            <w14:solidFill>
              <w14:schemeClr w14:val="tx1"/>
            </w14:solidFill>
          </w14:textFill>
        </w:rPr>
        <w:t>温州市中医院</w:t>
      </w:r>
    </w:p>
    <w:p>
      <w:pPr>
        <w:spacing w:line="600" w:lineRule="exact"/>
        <w:jc w:val="center"/>
        <w:rPr>
          <w:rFonts w:hint="eastAsia" w:ascii="宋体" w:hAnsi="宋体" w:eastAsia="宋体" w:cs="宋体"/>
          <w:color w:val="000000" w:themeColor="text1"/>
          <w:spacing w:val="30"/>
          <w:sz w:val="30"/>
          <w:highlight w:val="none"/>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招标代理机构：温州历程招标有限公司</w:t>
      </w:r>
    </w:p>
    <w:p>
      <w:pPr>
        <w:spacing w:line="600" w:lineRule="exact"/>
        <w:jc w:val="center"/>
        <w:rPr>
          <w:rFonts w:hint="eastAsia" w:ascii="宋体" w:hAnsi="宋体" w:eastAsia="宋体" w:cs="宋体"/>
          <w:color w:val="000000" w:themeColor="text1"/>
          <w:spacing w:val="30"/>
          <w:sz w:val="30"/>
          <w:highlight w:val="none"/>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二0二</w:t>
      </w:r>
      <w:r>
        <w:rPr>
          <w:rFonts w:hint="eastAsia" w:ascii="宋体" w:hAnsi="宋体" w:cs="宋体"/>
          <w:color w:val="000000" w:themeColor="text1"/>
          <w:spacing w:val="30"/>
          <w:sz w:val="30"/>
          <w:highlight w:val="none"/>
          <w:lang w:val="en-US" w:eastAsia="zh-CN"/>
          <w14:textFill>
            <w14:solidFill>
              <w14:schemeClr w14:val="tx1"/>
            </w14:solidFill>
          </w14:textFill>
        </w:rPr>
        <w:t>三</w:t>
      </w:r>
      <w:r>
        <w:rPr>
          <w:rFonts w:hint="eastAsia" w:ascii="宋体" w:hAnsi="宋体" w:eastAsia="宋体" w:cs="宋体"/>
          <w:color w:val="000000" w:themeColor="text1"/>
          <w:spacing w:val="30"/>
          <w:sz w:val="30"/>
          <w:highlight w:val="none"/>
          <w14:textFill>
            <w14:solidFill>
              <w14:schemeClr w14:val="tx1"/>
            </w14:solidFill>
          </w14:textFill>
        </w:rPr>
        <w:t>年</w:t>
      </w:r>
    </w:p>
    <w:p>
      <w:pPr>
        <w:rPr>
          <w:rFonts w:hint="eastAsia"/>
        </w:rPr>
      </w:pPr>
      <w:r>
        <w:rPr>
          <w:rFonts w:hint="eastAsia" w:ascii="宋体" w:hAnsi="宋体" w:eastAsia="宋体" w:cs="宋体"/>
          <w:b/>
          <w:color w:val="auto"/>
          <w:sz w:val="36"/>
          <w:szCs w:val="36"/>
          <w:highlight w:val="none"/>
        </w:rPr>
        <w:br w:type="page"/>
      </w:r>
    </w:p>
    <w:sdt>
      <w:sdtPr>
        <w:rPr>
          <w:rFonts w:hint="eastAsia" w:ascii="宋体" w:hAnsi="宋体" w:eastAsia="宋体" w:cs="宋体"/>
          <w:kern w:val="2"/>
          <w:sz w:val="21"/>
          <w:szCs w:val="24"/>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p>
          <w:pPr>
            <w:pStyle w:val="40"/>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pPr>
            <w:pStyle w:val="40"/>
            <w:tabs>
              <w:tab w:val="right" w:leader="dot" w:pos="9638"/>
            </w:tabs>
            <w:spacing w:line="360" w:lineRule="auto"/>
            <w:rPr>
              <w:sz w:val="22"/>
              <w:szCs w:val="28"/>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_Toc6599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招</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标</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公</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告</w:t>
          </w:r>
          <w:r>
            <w:rPr>
              <w:sz w:val="22"/>
              <w:szCs w:val="28"/>
            </w:rPr>
            <w:tab/>
          </w:r>
          <w:r>
            <w:rPr>
              <w:sz w:val="22"/>
              <w:szCs w:val="28"/>
            </w:rPr>
            <w:fldChar w:fldCharType="begin"/>
          </w:r>
          <w:r>
            <w:rPr>
              <w:sz w:val="22"/>
              <w:szCs w:val="28"/>
            </w:rPr>
            <w:instrText xml:space="preserve"> PAGEREF _Toc6599 \h </w:instrText>
          </w:r>
          <w:r>
            <w:rPr>
              <w:sz w:val="22"/>
              <w:szCs w:val="28"/>
            </w:rPr>
            <w:fldChar w:fldCharType="separate"/>
          </w:r>
          <w:r>
            <w:rPr>
              <w:sz w:val="22"/>
              <w:szCs w:val="28"/>
            </w:rPr>
            <w:t>3</w:t>
          </w:r>
          <w:r>
            <w:rPr>
              <w:sz w:val="22"/>
              <w:szCs w:val="28"/>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_Toc10401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第一部分    投标人须知</w:t>
          </w:r>
          <w:r>
            <w:rPr>
              <w:sz w:val="22"/>
              <w:szCs w:val="28"/>
            </w:rPr>
            <w:tab/>
          </w:r>
          <w:r>
            <w:rPr>
              <w:sz w:val="22"/>
              <w:szCs w:val="28"/>
            </w:rPr>
            <w:fldChar w:fldCharType="begin"/>
          </w:r>
          <w:r>
            <w:rPr>
              <w:sz w:val="22"/>
              <w:szCs w:val="28"/>
            </w:rPr>
            <w:instrText xml:space="preserve"> PAGEREF _Toc10401 \h </w:instrText>
          </w:r>
          <w:r>
            <w:rPr>
              <w:sz w:val="22"/>
              <w:szCs w:val="28"/>
            </w:rPr>
            <w:fldChar w:fldCharType="separate"/>
          </w:r>
          <w:r>
            <w:rPr>
              <w:sz w:val="22"/>
              <w:szCs w:val="28"/>
            </w:rPr>
            <w:t>6</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_Toc6224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前 附 表</w:t>
          </w:r>
          <w:r>
            <w:rPr>
              <w:sz w:val="22"/>
              <w:szCs w:val="28"/>
            </w:rPr>
            <w:tab/>
          </w:r>
          <w:r>
            <w:rPr>
              <w:sz w:val="22"/>
              <w:szCs w:val="28"/>
            </w:rPr>
            <w:fldChar w:fldCharType="begin"/>
          </w:r>
          <w:r>
            <w:rPr>
              <w:sz w:val="22"/>
              <w:szCs w:val="28"/>
            </w:rPr>
            <w:instrText xml:space="preserve"> PAGEREF _Toc6224 \h </w:instrText>
          </w:r>
          <w:r>
            <w:rPr>
              <w:sz w:val="22"/>
              <w:szCs w:val="28"/>
            </w:rPr>
            <w:fldChar w:fldCharType="separate"/>
          </w:r>
          <w:r>
            <w:rPr>
              <w:sz w:val="22"/>
              <w:szCs w:val="28"/>
            </w:rPr>
            <w:t>6</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_Toc19070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一、 说   明</w:t>
          </w:r>
          <w:r>
            <w:rPr>
              <w:sz w:val="22"/>
              <w:szCs w:val="28"/>
            </w:rPr>
            <w:tab/>
          </w:r>
          <w:r>
            <w:rPr>
              <w:sz w:val="22"/>
              <w:szCs w:val="28"/>
            </w:rPr>
            <w:fldChar w:fldCharType="begin"/>
          </w:r>
          <w:r>
            <w:rPr>
              <w:sz w:val="22"/>
              <w:szCs w:val="28"/>
            </w:rPr>
            <w:instrText xml:space="preserve"> PAGEREF _Toc19070 \h </w:instrText>
          </w:r>
          <w:r>
            <w:rPr>
              <w:sz w:val="22"/>
              <w:szCs w:val="28"/>
            </w:rPr>
            <w:fldChar w:fldCharType="separate"/>
          </w:r>
          <w:r>
            <w:rPr>
              <w:sz w:val="22"/>
              <w:szCs w:val="28"/>
            </w:rPr>
            <w:t>10</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_Toc28278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二、 招标文件</w:t>
          </w:r>
          <w:r>
            <w:rPr>
              <w:sz w:val="22"/>
              <w:szCs w:val="28"/>
            </w:rPr>
            <w:tab/>
          </w:r>
          <w:r>
            <w:rPr>
              <w:sz w:val="22"/>
              <w:szCs w:val="28"/>
            </w:rPr>
            <w:fldChar w:fldCharType="begin"/>
          </w:r>
          <w:r>
            <w:rPr>
              <w:sz w:val="22"/>
              <w:szCs w:val="28"/>
            </w:rPr>
            <w:instrText xml:space="preserve"> PAGEREF _Toc28278 \h </w:instrText>
          </w:r>
          <w:r>
            <w:rPr>
              <w:sz w:val="22"/>
              <w:szCs w:val="28"/>
            </w:rPr>
            <w:fldChar w:fldCharType="separate"/>
          </w:r>
          <w:r>
            <w:rPr>
              <w:sz w:val="22"/>
              <w:szCs w:val="28"/>
            </w:rPr>
            <w:t>10</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_Toc22646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三、 投标文件的编制</w:t>
          </w:r>
          <w:r>
            <w:rPr>
              <w:sz w:val="22"/>
              <w:szCs w:val="28"/>
            </w:rPr>
            <w:tab/>
          </w:r>
          <w:r>
            <w:rPr>
              <w:sz w:val="22"/>
              <w:szCs w:val="28"/>
            </w:rPr>
            <w:fldChar w:fldCharType="begin"/>
          </w:r>
          <w:r>
            <w:rPr>
              <w:sz w:val="22"/>
              <w:szCs w:val="28"/>
            </w:rPr>
            <w:instrText xml:space="preserve"> PAGEREF _Toc22646 \h </w:instrText>
          </w:r>
          <w:r>
            <w:rPr>
              <w:sz w:val="22"/>
              <w:szCs w:val="28"/>
            </w:rPr>
            <w:fldChar w:fldCharType="separate"/>
          </w:r>
          <w:r>
            <w:rPr>
              <w:sz w:val="22"/>
              <w:szCs w:val="28"/>
            </w:rPr>
            <w:t>11</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_Toc18542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四、 投标文件的递交</w:t>
          </w:r>
          <w:r>
            <w:rPr>
              <w:sz w:val="22"/>
              <w:szCs w:val="28"/>
            </w:rPr>
            <w:tab/>
          </w:r>
          <w:r>
            <w:rPr>
              <w:sz w:val="22"/>
              <w:szCs w:val="28"/>
            </w:rPr>
            <w:fldChar w:fldCharType="begin"/>
          </w:r>
          <w:r>
            <w:rPr>
              <w:sz w:val="22"/>
              <w:szCs w:val="28"/>
            </w:rPr>
            <w:instrText xml:space="preserve"> PAGEREF _Toc18542 \h </w:instrText>
          </w:r>
          <w:r>
            <w:rPr>
              <w:sz w:val="22"/>
              <w:szCs w:val="28"/>
            </w:rPr>
            <w:fldChar w:fldCharType="separate"/>
          </w:r>
          <w:r>
            <w:rPr>
              <w:sz w:val="22"/>
              <w:szCs w:val="28"/>
            </w:rPr>
            <w:t>14</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_Toc8079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五、 开标和评标</w:t>
          </w:r>
          <w:r>
            <w:rPr>
              <w:sz w:val="22"/>
              <w:szCs w:val="28"/>
            </w:rPr>
            <w:tab/>
          </w:r>
          <w:r>
            <w:rPr>
              <w:sz w:val="22"/>
              <w:szCs w:val="28"/>
            </w:rPr>
            <w:fldChar w:fldCharType="begin"/>
          </w:r>
          <w:r>
            <w:rPr>
              <w:sz w:val="22"/>
              <w:szCs w:val="28"/>
            </w:rPr>
            <w:instrText xml:space="preserve"> PAGEREF _Toc8079 \h </w:instrText>
          </w:r>
          <w:r>
            <w:rPr>
              <w:sz w:val="22"/>
              <w:szCs w:val="28"/>
            </w:rPr>
            <w:fldChar w:fldCharType="separate"/>
          </w:r>
          <w:r>
            <w:rPr>
              <w:sz w:val="22"/>
              <w:szCs w:val="28"/>
            </w:rPr>
            <w:t>14</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_Toc21056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六、 授予合同</w:t>
          </w:r>
          <w:r>
            <w:rPr>
              <w:sz w:val="22"/>
              <w:szCs w:val="28"/>
            </w:rPr>
            <w:tab/>
          </w:r>
          <w:r>
            <w:rPr>
              <w:sz w:val="22"/>
              <w:szCs w:val="28"/>
            </w:rPr>
            <w:fldChar w:fldCharType="begin"/>
          </w:r>
          <w:r>
            <w:rPr>
              <w:sz w:val="22"/>
              <w:szCs w:val="28"/>
            </w:rPr>
            <w:instrText xml:space="preserve"> PAGEREF _Toc21056 \h </w:instrText>
          </w:r>
          <w:r>
            <w:rPr>
              <w:sz w:val="22"/>
              <w:szCs w:val="28"/>
            </w:rPr>
            <w:fldChar w:fldCharType="separate"/>
          </w:r>
          <w:r>
            <w:rPr>
              <w:sz w:val="22"/>
              <w:szCs w:val="28"/>
            </w:rPr>
            <w:t>18</w:t>
          </w:r>
          <w:r>
            <w:rPr>
              <w:sz w:val="22"/>
              <w:szCs w:val="28"/>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_Toc19043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第二部分    合同主要条款</w:t>
          </w:r>
          <w:r>
            <w:rPr>
              <w:sz w:val="22"/>
              <w:szCs w:val="28"/>
            </w:rPr>
            <w:tab/>
          </w:r>
          <w:r>
            <w:rPr>
              <w:sz w:val="22"/>
              <w:szCs w:val="28"/>
            </w:rPr>
            <w:fldChar w:fldCharType="begin"/>
          </w:r>
          <w:r>
            <w:rPr>
              <w:sz w:val="22"/>
              <w:szCs w:val="28"/>
            </w:rPr>
            <w:instrText xml:space="preserve"> PAGEREF _Toc19043 \h </w:instrText>
          </w:r>
          <w:r>
            <w:rPr>
              <w:sz w:val="22"/>
              <w:szCs w:val="28"/>
            </w:rPr>
            <w:fldChar w:fldCharType="separate"/>
          </w:r>
          <w:r>
            <w:rPr>
              <w:sz w:val="22"/>
              <w:szCs w:val="28"/>
            </w:rPr>
            <w:t>20</w:t>
          </w:r>
          <w:r>
            <w:rPr>
              <w:sz w:val="22"/>
              <w:szCs w:val="28"/>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_Toc18439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第三部分    附件</w:t>
          </w:r>
          <w:r>
            <w:rPr>
              <w:sz w:val="22"/>
              <w:szCs w:val="28"/>
            </w:rPr>
            <w:tab/>
          </w:r>
          <w:r>
            <w:rPr>
              <w:sz w:val="22"/>
              <w:szCs w:val="28"/>
            </w:rPr>
            <w:fldChar w:fldCharType="begin"/>
          </w:r>
          <w:r>
            <w:rPr>
              <w:sz w:val="22"/>
              <w:szCs w:val="28"/>
            </w:rPr>
            <w:instrText xml:space="preserve"> PAGEREF _Toc18439 \h </w:instrText>
          </w:r>
          <w:r>
            <w:rPr>
              <w:sz w:val="22"/>
              <w:szCs w:val="28"/>
            </w:rPr>
            <w:fldChar w:fldCharType="separate"/>
          </w:r>
          <w:r>
            <w:rPr>
              <w:sz w:val="22"/>
              <w:szCs w:val="28"/>
            </w:rPr>
            <w:t>25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_Toc6368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highlight w:val="none"/>
            </w:rPr>
            <w:t>附件一</w:t>
          </w:r>
          <w:r>
            <w:rPr>
              <w:sz w:val="22"/>
              <w:szCs w:val="28"/>
            </w:rPr>
            <w:tab/>
          </w:r>
          <w:r>
            <w:rPr>
              <w:sz w:val="22"/>
              <w:szCs w:val="28"/>
            </w:rPr>
            <w:fldChar w:fldCharType="begin"/>
          </w:r>
          <w:r>
            <w:rPr>
              <w:sz w:val="22"/>
              <w:szCs w:val="28"/>
            </w:rPr>
            <w:instrText xml:space="preserve"> PAGEREF _Toc6368 \h </w:instrText>
          </w:r>
          <w:r>
            <w:rPr>
              <w:sz w:val="22"/>
              <w:szCs w:val="28"/>
            </w:rPr>
            <w:fldChar w:fldCharType="separate"/>
          </w:r>
          <w:r>
            <w:rPr>
              <w:sz w:val="22"/>
              <w:szCs w:val="28"/>
            </w:rPr>
            <w:t>25</w:t>
          </w:r>
          <w:r>
            <w:rPr>
              <w:sz w:val="22"/>
              <w:szCs w:val="28"/>
            </w:rPr>
            <w:fldChar w:fldCharType="end"/>
          </w:r>
          <w:r>
            <w:rPr>
              <w:rFonts w:hint="eastAsia" w:ascii="宋体" w:hAnsi="宋体" w:eastAsia="宋体" w:cs="宋体"/>
              <w:color w:val="auto"/>
              <w:sz w:val="22"/>
              <w:szCs w:val="40"/>
              <w:highlight w:val="none"/>
            </w:rPr>
            <w:fldChar w:fldCharType="end"/>
          </w:r>
        </w:p>
        <w:p>
          <w:pPr>
            <w:pStyle w:val="3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_Toc5430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报价文件</w:t>
          </w:r>
          <w:r>
            <w:rPr>
              <w:sz w:val="22"/>
              <w:szCs w:val="28"/>
            </w:rPr>
            <w:tab/>
          </w:r>
          <w:r>
            <w:rPr>
              <w:sz w:val="22"/>
              <w:szCs w:val="28"/>
            </w:rPr>
            <w:fldChar w:fldCharType="begin"/>
          </w:r>
          <w:r>
            <w:rPr>
              <w:sz w:val="22"/>
              <w:szCs w:val="28"/>
            </w:rPr>
            <w:instrText xml:space="preserve"> PAGEREF _Toc5430 \h </w:instrText>
          </w:r>
          <w:r>
            <w:rPr>
              <w:sz w:val="22"/>
              <w:szCs w:val="28"/>
            </w:rPr>
            <w:fldChar w:fldCharType="separate"/>
          </w:r>
          <w:r>
            <w:rPr>
              <w:sz w:val="22"/>
              <w:szCs w:val="28"/>
            </w:rPr>
            <w:t>25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_Toc12035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附件二</w:t>
          </w:r>
          <w:r>
            <w:rPr>
              <w:sz w:val="22"/>
              <w:szCs w:val="28"/>
            </w:rPr>
            <w:tab/>
          </w:r>
          <w:r>
            <w:rPr>
              <w:sz w:val="22"/>
              <w:szCs w:val="28"/>
            </w:rPr>
            <w:fldChar w:fldCharType="begin"/>
          </w:r>
          <w:r>
            <w:rPr>
              <w:sz w:val="22"/>
              <w:szCs w:val="28"/>
            </w:rPr>
            <w:instrText xml:space="preserve"> PAGEREF _Toc12035 \h </w:instrText>
          </w:r>
          <w:r>
            <w:rPr>
              <w:sz w:val="22"/>
              <w:szCs w:val="28"/>
            </w:rPr>
            <w:fldChar w:fldCharType="separate"/>
          </w:r>
          <w:r>
            <w:rPr>
              <w:sz w:val="22"/>
              <w:szCs w:val="28"/>
            </w:rPr>
            <w:t>33</w:t>
          </w:r>
          <w:r>
            <w:rPr>
              <w:sz w:val="22"/>
              <w:szCs w:val="28"/>
            </w:rPr>
            <w:fldChar w:fldCharType="end"/>
          </w:r>
          <w:r>
            <w:rPr>
              <w:rFonts w:hint="eastAsia" w:ascii="宋体" w:hAnsi="宋体" w:eastAsia="宋体" w:cs="宋体"/>
              <w:color w:val="auto"/>
              <w:sz w:val="22"/>
              <w:szCs w:val="40"/>
              <w:highlight w:val="none"/>
            </w:rPr>
            <w:fldChar w:fldCharType="end"/>
          </w:r>
        </w:p>
        <w:p>
          <w:pPr>
            <w:pStyle w:val="3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_Toc25309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资格证明文件</w:t>
          </w:r>
          <w:r>
            <w:rPr>
              <w:sz w:val="22"/>
              <w:szCs w:val="28"/>
            </w:rPr>
            <w:tab/>
          </w:r>
          <w:r>
            <w:rPr>
              <w:sz w:val="22"/>
              <w:szCs w:val="28"/>
            </w:rPr>
            <w:fldChar w:fldCharType="begin"/>
          </w:r>
          <w:r>
            <w:rPr>
              <w:sz w:val="22"/>
              <w:szCs w:val="28"/>
            </w:rPr>
            <w:instrText xml:space="preserve"> PAGEREF _Toc25309 \h </w:instrText>
          </w:r>
          <w:r>
            <w:rPr>
              <w:sz w:val="22"/>
              <w:szCs w:val="28"/>
            </w:rPr>
            <w:fldChar w:fldCharType="separate"/>
          </w:r>
          <w:r>
            <w:rPr>
              <w:sz w:val="22"/>
              <w:szCs w:val="28"/>
            </w:rPr>
            <w:t>33</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_Toc31356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附件三</w:t>
          </w:r>
          <w:r>
            <w:rPr>
              <w:sz w:val="22"/>
              <w:szCs w:val="28"/>
            </w:rPr>
            <w:tab/>
          </w:r>
          <w:r>
            <w:rPr>
              <w:sz w:val="22"/>
              <w:szCs w:val="28"/>
            </w:rPr>
            <w:fldChar w:fldCharType="begin"/>
          </w:r>
          <w:r>
            <w:rPr>
              <w:sz w:val="22"/>
              <w:szCs w:val="28"/>
            </w:rPr>
            <w:instrText xml:space="preserve"> PAGEREF _Toc31356 \h </w:instrText>
          </w:r>
          <w:r>
            <w:rPr>
              <w:sz w:val="22"/>
              <w:szCs w:val="28"/>
            </w:rPr>
            <w:fldChar w:fldCharType="separate"/>
          </w:r>
          <w:r>
            <w:rPr>
              <w:sz w:val="22"/>
              <w:szCs w:val="28"/>
            </w:rPr>
            <w:t>33</w:t>
          </w:r>
          <w:r>
            <w:rPr>
              <w:sz w:val="22"/>
              <w:szCs w:val="28"/>
            </w:rPr>
            <w:fldChar w:fldCharType="end"/>
          </w:r>
          <w:r>
            <w:rPr>
              <w:rFonts w:hint="eastAsia" w:ascii="宋体" w:hAnsi="宋体" w:eastAsia="宋体" w:cs="宋体"/>
              <w:color w:val="auto"/>
              <w:sz w:val="22"/>
              <w:szCs w:val="40"/>
              <w:highlight w:val="none"/>
            </w:rPr>
            <w:fldChar w:fldCharType="end"/>
          </w:r>
        </w:p>
        <w:p>
          <w:pPr>
            <w:pStyle w:val="3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_Toc13639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lang w:val="zh-CN"/>
            </w:rPr>
            <w:t>商务技术文件</w:t>
          </w:r>
          <w:r>
            <w:rPr>
              <w:sz w:val="22"/>
              <w:szCs w:val="28"/>
            </w:rPr>
            <w:tab/>
          </w:r>
          <w:r>
            <w:rPr>
              <w:sz w:val="22"/>
              <w:szCs w:val="28"/>
            </w:rPr>
            <w:fldChar w:fldCharType="begin"/>
          </w:r>
          <w:r>
            <w:rPr>
              <w:sz w:val="22"/>
              <w:szCs w:val="28"/>
            </w:rPr>
            <w:instrText xml:space="preserve"> PAGEREF _Toc13639 \h </w:instrText>
          </w:r>
          <w:r>
            <w:rPr>
              <w:sz w:val="22"/>
              <w:szCs w:val="28"/>
            </w:rPr>
            <w:fldChar w:fldCharType="separate"/>
          </w:r>
          <w:r>
            <w:rPr>
              <w:sz w:val="22"/>
              <w:szCs w:val="28"/>
            </w:rPr>
            <w:t>37</w:t>
          </w:r>
          <w:r>
            <w:rPr>
              <w:sz w:val="22"/>
              <w:szCs w:val="28"/>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_Toc3381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 xml:space="preserve">第四部分 </w:t>
          </w:r>
          <w:r>
            <w:rPr>
              <w:rFonts w:hint="eastAsia" w:ascii="宋体" w:hAnsi="宋体" w:cs="宋体"/>
              <w:sz w:val="22"/>
              <w:szCs w:val="28"/>
              <w:lang w:val="en-US" w:eastAsia="zh-CN"/>
            </w:rPr>
            <w:t xml:space="preserve">  </w:t>
          </w:r>
          <w:r>
            <w:rPr>
              <w:rFonts w:hint="eastAsia" w:ascii="宋体" w:hAnsi="宋体" w:eastAsia="宋体" w:cs="宋体"/>
              <w:sz w:val="22"/>
              <w:szCs w:val="28"/>
            </w:rPr>
            <w:t>项目技术规范和服务要求</w:t>
          </w:r>
          <w:r>
            <w:rPr>
              <w:sz w:val="22"/>
              <w:szCs w:val="28"/>
            </w:rPr>
            <w:tab/>
          </w:r>
          <w:r>
            <w:rPr>
              <w:sz w:val="22"/>
              <w:szCs w:val="28"/>
            </w:rPr>
            <w:fldChar w:fldCharType="begin"/>
          </w:r>
          <w:r>
            <w:rPr>
              <w:sz w:val="22"/>
              <w:szCs w:val="28"/>
            </w:rPr>
            <w:instrText xml:space="preserve"> PAGEREF _Toc3381 \h </w:instrText>
          </w:r>
          <w:r>
            <w:rPr>
              <w:sz w:val="22"/>
              <w:szCs w:val="28"/>
            </w:rPr>
            <w:fldChar w:fldCharType="separate"/>
          </w:r>
          <w:r>
            <w:rPr>
              <w:sz w:val="22"/>
              <w:szCs w:val="28"/>
            </w:rPr>
            <w:t>47</w:t>
          </w:r>
          <w:r>
            <w:rPr>
              <w:sz w:val="22"/>
              <w:szCs w:val="28"/>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_Toc18194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第五部分   评标原则及方法</w:t>
          </w:r>
          <w:r>
            <w:rPr>
              <w:sz w:val="22"/>
              <w:szCs w:val="28"/>
            </w:rPr>
            <w:tab/>
          </w:r>
          <w:r>
            <w:rPr>
              <w:sz w:val="22"/>
              <w:szCs w:val="28"/>
            </w:rPr>
            <w:fldChar w:fldCharType="begin"/>
          </w:r>
          <w:r>
            <w:rPr>
              <w:sz w:val="22"/>
              <w:szCs w:val="28"/>
            </w:rPr>
            <w:instrText xml:space="preserve"> PAGEREF _Toc18194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_Toc15713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一、总 则</w:t>
          </w:r>
          <w:r>
            <w:rPr>
              <w:sz w:val="22"/>
              <w:szCs w:val="28"/>
            </w:rPr>
            <w:tab/>
          </w:r>
          <w:r>
            <w:rPr>
              <w:sz w:val="22"/>
              <w:szCs w:val="28"/>
            </w:rPr>
            <w:fldChar w:fldCharType="begin"/>
          </w:r>
          <w:r>
            <w:rPr>
              <w:sz w:val="22"/>
              <w:szCs w:val="28"/>
            </w:rPr>
            <w:instrText xml:space="preserve"> PAGEREF _Toc15713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_Toc23152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二、评标组织</w:t>
          </w:r>
          <w:r>
            <w:rPr>
              <w:sz w:val="22"/>
              <w:szCs w:val="28"/>
            </w:rPr>
            <w:tab/>
          </w:r>
          <w:r>
            <w:rPr>
              <w:sz w:val="22"/>
              <w:szCs w:val="28"/>
            </w:rPr>
            <w:fldChar w:fldCharType="begin"/>
          </w:r>
          <w:r>
            <w:rPr>
              <w:sz w:val="22"/>
              <w:szCs w:val="28"/>
            </w:rPr>
            <w:instrText xml:space="preserve"> PAGEREF _Toc23152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_Toc67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三、评标程序</w:t>
          </w:r>
          <w:r>
            <w:rPr>
              <w:sz w:val="22"/>
              <w:szCs w:val="28"/>
            </w:rPr>
            <w:tab/>
          </w:r>
          <w:r>
            <w:rPr>
              <w:sz w:val="22"/>
              <w:szCs w:val="28"/>
            </w:rPr>
            <w:fldChar w:fldCharType="begin"/>
          </w:r>
          <w:r>
            <w:rPr>
              <w:sz w:val="22"/>
              <w:szCs w:val="28"/>
            </w:rPr>
            <w:instrText xml:space="preserve"> PAGEREF _Toc67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_Toc24825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四、评标办法</w:t>
          </w:r>
          <w:r>
            <w:rPr>
              <w:sz w:val="22"/>
              <w:szCs w:val="28"/>
            </w:rPr>
            <w:tab/>
          </w:r>
          <w:r>
            <w:rPr>
              <w:sz w:val="22"/>
              <w:szCs w:val="28"/>
            </w:rPr>
            <w:fldChar w:fldCharType="begin"/>
          </w:r>
          <w:r>
            <w:rPr>
              <w:sz w:val="22"/>
              <w:szCs w:val="28"/>
            </w:rPr>
            <w:instrText xml:space="preserve"> PAGEREF _Toc24825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_Toc11450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rPr>
            <w:t xml:space="preserve">五、 </w:t>
          </w:r>
          <w:r>
            <w:rPr>
              <w:rFonts w:hint="eastAsia" w:ascii="宋体" w:hAnsi="宋体" w:eastAsia="宋体" w:cs="宋体"/>
              <w:sz w:val="22"/>
              <w:szCs w:val="24"/>
              <w:highlight w:val="none"/>
            </w:rPr>
            <w:t>评分细则</w:t>
          </w:r>
          <w:r>
            <w:rPr>
              <w:sz w:val="22"/>
              <w:szCs w:val="28"/>
            </w:rPr>
            <w:tab/>
          </w:r>
          <w:r>
            <w:rPr>
              <w:sz w:val="22"/>
              <w:szCs w:val="28"/>
            </w:rPr>
            <w:fldChar w:fldCharType="begin"/>
          </w:r>
          <w:r>
            <w:rPr>
              <w:sz w:val="22"/>
              <w:szCs w:val="28"/>
            </w:rPr>
            <w:instrText xml:space="preserve"> PAGEREF _Toc11450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_Toc4727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六、定标办法</w:t>
          </w:r>
          <w:r>
            <w:rPr>
              <w:sz w:val="22"/>
              <w:szCs w:val="28"/>
            </w:rPr>
            <w:tab/>
          </w:r>
          <w:r>
            <w:rPr>
              <w:sz w:val="22"/>
              <w:szCs w:val="28"/>
            </w:rPr>
            <w:fldChar w:fldCharType="begin"/>
          </w:r>
          <w:r>
            <w:rPr>
              <w:sz w:val="22"/>
              <w:szCs w:val="28"/>
            </w:rPr>
            <w:instrText xml:space="preserve"> PAGEREF _Toc4727 \h </w:instrText>
          </w:r>
          <w:r>
            <w:rPr>
              <w:sz w:val="22"/>
              <w:szCs w:val="28"/>
            </w:rPr>
            <w:fldChar w:fldCharType="separate"/>
          </w:r>
          <w:r>
            <w:rPr>
              <w:sz w:val="22"/>
              <w:szCs w:val="28"/>
            </w:rPr>
            <w:t>57</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_Toc3629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七、投标人义务</w:t>
          </w:r>
          <w:r>
            <w:rPr>
              <w:sz w:val="22"/>
              <w:szCs w:val="28"/>
            </w:rPr>
            <w:tab/>
          </w:r>
          <w:r>
            <w:rPr>
              <w:sz w:val="22"/>
              <w:szCs w:val="28"/>
            </w:rPr>
            <w:fldChar w:fldCharType="begin"/>
          </w:r>
          <w:r>
            <w:rPr>
              <w:sz w:val="22"/>
              <w:szCs w:val="28"/>
            </w:rPr>
            <w:instrText xml:space="preserve"> PAGEREF _Toc3629 \h </w:instrText>
          </w:r>
          <w:r>
            <w:rPr>
              <w:sz w:val="22"/>
              <w:szCs w:val="28"/>
            </w:rPr>
            <w:fldChar w:fldCharType="separate"/>
          </w:r>
          <w:r>
            <w:rPr>
              <w:sz w:val="22"/>
              <w:szCs w:val="28"/>
            </w:rPr>
            <w:t>58</w:t>
          </w:r>
          <w:r>
            <w:rPr>
              <w:sz w:val="22"/>
              <w:szCs w:val="28"/>
            </w:rPr>
            <w:fldChar w:fldCharType="end"/>
          </w:r>
          <w:r>
            <w:rPr>
              <w:rFonts w:hint="eastAsia" w:ascii="宋体" w:hAnsi="宋体" w:eastAsia="宋体" w:cs="宋体"/>
              <w:color w:val="auto"/>
              <w:sz w:val="22"/>
              <w:szCs w:val="40"/>
              <w:highlight w:val="none"/>
            </w:rPr>
            <w:fldChar w:fldCharType="end"/>
          </w:r>
        </w:p>
        <w:p>
          <w:pPr>
            <w:spacing w:line="360" w:lineRule="auto"/>
            <w:ind w:firstLine="1870" w:firstLineChars="850"/>
            <w:rPr>
              <w:rFonts w:hint="eastAsia" w:ascii="宋体" w:hAnsi="宋体" w:eastAsia="宋体" w:cs="宋体"/>
              <w:b/>
              <w:color w:val="auto"/>
              <w:sz w:val="22"/>
              <w:szCs w:val="22"/>
              <w:highlight w:val="none"/>
            </w:rPr>
          </w:pPr>
          <w:r>
            <w:rPr>
              <w:rFonts w:hint="eastAsia" w:ascii="宋体" w:hAnsi="宋体" w:eastAsia="宋体" w:cs="宋体"/>
              <w:color w:val="auto"/>
              <w:sz w:val="22"/>
              <w:szCs w:val="40"/>
              <w:highlight w:val="none"/>
            </w:rPr>
            <w:fldChar w:fldCharType="end"/>
          </w:r>
        </w:p>
      </w:sdtContent>
    </w:sdt>
    <w:p>
      <w:pPr>
        <w:pStyle w:val="4"/>
        <w:bidi w:val="0"/>
        <w:rPr>
          <w:rFonts w:hint="eastAsia" w:ascii="宋体" w:hAnsi="宋体" w:eastAsia="宋体" w:cs="宋体"/>
          <w:b/>
          <w:color w:val="auto"/>
          <w:highlight w:val="none"/>
        </w:rPr>
      </w:pPr>
      <w:bookmarkStart w:id="0" w:name="_Toc6599"/>
      <w:bookmarkStart w:id="1" w:name="_Toc32649"/>
      <w:r>
        <w:rPr>
          <w:rFonts w:hint="eastAsia" w:ascii="宋体" w:hAnsi="宋体" w:eastAsia="宋体" w:cs="宋体"/>
        </w:rPr>
        <w:t>招</w:t>
      </w:r>
      <w:r>
        <w:rPr>
          <w:rFonts w:hint="eastAsia" w:ascii="宋体" w:hAnsi="宋体" w:eastAsia="宋体" w:cs="宋体"/>
          <w:lang w:val="en-US" w:eastAsia="zh-CN"/>
        </w:rPr>
        <w:t xml:space="preserve"> </w:t>
      </w:r>
      <w:r>
        <w:rPr>
          <w:rFonts w:hint="eastAsia" w:ascii="宋体" w:hAnsi="宋体" w:eastAsia="宋体" w:cs="宋体"/>
        </w:rPr>
        <w:t>标</w:t>
      </w:r>
      <w:r>
        <w:rPr>
          <w:rFonts w:hint="eastAsia" w:ascii="宋体" w:hAnsi="宋体" w:eastAsia="宋体" w:cs="宋体"/>
          <w:lang w:val="en-US" w:eastAsia="zh-CN"/>
        </w:rPr>
        <w:t xml:space="preserve"> </w:t>
      </w:r>
      <w:r>
        <w:rPr>
          <w:rFonts w:hint="eastAsia" w:ascii="宋体" w:hAnsi="宋体" w:eastAsia="宋体" w:cs="宋体"/>
        </w:rPr>
        <w:t>公</w:t>
      </w:r>
      <w:r>
        <w:rPr>
          <w:rFonts w:hint="eastAsia" w:ascii="宋体" w:hAnsi="宋体" w:eastAsia="宋体" w:cs="宋体"/>
          <w:lang w:val="en-US" w:eastAsia="zh-CN"/>
        </w:rPr>
        <w:t xml:space="preserve"> </w:t>
      </w:r>
      <w:r>
        <w:rPr>
          <w:rFonts w:hint="eastAsia" w:ascii="宋体" w:hAnsi="宋体" w:eastAsia="宋体" w:cs="宋体"/>
        </w:rPr>
        <w:t>告</w:t>
      </w:r>
      <w:bookmarkEnd w:id="0"/>
      <w:bookmarkEnd w:id="1"/>
    </w:p>
    <w:p>
      <w:pPr>
        <w:tabs>
          <w:tab w:val="left" w:pos="360"/>
        </w:tabs>
        <w:spacing w:line="460" w:lineRule="exact"/>
        <w:ind w:firstLine="552" w:firstLineChars="250"/>
        <w:rPr>
          <w:rFonts w:hint="eastAsia" w:ascii="宋体" w:hAnsi="宋体" w:eastAsia="宋体" w:cs="宋体"/>
          <w:b/>
          <w:bCs/>
          <w:color w:val="auto"/>
          <w:sz w:val="22"/>
          <w:highlight w:val="none"/>
        </w:rPr>
      </w:pPr>
      <w:r>
        <w:rPr>
          <w:b/>
          <w:bCs/>
          <w:sz w:val="22"/>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75.05pt;width:511.75pt;z-index:251661312;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666Q2AAAAAgBAAAPAAAAAAAAAAEAIAAAACIAAABkcnMv&#10;ZG93bnJldi54bWxQSwECFAAUAAAACACHTuJA2yveaAMCAAARBAAADgAAAAAAAAABACAAAAAnAQAA&#10;ZHJzL2Uyb0RvYy54bWxQSwUGAAAAAAYABgBZAQAAnAUAAAAA&#10;">
                <v:fill on="f" focussize="0,0"/>
                <v:stroke weight="1pt" color="#000000" joinstyle="round"/>
                <v:imagedata o:title=""/>
                <o:lock v:ext="edit" aspectratio="f"/>
              </v:rect>
            </w:pict>
          </mc:Fallback>
        </mc:AlternateContent>
      </w:r>
      <w:r>
        <w:rPr>
          <w:rFonts w:hint="eastAsia" w:ascii="宋体" w:hAnsi="宋体" w:eastAsia="宋体" w:cs="宋体"/>
          <w:b/>
          <w:bCs/>
          <w:color w:val="auto"/>
          <w:sz w:val="22"/>
          <w:highlight w:val="none"/>
        </w:rPr>
        <w:t>项目概况</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安全设备及网络维保</w:t>
      </w:r>
      <w:r>
        <w:rPr>
          <w:rFonts w:hint="eastAsia" w:ascii="宋体" w:hAnsi="宋体" w:eastAsia="宋体" w:cs="宋体"/>
          <w:color w:val="auto"/>
          <w:sz w:val="22"/>
          <w:highlight w:val="none"/>
        </w:rPr>
        <w:t>招标项目的潜在投标人应在浙江政府采购网获取（下载）招标文件，并于</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04</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28</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09点30分</w:t>
      </w:r>
      <w:r>
        <w:rPr>
          <w:rFonts w:hint="eastAsia" w:ascii="宋体" w:hAnsi="宋体" w:eastAsia="宋体" w:cs="宋体"/>
          <w:color w:val="auto"/>
          <w:sz w:val="22"/>
          <w:highlight w:val="none"/>
        </w:rPr>
        <w:t> （北京时间）前递交（上传）投标文件。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rPr>
        <w:t>一、项目基本情况</w:t>
      </w:r>
      <w:r>
        <w:rPr>
          <w:rFonts w:hint="eastAsia"/>
          <w:sz w:val="22"/>
          <w:szCs w:val="22"/>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项目编号：</w:t>
      </w:r>
      <w:r>
        <w:rPr>
          <w:rFonts w:hint="eastAsia"/>
          <w:sz w:val="22"/>
          <w:szCs w:val="22"/>
          <w:u w:val="none"/>
          <w:lang w:eastAsia="zh-CN"/>
        </w:rPr>
        <w:t>WZLCZB（W）-2023-04155</w:t>
      </w:r>
      <w:r>
        <w:rPr>
          <w:rFonts w:hint="eastAsia"/>
          <w:sz w:val="22"/>
          <w:szCs w:val="22"/>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eastAsia="zh-CN"/>
        </w:rPr>
      </w:pPr>
      <w:r>
        <w:rPr>
          <w:rFonts w:hint="eastAsia"/>
          <w:sz w:val="22"/>
          <w:szCs w:val="22"/>
          <w:u w:val="none"/>
          <w:lang w:val="en-US" w:eastAsia="zh-CN"/>
        </w:rPr>
        <w:t>项目名称：</w:t>
      </w:r>
      <w:r>
        <w:rPr>
          <w:rFonts w:hint="eastAsia"/>
          <w:sz w:val="22"/>
          <w:szCs w:val="22"/>
          <w:u w:val="none"/>
          <w:lang w:eastAsia="zh-CN"/>
        </w:rPr>
        <w:t>安全设备及网络维保</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预算金额（元）：480000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最高限价（元）：480000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采购需求：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标项名称:</w:t>
      </w:r>
      <w:r>
        <w:rPr>
          <w:rFonts w:hint="eastAsia"/>
          <w:sz w:val="22"/>
          <w:szCs w:val="22"/>
          <w:u w:val="none"/>
          <w:lang w:eastAsia="zh-CN"/>
        </w:rPr>
        <w:t>安全设备及网络维保</w:t>
      </w:r>
      <w:r>
        <w:rPr>
          <w:rFonts w:hint="eastAsia"/>
          <w:sz w:val="22"/>
          <w:szCs w:val="22"/>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数量:1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预算金额（元）：480000</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简要规格描述或项目基本概况介绍、用途：具体详见招标文件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备注：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合同履约期限：标项 1，具体详见招标文件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lang w:val="en-US" w:eastAsia="zh-CN"/>
        </w:rPr>
        <w:t>本项目（否）接受联合体投标。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lang w:val="en-US" w:eastAsia="zh-CN"/>
        </w:rPr>
        <w:t>二、申请人的资格要求：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sz w:val="22"/>
          <w:szCs w:val="22"/>
          <w:u w:val="none"/>
          <w:lang w:val="en-US" w:eastAsia="zh-CN"/>
        </w:rPr>
        <w:t>1.满足《中华人民共和国政府采购法》第二十二条规定；未被“信用中国”（www.creditchina.gov.cn)、中国政府采购网（www.ccgp.gov.cn）</w:t>
      </w:r>
      <w:r>
        <w:rPr>
          <w:rFonts w:hint="eastAsia"/>
          <w:color w:val="auto"/>
          <w:sz w:val="22"/>
          <w:szCs w:val="22"/>
          <w:highlight w:val="none"/>
          <w:u w:val="none"/>
          <w:lang w:val="en-US" w:eastAsia="zh-CN"/>
        </w:rPr>
        <w:t>等有关政府曝光台列入失信被执行人、重大税收违法案件当事人名单、政府采购严重违法失信行为记录名单。</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2.落实政府采购政策需满足的资格要求：无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3.本项目的特定资格要求：无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三、获取招标文件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时间：</w:t>
      </w:r>
      <w:r>
        <w:rPr>
          <w:rFonts w:hint="eastAsia"/>
          <w:sz w:val="22"/>
          <w:szCs w:val="22"/>
          <w:u w:val="none"/>
          <w:lang w:val="en-US" w:eastAsia="zh-CN"/>
        </w:rPr>
        <w:t>2023年04月07日</w:t>
      </w:r>
      <w:r>
        <w:rPr>
          <w:rFonts w:hint="eastAsia"/>
          <w:sz w:val="22"/>
          <w:szCs w:val="22"/>
          <w:u w:val="none"/>
        </w:rPr>
        <w:t>至</w:t>
      </w:r>
      <w:r>
        <w:rPr>
          <w:rFonts w:hint="eastAsia"/>
          <w:sz w:val="22"/>
          <w:szCs w:val="22"/>
          <w:u w:val="none"/>
          <w:lang w:eastAsia="zh-CN"/>
        </w:rPr>
        <w:t>202</w:t>
      </w:r>
      <w:r>
        <w:rPr>
          <w:rFonts w:hint="eastAsia"/>
          <w:sz w:val="22"/>
          <w:szCs w:val="22"/>
          <w:u w:val="none"/>
          <w:lang w:val="en-US" w:eastAsia="zh-CN"/>
        </w:rPr>
        <w:t>3</w:t>
      </w:r>
      <w:r>
        <w:rPr>
          <w:rFonts w:hint="eastAsia"/>
          <w:sz w:val="22"/>
          <w:szCs w:val="22"/>
          <w:u w:val="none"/>
          <w:lang w:eastAsia="zh-CN"/>
        </w:rPr>
        <w:t xml:space="preserve"> 年</w:t>
      </w:r>
      <w:r>
        <w:rPr>
          <w:rFonts w:hint="eastAsia"/>
          <w:sz w:val="22"/>
          <w:szCs w:val="22"/>
          <w:u w:val="none"/>
          <w:lang w:val="en-US" w:eastAsia="zh-CN"/>
        </w:rPr>
        <w:t>04</w:t>
      </w:r>
      <w:r>
        <w:rPr>
          <w:rFonts w:hint="eastAsia"/>
          <w:sz w:val="22"/>
          <w:szCs w:val="22"/>
          <w:u w:val="none"/>
        </w:rPr>
        <w:t>月</w:t>
      </w:r>
      <w:r>
        <w:rPr>
          <w:rFonts w:hint="eastAsia"/>
          <w:sz w:val="22"/>
          <w:szCs w:val="22"/>
          <w:u w:val="none"/>
          <w:lang w:val="en-US" w:eastAsia="zh-CN"/>
        </w:rPr>
        <w:t>28</w:t>
      </w:r>
      <w:r>
        <w:rPr>
          <w:rFonts w:hint="eastAsia"/>
          <w:sz w:val="22"/>
          <w:szCs w:val="22"/>
          <w:u w:val="none"/>
        </w:rPr>
        <w:t>日，每天上午00:00至12:00，下午12:00至23:59（北京时间，线上获取法定节假日均可，线下获取文件法定节假日除外）</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地点（网址）：浙江政府采购网（https://zfcg.czt.zj.gov.cn/）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方式：供应商登录政采云平台https://www.zcygov.cn/在线申请获取采购文件（进入“项目采购”应用，在获取采购文件菜单中选择项目，申请获取采购文件）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售价（元）：0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四、提交投标文件截止时间、开标时间和地点</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提交投标文件截止时间：</w:t>
      </w:r>
      <w:r>
        <w:rPr>
          <w:rFonts w:hint="eastAsia"/>
          <w:sz w:val="22"/>
          <w:szCs w:val="22"/>
          <w:u w:val="none"/>
          <w:lang w:eastAsia="zh-CN"/>
        </w:rPr>
        <w:t>202</w:t>
      </w:r>
      <w:r>
        <w:rPr>
          <w:rFonts w:hint="eastAsia"/>
          <w:sz w:val="22"/>
          <w:szCs w:val="22"/>
          <w:u w:val="none"/>
          <w:lang w:val="en-US" w:eastAsia="zh-CN"/>
        </w:rPr>
        <w:t>3</w:t>
      </w:r>
      <w:r>
        <w:rPr>
          <w:rFonts w:hint="eastAsia"/>
          <w:sz w:val="22"/>
          <w:szCs w:val="22"/>
          <w:u w:val="none"/>
          <w:lang w:eastAsia="zh-CN"/>
        </w:rPr>
        <w:t>年</w:t>
      </w:r>
      <w:r>
        <w:rPr>
          <w:rFonts w:hint="eastAsia"/>
          <w:sz w:val="22"/>
          <w:szCs w:val="22"/>
          <w:u w:val="none"/>
          <w:lang w:val="en-US" w:eastAsia="zh-CN"/>
        </w:rPr>
        <w:t>04</w:t>
      </w:r>
      <w:r>
        <w:rPr>
          <w:rFonts w:hint="eastAsia"/>
          <w:sz w:val="22"/>
          <w:szCs w:val="22"/>
          <w:u w:val="none"/>
        </w:rPr>
        <w:t>月</w:t>
      </w:r>
      <w:r>
        <w:rPr>
          <w:rFonts w:hint="eastAsia"/>
          <w:sz w:val="22"/>
          <w:szCs w:val="22"/>
          <w:u w:val="none"/>
          <w:lang w:val="en-US" w:eastAsia="zh-CN"/>
        </w:rPr>
        <w:t>28</w:t>
      </w:r>
      <w:r>
        <w:rPr>
          <w:rFonts w:hint="eastAsia"/>
          <w:sz w:val="22"/>
          <w:szCs w:val="22"/>
          <w:u w:val="none"/>
        </w:rPr>
        <w:t>日</w:t>
      </w:r>
      <w:r>
        <w:rPr>
          <w:rFonts w:hint="eastAsia"/>
          <w:sz w:val="22"/>
          <w:szCs w:val="22"/>
          <w:u w:val="none"/>
          <w:lang w:val="en-US" w:eastAsia="zh-CN"/>
        </w:rPr>
        <w:t>09</w:t>
      </w:r>
      <w:r>
        <w:rPr>
          <w:rFonts w:hint="eastAsia"/>
          <w:sz w:val="22"/>
          <w:szCs w:val="22"/>
          <w:u w:val="none"/>
        </w:rPr>
        <w:t>点</w:t>
      </w:r>
      <w:r>
        <w:rPr>
          <w:rFonts w:hint="eastAsia"/>
          <w:sz w:val="22"/>
          <w:szCs w:val="22"/>
          <w:u w:val="none"/>
          <w:lang w:val="en-US" w:eastAsia="zh-CN"/>
        </w:rPr>
        <w:t>30</w:t>
      </w:r>
      <w:r>
        <w:rPr>
          <w:rFonts w:hint="eastAsia"/>
          <w:sz w:val="22"/>
          <w:szCs w:val="22"/>
          <w:u w:val="none"/>
        </w:rPr>
        <w:t>分（北京时间）</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投标地点（网址）：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开标时间：</w:t>
      </w:r>
      <w:r>
        <w:rPr>
          <w:rFonts w:hint="eastAsia"/>
          <w:sz w:val="22"/>
          <w:szCs w:val="22"/>
          <w:u w:val="none"/>
          <w:lang w:eastAsia="zh-CN"/>
        </w:rPr>
        <w:t>202</w:t>
      </w:r>
      <w:r>
        <w:rPr>
          <w:rFonts w:hint="eastAsia"/>
          <w:sz w:val="22"/>
          <w:szCs w:val="22"/>
          <w:u w:val="none"/>
          <w:lang w:val="en-US" w:eastAsia="zh-CN"/>
        </w:rPr>
        <w:t>3</w:t>
      </w:r>
      <w:r>
        <w:rPr>
          <w:rFonts w:hint="eastAsia"/>
          <w:sz w:val="22"/>
          <w:szCs w:val="22"/>
          <w:u w:val="none"/>
          <w:lang w:eastAsia="zh-CN"/>
        </w:rPr>
        <w:t>年</w:t>
      </w:r>
      <w:r>
        <w:rPr>
          <w:rFonts w:hint="eastAsia"/>
          <w:sz w:val="22"/>
          <w:szCs w:val="22"/>
          <w:u w:val="none"/>
          <w:lang w:val="en-US" w:eastAsia="zh-CN"/>
        </w:rPr>
        <w:t>04</w:t>
      </w:r>
      <w:r>
        <w:rPr>
          <w:rFonts w:hint="eastAsia"/>
          <w:sz w:val="22"/>
          <w:szCs w:val="22"/>
          <w:u w:val="none"/>
        </w:rPr>
        <w:t>月</w:t>
      </w:r>
      <w:r>
        <w:rPr>
          <w:rFonts w:hint="eastAsia"/>
          <w:sz w:val="22"/>
          <w:szCs w:val="22"/>
          <w:u w:val="none"/>
          <w:lang w:val="en-US" w:eastAsia="zh-CN"/>
        </w:rPr>
        <w:t>28</w:t>
      </w:r>
      <w:r>
        <w:rPr>
          <w:rFonts w:hint="eastAsia"/>
          <w:sz w:val="22"/>
          <w:szCs w:val="22"/>
          <w:u w:val="none"/>
        </w:rPr>
        <w:t>日</w:t>
      </w:r>
      <w:r>
        <w:rPr>
          <w:rFonts w:hint="eastAsia"/>
          <w:sz w:val="22"/>
          <w:szCs w:val="22"/>
          <w:u w:val="none"/>
          <w:lang w:val="en-US" w:eastAsia="zh-CN"/>
        </w:rPr>
        <w:t>09</w:t>
      </w:r>
      <w:r>
        <w:rPr>
          <w:rFonts w:hint="eastAsia"/>
          <w:sz w:val="22"/>
          <w:szCs w:val="22"/>
          <w:u w:val="none"/>
        </w:rPr>
        <w:t>点</w:t>
      </w:r>
      <w:r>
        <w:rPr>
          <w:rFonts w:hint="eastAsia"/>
          <w:sz w:val="22"/>
          <w:szCs w:val="22"/>
          <w:u w:val="none"/>
          <w:lang w:val="en-US" w:eastAsia="zh-CN"/>
        </w:rPr>
        <w:t>30</w:t>
      </w:r>
      <w:r>
        <w:rPr>
          <w:rFonts w:hint="eastAsia"/>
          <w:sz w:val="22"/>
          <w:szCs w:val="22"/>
          <w:u w:val="none"/>
        </w:rPr>
        <w:t>分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b/>
          <w:bCs/>
          <w:sz w:val="22"/>
          <w:szCs w:val="22"/>
          <w:u w:val="none"/>
        </w:rPr>
        <w:t>五、公告期限</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自本公告发布之日起5个工作日。</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六、其他补充事宜</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温州市中医院</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ascii="宋体" w:hAnsi="宋体" w:eastAsia="宋体" w:cs="宋体"/>
          <w:i w:val="0"/>
          <w:iCs w:val="0"/>
          <w:caps w:val="0"/>
          <w:color w:val="auto"/>
          <w:spacing w:val="0"/>
          <w:sz w:val="22"/>
          <w:szCs w:val="22"/>
          <w:highlight w:val="none"/>
          <w:shd w:val="clear" w:fill="FFFFFF"/>
        </w:rPr>
        <w:t>温州市六虹桥蛟尾路9号</w:t>
      </w:r>
      <w:r>
        <w:rPr>
          <w:rFonts w:hint="eastAsia"/>
          <w:color w:val="auto"/>
          <w:sz w:val="22"/>
          <w:szCs w:val="22"/>
          <w:highlight w:val="none"/>
          <w:u w:val="none"/>
        </w:rPr>
        <w:t xml:space="preserve">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w:t>
      </w:r>
      <w:r>
        <w:rPr>
          <w:rFonts w:hint="eastAsia"/>
          <w:color w:val="auto"/>
          <w:sz w:val="22"/>
          <w:szCs w:val="22"/>
          <w:highlight w:val="none"/>
          <w:u w:val="none"/>
          <w:lang w:val="en-US" w:eastAsia="zh-CN"/>
        </w:rPr>
        <w:t>/</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w:t>
      </w:r>
      <w:r>
        <w:rPr>
          <w:rFonts w:hint="eastAsia" w:ascii="宋体" w:hAnsi="宋体" w:eastAsia="宋体" w:cs="宋体"/>
          <w:i w:val="0"/>
          <w:iCs w:val="0"/>
          <w:caps w:val="0"/>
          <w:color w:val="auto"/>
          <w:spacing w:val="0"/>
          <w:sz w:val="22"/>
          <w:szCs w:val="22"/>
          <w:highlight w:val="none"/>
          <w:shd w:val="clear" w:fill="FFFFFF"/>
        </w:rPr>
        <w:t>李先生</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w:t>
      </w:r>
      <w:r>
        <w:rPr>
          <w:rFonts w:hint="eastAsia" w:ascii="宋体" w:hAnsi="宋体" w:eastAsia="宋体" w:cs="宋体"/>
          <w:i w:val="0"/>
          <w:iCs w:val="0"/>
          <w:caps w:val="0"/>
          <w:color w:val="auto"/>
          <w:spacing w:val="0"/>
          <w:sz w:val="22"/>
          <w:szCs w:val="22"/>
          <w:highlight w:val="none"/>
          <w:shd w:val="clear" w:fill="FFFFFF"/>
        </w:rPr>
        <w:t>0577-56671516</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温州市鹿城区学院中路229号三想集团5楼</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项目联系人（询问）：温碧霞</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pPr>
        <w:pStyle w:val="49"/>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采购监督管理部门</w:t>
      </w:r>
    </w:p>
    <w:p>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名 </w:t>
      </w:r>
      <w:r>
        <w:rPr>
          <w:rFonts w:hint="eastAsia"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称：</w:t>
      </w:r>
      <w:r>
        <w:rPr>
          <w:rFonts w:hint="eastAsia" w:cs="宋体"/>
          <w:color w:val="auto"/>
          <w:sz w:val="22"/>
          <w:szCs w:val="22"/>
          <w:highlight w:val="none"/>
          <w:u w:val="none"/>
          <w:lang w:eastAsia="zh-CN"/>
        </w:rPr>
        <w:t>温州市中医院</w:t>
      </w:r>
      <w:r>
        <w:rPr>
          <w:rFonts w:hint="eastAsia" w:ascii="宋体" w:hAnsi="宋体" w:eastAsia="宋体" w:cs="宋体"/>
          <w:color w:val="auto"/>
          <w:sz w:val="22"/>
          <w:szCs w:val="22"/>
          <w:highlight w:val="none"/>
          <w:u w:val="none"/>
          <w:lang w:eastAsia="zh-CN"/>
        </w:rPr>
        <w:t>监察室</w:t>
      </w:r>
      <w:r>
        <w:rPr>
          <w:rFonts w:hint="eastAsia" w:ascii="宋体" w:hAnsi="宋体" w:eastAsia="宋体" w:cs="宋体"/>
          <w:color w:val="auto"/>
          <w:sz w:val="22"/>
          <w:highlight w:val="none"/>
          <w:lang w:val="en-US" w:eastAsia="zh-CN"/>
        </w:rPr>
        <w:t> </w:t>
      </w:r>
    </w:p>
    <w:p>
      <w:pPr>
        <w:tabs>
          <w:tab w:val="left" w:pos="360"/>
        </w:tabs>
        <w:spacing w:line="460" w:lineRule="exact"/>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电</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话：0577-56671511</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sz w:val="22"/>
          <w:szCs w:val="22"/>
          <w:u w:val="none"/>
        </w:rPr>
        <w:t>　</w:t>
      </w:r>
    </w:p>
    <w:p>
      <w:pPr>
        <w:rPr>
          <w:rFonts w:hint="eastAsia" w:ascii="宋体" w:hAnsi="宋体" w:eastAsia="宋体" w:cs="宋体"/>
        </w:rPr>
      </w:pPr>
      <w:bookmarkStart w:id="2" w:name="_Toc5772"/>
      <w:bookmarkStart w:id="3" w:name="_Toc10401"/>
      <w:r>
        <w:rPr>
          <w:rFonts w:hint="eastAsia" w:ascii="宋体" w:hAnsi="宋体" w:eastAsia="宋体" w:cs="宋体"/>
        </w:rPr>
        <w:br w:type="page"/>
      </w:r>
    </w:p>
    <w:p>
      <w:pPr>
        <w:pStyle w:val="4"/>
        <w:bidi w:val="0"/>
        <w:rPr>
          <w:rFonts w:hint="eastAsia" w:ascii="宋体" w:hAnsi="宋体" w:eastAsia="宋体" w:cs="宋体"/>
        </w:rPr>
      </w:pPr>
      <w:r>
        <w:rPr>
          <w:rFonts w:hint="eastAsia" w:ascii="宋体" w:hAnsi="宋体" w:eastAsia="宋体" w:cs="宋体"/>
        </w:rPr>
        <w:t>第一部分    投标人须知</w:t>
      </w:r>
      <w:bookmarkEnd w:id="2"/>
      <w:bookmarkEnd w:id="3"/>
    </w:p>
    <w:p>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1839"/>
      <w:bookmarkStart w:id="5" w:name="_Toc354996695"/>
      <w:bookmarkStart w:id="6" w:name="_Toc6224"/>
      <w:bookmarkStart w:id="7" w:name="_Toc33194387"/>
      <w:bookmarkStart w:id="8" w:name="_Toc233618971"/>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安全设备及网络维保</w:t>
            </w:r>
          </w:p>
          <w:p>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2"/>
              <w:tblW w:w="91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2877"/>
              <w:gridCol w:w="775"/>
              <w:gridCol w:w="1788"/>
              <w:gridCol w:w="28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877"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75"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单位</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预算金额</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元</w:t>
                  </w:r>
                  <w:r>
                    <w:rPr>
                      <w:rFonts w:hint="eastAsia" w:ascii="宋体" w:hAnsi="宋体" w:eastAsia="宋体" w:cs="宋体"/>
                      <w:color w:val="auto"/>
                      <w:sz w:val="22"/>
                      <w:highlight w:val="none"/>
                      <w:lang w:eastAsia="zh-CN"/>
                    </w:rPr>
                    <w:t>）</w:t>
                  </w:r>
                </w:p>
              </w:tc>
              <w:tc>
                <w:tcPr>
                  <w:tcW w:w="287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825"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877" w:type="dxa"/>
                  <w:tcBorders>
                    <w:top w:val="single" w:color="auto" w:sz="4" w:space="0"/>
                    <w:left w:val="single" w:color="auto" w:sz="4" w:space="0"/>
                    <w:right w:val="single" w:color="auto" w:sz="4" w:space="0"/>
                  </w:tcBorders>
                  <w:vAlign w:val="center"/>
                </w:tcPr>
                <w:p>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安全设备及网络维保</w:t>
                  </w:r>
                </w:p>
              </w:tc>
              <w:tc>
                <w:tcPr>
                  <w:tcW w:w="775"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1项</w:t>
                  </w:r>
                </w:p>
              </w:tc>
              <w:tc>
                <w:tcPr>
                  <w:tcW w:w="1788" w:type="dxa"/>
                  <w:tcBorders>
                    <w:top w:val="single" w:color="auto" w:sz="4" w:space="0"/>
                    <w:left w:val="single" w:color="auto" w:sz="4" w:space="0"/>
                    <w:right w:val="single" w:color="auto" w:sz="4" w:space="0"/>
                  </w:tcBorders>
                  <w:shd w:val="clear" w:color="auto" w:fill="auto"/>
                  <w:vAlign w:val="center"/>
                </w:tcPr>
                <w:p>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480000</w:t>
                  </w:r>
                </w:p>
              </w:tc>
              <w:tc>
                <w:tcPr>
                  <w:tcW w:w="2873" w:type="dxa"/>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pPr>
              <w:tabs>
                <w:tab w:val="left" w:pos="360"/>
              </w:tabs>
              <w:spacing w:line="460" w:lineRule="exact"/>
              <w:ind w:firstLine="552" w:firstLineChars="250"/>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w:t>
            </w:r>
            <w:r>
              <w:rPr>
                <w:rFonts w:hint="eastAsia" w:ascii="宋体" w:hAnsi="宋体" w:eastAsia="宋体" w:cs="宋体"/>
                <w:color w:val="auto"/>
                <w:sz w:val="22"/>
                <w:szCs w:val="22"/>
                <w:highlight w:val="none"/>
              </w:rPr>
              <w:t>根据国家计委计价格【2002】1980号《招标代理服务收费管理暂行办法》规定</w:t>
            </w:r>
            <w:r>
              <w:rPr>
                <w:rFonts w:hint="eastAsia" w:ascii="宋体" w:hAnsi="宋体" w:eastAsia="宋体" w:cs="宋体"/>
                <w:color w:val="auto"/>
                <w:sz w:val="22"/>
                <w:szCs w:val="22"/>
                <w:highlight w:val="none"/>
                <w:lang w:val="en-US" w:eastAsia="zh-CN"/>
              </w:rPr>
              <w:t>标准的75%</w:t>
            </w:r>
            <w:r>
              <w:rPr>
                <w:rFonts w:hint="eastAsia" w:ascii="宋体" w:hAnsi="宋体" w:eastAsia="宋体" w:cs="宋体"/>
                <w:color w:val="auto"/>
                <w:sz w:val="22"/>
                <w:szCs w:val="22"/>
                <w:highlight w:val="none"/>
              </w:rPr>
              <w:t>收取,由中标人在领取中标通知书时支付。</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开户行：中国建设银行温州黎明支行</w:t>
            </w: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政采云平台技术服务费：</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由政采云公司向中标供应商收取，该费用由采购代理公司在发布中标公告前先行代为缴纳，中标供应商在领取中标通知书时将该费用按实际缴纳金额（含税费）支付给代理机构。</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（一）不涉及合同金额的采购项目，技术服务费500元/件；</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（二）涉及合同金额的采购项目，根据合同标的额，按照下列比例收费：</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中标价50万元以下(含50万元)：按500元收取；50万元以上：千分之一（1‰）。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sz w:val="22"/>
                <w:szCs w:val="28"/>
              </w:rPr>
            </w:pPr>
            <w:r>
              <w:rPr>
                <w:rFonts w:hint="eastAsia"/>
                <w:sz w:val="22"/>
                <w:szCs w:val="28"/>
              </w:rPr>
              <w:t>投标文件份数：</w:t>
            </w:r>
          </w:p>
          <w:p>
            <w:pPr>
              <w:numPr>
                <w:ilvl w:val="0"/>
                <w:numId w:val="2"/>
              </w:numPr>
              <w:spacing w:line="460" w:lineRule="exact"/>
              <w:rPr>
                <w:rFonts w:hint="eastAsia"/>
                <w:sz w:val="22"/>
                <w:szCs w:val="28"/>
              </w:rPr>
            </w:pPr>
            <w:r>
              <w:rPr>
                <w:rFonts w:hint="eastAsia"/>
                <w:sz w:val="22"/>
                <w:szCs w:val="28"/>
              </w:rPr>
              <w:t>“电子加密投标文件”：在线上传递交、一份。</w:t>
            </w:r>
          </w:p>
          <w:p>
            <w:pPr>
              <w:numPr>
                <w:ilvl w:val="0"/>
                <w:numId w:val="2"/>
              </w:numPr>
              <w:spacing w:line="460" w:lineRule="exact"/>
              <w:rPr>
                <w:rFonts w:hint="eastAsia"/>
                <w:sz w:val="22"/>
                <w:szCs w:val="28"/>
              </w:rPr>
            </w:pPr>
            <w:r>
              <w:rPr>
                <w:rFonts w:hint="eastAsia"/>
                <w:sz w:val="22"/>
                <w:szCs w:val="28"/>
              </w:rPr>
              <w:t>“备份投标文件”：密封包装后投标截止时间前递交、一份</w:t>
            </w:r>
          </w:p>
          <w:p>
            <w:pPr>
              <w:spacing w:line="460" w:lineRule="exact"/>
              <w:rPr>
                <w:rFonts w:hint="eastAsia"/>
                <w:sz w:val="22"/>
                <w:szCs w:val="28"/>
              </w:rPr>
            </w:pPr>
            <w:r>
              <w:rPr>
                <w:rFonts w:hint="eastAsia"/>
                <w:sz w:val="22"/>
                <w:szCs w:val="28"/>
              </w:rPr>
              <w:t>（若不提供备份投标文件，开标当天电子加密投标文件解密失败，投标人自行负责。）</w:t>
            </w:r>
          </w:p>
          <w:p>
            <w:pPr>
              <w:tabs>
                <w:tab w:val="left" w:pos="360"/>
              </w:tabs>
              <w:spacing w:line="460" w:lineRule="exact"/>
              <w:rPr>
                <w:rFonts w:hint="eastAsia"/>
                <w:sz w:val="22"/>
                <w:szCs w:val="28"/>
              </w:rPr>
            </w:pPr>
            <w:r>
              <w:rPr>
                <w:rFonts w:hint="eastAsia"/>
                <w:sz w:val="22"/>
                <w:szCs w:val="28"/>
              </w:rPr>
              <w:t>可以（邮寄形式，建议顺丰）在投标截止时间前递交，并需采购代理机构确认是否收到，</w:t>
            </w:r>
          </w:p>
          <w:p>
            <w:pPr>
              <w:spacing w:line="460" w:lineRule="exact"/>
              <w:rPr>
                <w:rFonts w:hint="eastAsia"/>
                <w:sz w:val="22"/>
                <w:szCs w:val="28"/>
                <w:lang w:eastAsia="zh-CN"/>
              </w:rPr>
            </w:pPr>
            <w:r>
              <w:rPr>
                <w:rFonts w:hint="eastAsia"/>
                <w:sz w:val="22"/>
                <w:szCs w:val="28"/>
              </w:rPr>
              <w:t>邮寄地址：</w:t>
            </w:r>
            <w:r>
              <w:rPr>
                <w:rFonts w:hint="eastAsia"/>
                <w:sz w:val="22"/>
                <w:szCs w:val="28"/>
                <w:lang w:eastAsia="zh-CN"/>
              </w:rPr>
              <w:t>温州市鹿城区学院中路229号三想集团5楼</w:t>
            </w:r>
          </w:p>
          <w:p>
            <w:pPr>
              <w:spacing w:line="460" w:lineRule="exact"/>
              <w:rPr>
                <w:rFonts w:hint="default" w:eastAsia="宋体"/>
                <w:lang w:val="en-US" w:eastAsia="zh-CN"/>
              </w:rPr>
            </w:pPr>
            <w:r>
              <w:rPr>
                <w:rFonts w:hint="eastAsia"/>
                <w:sz w:val="22"/>
                <w:szCs w:val="28"/>
                <w:lang w:val="en-US" w:eastAsia="zh-CN"/>
              </w:rPr>
              <w:t>联系人：温端赏    联系电话</w:t>
            </w:r>
            <w:r>
              <w:rPr>
                <w:rFonts w:hint="eastAsia"/>
                <w:b w:val="0"/>
                <w:bCs w:val="0"/>
                <w:sz w:val="22"/>
                <w:szCs w:val="28"/>
                <w:lang w:val="en-US" w:eastAsia="zh-CN"/>
              </w:rPr>
              <w:t>：13868508737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”成功上传递交至“政府采购云平台”，否则投标无效。</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eastAsia="宋体" w:cs="宋体"/>
                <w:color w:val="auto"/>
                <w:sz w:val="22"/>
                <w:szCs w:val="22"/>
                <w:highlight w:val="none"/>
                <w:lang w:eastAsia="zh-CN"/>
              </w:rPr>
              <w:t>202</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04</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28</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val="en-US" w:eastAsia="zh-CN"/>
              </w:rPr>
              <w:t>09</w:t>
            </w:r>
            <w:r>
              <w:rPr>
                <w:rFonts w:hint="eastAsia" w:ascii="宋体" w:hAnsi="宋体" w:eastAsia="宋体" w:cs="宋体"/>
                <w:color w:val="auto"/>
                <w:sz w:val="22"/>
                <w:szCs w:val="22"/>
                <w:highlight w:val="none"/>
              </w:rPr>
              <w:t>点</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  </w:t>
            </w:r>
          </w:p>
          <w:p>
            <w:pPr>
              <w:widowControl/>
              <w:snapToGrid w:val="0"/>
              <w:spacing w:line="460" w:lineRule="exact"/>
              <w:jc w:val="left"/>
              <w:rPr>
                <w:rFonts w:hint="eastAsia"/>
                <w:color w:val="auto"/>
              </w:rPr>
            </w:pPr>
            <w:r>
              <w:rPr>
                <w:rFonts w:hint="eastAsia" w:ascii="宋体" w:hAnsi="宋体" w:eastAsia="宋体" w:cs="宋体"/>
                <w:color w:val="auto"/>
                <w:sz w:val="22"/>
                <w:szCs w:val="22"/>
                <w:highlight w:val="none"/>
              </w:rPr>
              <w:t>投标地点（网址）：</w:t>
            </w:r>
            <w:r>
              <w:rPr>
                <w:rFonts w:hint="eastAsia" w:ascii="宋体" w:hAnsi="宋体" w:eastAsia="宋体" w:cs="宋体"/>
                <w:color w:val="auto"/>
                <w:sz w:val="22"/>
                <w:szCs w:val="22"/>
                <w:highlight w:val="none"/>
                <w:lang w:eastAsia="zh-CN"/>
              </w:rPr>
              <w:t>温州市鹿城区学院中路229号三想集团5楼（</w:t>
            </w:r>
            <w:r>
              <w:rPr>
                <w:rFonts w:hint="eastAsia" w:ascii="宋体" w:hAnsi="宋体" w:eastAsia="宋体" w:cs="宋体"/>
                <w:color w:val="auto"/>
                <w:sz w:val="22"/>
                <w:szCs w:val="22"/>
                <w:highlight w:val="none"/>
                <w:lang w:val="en-US" w:eastAsia="zh-CN"/>
              </w:rPr>
              <w:t>政采云</w:t>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：202</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eastAsia="zh-CN"/>
              </w:rPr>
              <w:t>年</w:t>
            </w:r>
            <w:r>
              <w:rPr>
                <w:rFonts w:hint="eastAsia" w:ascii="宋体" w:hAnsi="宋体" w:eastAsia="宋体" w:cs="宋体"/>
                <w:b w:val="0"/>
                <w:bCs w:val="0"/>
                <w:color w:val="auto"/>
                <w:sz w:val="22"/>
                <w:szCs w:val="22"/>
                <w:highlight w:val="none"/>
                <w:lang w:val="en-US" w:eastAsia="zh-CN"/>
              </w:rPr>
              <w:t>04</w:t>
            </w:r>
            <w:r>
              <w:rPr>
                <w:rFonts w:hint="eastAsia" w:ascii="宋体" w:hAnsi="宋体" w:eastAsia="宋体" w:cs="宋体"/>
                <w:b w:val="0"/>
                <w:bCs w:val="0"/>
                <w:color w:val="auto"/>
                <w:sz w:val="22"/>
                <w:szCs w:val="22"/>
                <w:highlight w:val="none"/>
                <w:lang w:eastAsia="zh-CN"/>
              </w:rPr>
              <w:t>月</w:t>
            </w:r>
            <w:r>
              <w:rPr>
                <w:rFonts w:hint="eastAsia" w:ascii="宋体" w:hAnsi="宋体" w:eastAsia="宋体" w:cs="宋体"/>
                <w:b w:val="0"/>
                <w:bCs w:val="0"/>
                <w:color w:val="auto"/>
                <w:sz w:val="22"/>
                <w:szCs w:val="22"/>
                <w:highlight w:val="none"/>
                <w:lang w:val="en-US" w:eastAsia="zh-CN"/>
              </w:rPr>
              <w:t>28</w:t>
            </w:r>
            <w:r>
              <w:rPr>
                <w:rFonts w:hint="eastAsia" w:ascii="宋体" w:hAnsi="宋体" w:eastAsia="宋体" w:cs="宋体"/>
                <w:b w:val="0"/>
                <w:bCs w:val="0"/>
                <w:color w:val="auto"/>
                <w:sz w:val="22"/>
                <w:szCs w:val="22"/>
                <w:highlight w:val="none"/>
                <w:lang w:eastAsia="zh-CN"/>
              </w:rPr>
              <w:t>日</w:t>
            </w:r>
            <w:r>
              <w:rPr>
                <w:rFonts w:hint="eastAsia" w:ascii="宋体" w:hAnsi="宋体" w:eastAsia="宋体" w:cs="宋体"/>
                <w:b w:val="0"/>
                <w:bCs w:val="0"/>
                <w:color w:val="auto"/>
                <w:sz w:val="22"/>
                <w:szCs w:val="22"/>
                <w:highlight w:val="none"/>
                <w:lang w:val="en-US" w:eastAsia="zh-CN"/>
              </w:rPr>
              <w:t>09</w:t>
            </w:r>
            <w:r>
              <w:rPr>
                <w:rFonts w:hint="eastAsia" w:ascii="宋体" w:hAnsi="宋体" w:eastAsia="宋体" w:cs="宋体"/>
                <w:b w:val="0"/>
                <w:bCs w:val="0"/>
                <w:color w:val="auto"/>
                <w:sz w:val="22"/>
                <w:szCs w:val="22"/>
                <w:highlight w:val="none"/>
                <w:lang w:eastAsia="zh-CN"/>
              </w:rPr>
              <w:t>点</w:t>
            </w:r>
            <w:r>
              <w:rPr>
                <w:rFonts w:hint="eastAsia" w:ascii="宋体" w:hAnsi="宋体" w:eastAsia="宋体" w:cs="宋体"/>
                <w:b w:val="0"/>
                <w:bCs w:val="0"/>
                <w:color w:val="auto"/>
                <w:sz w:val="22"/>
                <w:szCs w:val="22"/>
                <w:highlight w:val="none"/>
                <w:lang w:val="en-US" w:eastAsia="zh-CN"/>
              </w:rPr>
              <w:t>30</w:t>
            </w:r>
            <w:r>
              <w:rPr>
                <w:rFonts w:hint="eastAsia" w:ascii="宋体" w:hAnsi="宋体" w:eastAsia="宋体" w:cs="宋体"/>
                <w:b w:val="0"/>
                <w:bCs w:val="0"/>
                <w:color w:val="auto"/>
                <w:sz w:val="22"/>
                <w:szCs w:val="22"/>
                <w:highlight w:val="none"/>
                <w:lang w:eastAsia="zh-CN"/>
              </w:rPr>
              <w:t>分</w:t>
            </w:r>
            <w:bookmarkStart w:id="98" w:name="_GoBack"/>
            <w:bookmarkEnd w:id="98"/>
          </w:p>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eastAsia="宋体" w:cs="宋体"/>
                <w:color w:val="auto"/>
                <w:sz w:val="22"/>
                <w:highlight w:val="none"/>
                <w:lang w:eastAsia="zh-CN"/>
              </w:rPr>
              <w:t>温州市鹿城区学院中路229号三想集团5楼（</w:t>
            </w:r>
            <w:r>
              <w:rPr>
                <w:rFonts w:hint="eastAsia" w:ascii="宋体" w:hAnsi="宋体" w:eastAsia="宋体" w:cs="宋体"/>
                <w:color w:val="auto"/>
                <w:sz w:val="22"/>
                <w:highlight w:val="none"/>
                <w:lang w:val="en-US" w:eastAsia="zh-CN"/>
              </w:rPr>
              <w:t>政采云</w:t>
            </w:r>
            <w:r>
              <w:rPr>
                <w:rFonts w:hint="eastAsia" w:ascii="宋体" w:hAnsi="宋体" w:eastAsia="宋体" w:cs="宋体"/>
                <w:color w:val="auto"/>
                <w:sz w:val="21"/>
                <w:szCs w:val="22"/>
                <w:highlight w:val="none"/>
              </w:rPr>
              <w:t>http://zfcg.czt.zj.gov.cn</w:t>
            </w:r>
            <w:r>
              <w:rPr>
                <w:rFonts w:hint="eastAsia" w:ascii="宋体" w:hAnsi="宋体" w:eastAsia="宋体" w:cs="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1、本项目对符合财政扶持政策的中小企业（小型、微型）、监狱企业、残疾人福利性单位给予价格优惠扶持，价格优惠扶持见：</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满足转发财政部 工业和信息化部关于印发《政府采购促进中小企业发展管理办法》的通知（财库﹝2020﹞46号）的规定的中小企业可享受优惠扶持。</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满足关于政府采购支持监狱企业发展有关问题的通知（财库[2014]68号）的规定的供应商可享受优惠扶持。</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满足关于促进残疾人就业政府采购政策的通知（财库[2017]141号）的规定的供应商可享受优惠扶持。</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2、节能产品、环境标志产品的强制采购政策</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3、节能产品、环境标志产品的优先采购政策</w:t>
            </w:r>
          </w:p>
          <w:p>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2）截止时点：提交投标文件（响应文件）截止时间前3年内；</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bl>
    <w:p>
      <w:pPr>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br w:type="page"/>
      </w:r>
    </w:p>
    <w:p>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19070"/>
      <w:bookmarkStart w:id="11" w:name="_Toc20846"/>
      <w:r>
        <w:rPr>
          <w:rFonts w:hint="eastAsia" w:ascii="宋体" w:hAnsi="宋体" w:eastAsia="宋体" w:cs="宋体"/>
          <w:b/>
          <w:bCs/>
          <w:color w:val="auto"/>
          <w:sz w:val="26"/>
          <w:szCs w:val="26"/>
          <w:highlight w:val="none"/>
        </w:rPr>
        <w:t>一、 说   明</w:t>
      </w:r>
      <w:bookmarkEnd w:id="10"/>
      <w:bookmarkEnd w:id="11"/>
    </w:p>
    <w:p>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pPr>
        <w:tabs>
          <w:tab w:val="left" w:pos="360"/>
        </w:tabs>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szCs w:val="22"/>
          <w:highlight w:val="none"/>
        </w:rPr>
        <w:t>3.1</w:t>
      </w:r>
      <w:r>
        <w:rPr>
          <w:rFonts w:hint="eastAsia" w:ascii="宋体" w:hAnsi="宋体" w:eastAsia="宋体" w:cs="宋体"/>
          <w:b w:val="0"/>
          <w:bCs/>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4.1投</w:t>
      </w:r>
      <w:r>
        <w:rPr>
          <w:rFonts w:hint="eastAsia" w:ascii="宋体" w:hAnsi="宋体" w:eastAsia="宋体" w:cs="宋体"/>
          <w:color w:val="auto"/>
          <w:sz w:val="22"/>
          <w:szCs w:val="22"/>
          <w:highlight w:val="none"/>
        </w:rPr>
        <w:t>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9899"/>
      <w:bookmarkStart w:id="13" w:name="_Toc28278"/>
      <w:r>
        <w:rPr>
          <w:rFonts w:hint="eastAsia" w:ascii="宋体" w:hAnsi="宋体" w:eastAsia="宋体" w:cs="宋体"/>
          <w:b/>
          <w:bCs/>
          <w:color w:val="auto"/>
          <w:sz w:val="26"/>
          <w:szCs w:val="26"/>
          <w:highlight w:val="none"/>
        </w:rPr>
        <w:t>二、 招标文件</w:t>
      </w:r>
      <w:bookmarkEnd w:id="12"/>
      <w:bookmarkEnd w:id="13"/>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22646"/>
      <w:bookmarkStart w:id="15" w:name="_Toc12726"/>
      <w:r>
        <w:rPr>
          <w:rFonts w:hint="eastAsia" w:ascii="宋体" w:hAnsi="宋体" w:eastAsia="宋体" w:cs="宋体"/>
          <w:b/>
          <w:bCs/>
          <w:color w:val="auto"/>
          <w:sz w:val="26"/>
          <w:szCs w:val="26"/>
          <w:highlight w:val="none"/>
        </w:rPr>
        <w:t>三、 投标文件的编制</w:t>
      </w:r>
      <w:bookmarkEnd w:id="14"/>
      <w:bookmarkEnd w:id="15"/>
    </w:p>
    <w:p>
      <w:pPr>
        <w:tabs>
          <w:tab w:val="left" w:pos="360"/>
        </w:tabs>
        <w:spacing w:line="460" w:lineRule="exact"/>
        <w:ind w:firstLine="550" w:firstLineChars="25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投标</w:t>
      </w:r>
      <w:r>
        <w:rPr>
          <w:rFonts w:hint="eastAsia" w:ascii="宋体" w:hAnsi="宋体" w:eastAsia="宋体" w:cs="宋体"/>
          <w:b w:val="0"/>
          <w:bCs w:val="0"/>
          <w:color w:val="auto"/>
          <w:kern w:val="0"/>
          <w:sz w:val="22"/>
          <w:szCs w:val="22"/>
          <w:highlight w:val="none"/>
          <w:lang w:val="zh-CN"/>
        </w:rPr>
        <w:t>文件应当包括以下主要内容：资格文件、报价文件、商务技术文件。</w:t>
      </w:r>
    </w:p>
    <w:p>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pPr>
        <w:spacing w:line="460" w:lineRule="exact"/>
        <w:ind w:firstLine="539" w:firstLineChars="245"/>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zh-CN"/>
        </w:rPr>
        <w:t>基本资格条件审查材料：</w:t>
      </w:r>
      <w:r>
        <w:rPr>
          <w:rFonts w:hint="eastAsia" w:ascii="宋体" w:hAnsi="宋体" w:eastAsia="宋体" w:cs="宋体"/>
          <w:color w:val="auto"/>
          <w:kern w:val="0"/>
          <w:sz w:val="22"/>
          <w:szCs w:val="22"/>
          <w:highlight w:val="none"/>
          <w:u w:val="none"/>
          <w:lang w:val="en-US" w:eastAsia="zh-CN"/>
        </w:rPr>
        <w:t>即证明供应商</w:t>
      </w:r>
      <w:r>
        <w:rPr>
          <w:rFonts w:hint="eastAsia" w:ascii="宋体" w:hAnsi="宋体" w:eastAsia="宋体" w:cs="宋体"/>
          <w:color w:val="auto"/>
          <w:kern w:val="0"/>
          <w:sz w:val="22"/>
          <w:szCs w:val="22"/>
          <w:highlight w:val="none"/>
          <w:u w:val="none"/>
          <w:lang w:val="zh-CN"/>
        </w:rPr>
        <w:t>参加本次政府采购活动前3年内</w:t>
      </w:r>
      <w:r>
        <w:rPr>
          <w:rFonts w:hint="eastAsia"/>
          <w:color w:val="auto"/>
          <w:sz w:val="22"/>
          <w:szCs w:val="22"/>
          <w:highlight w:val="none"/>
          <w:u w:val="none"/>
          <w:lang w:val="en-US" w:eastAsia="zh-CN"/>
        </w:rPr>
        <w:t>满足《中华人民共和国政府采购法》</w:t>
      </w:r>
      <w:r>
        <w:rPr>
          <w:rFonts w:hint="eastAsia" w:ascii="宋体" w:hAnsi="宋体" w:eastAsia="宋体" w:cs="宋体"/>
          <w:color w:val="auto"/>
          <w:kern w:val="0"/>
          <w:sz w:val="22"/>
          <w:szCs w:val="22"/>
          <w:highlight w:val="none"/>
          <w:u w:val="none"/>
          <w:lang w:val="zh-CN"/>
        </w:rPr>
        <w:t>的有关资格证明文件。</w:t>
      </w:r>
      <w:r>
        <w:rPr>
          <w:rFonts w:hint="eastAsia" w:ascii="宋体" w:hAnsi="宋体" w:eastAsia="宋体" w:cs="宋体"/>
          <w:color w:val="auto"/>
          <w:kern w:val="0"/>
          <w:sz w:val="22"/>
          <w:szCs w:val="22"/>
          <w:highlight w:val="none"/>
          <w:u w:val="none"/>
          <w:lang w:val="en-US" w:eastAsia="zh-CN"/>
        </w:rPr>
        <w:t>包括：</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资格条件承诺函</w:t>
      </w:r>
      <w:r>
        <w:rPr>
          <w:rFonts w:hint="eastAsia" w:ascii="宋体" w:hAnsi="宋体" w:eastAsia="宋体" w:cs="宋体"/>
          <w:color w:val="auto"/>
          <w:sz w:val="22"/>
          <w:szCs w:val="22"/>
          <w:highlight w:val="none"/>
          <w:u w:val="none"/>
          <w:lang w:eastAsia="zh-CN"/>
        </w:rPr>
        <w:t>；</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 xml:space="preserve">）营业执照(或事业法人登记证书或其它工商等登记证明材料；自然人参与政府采购，提供身份证)复印件； </w:t>
      </w:r>
    </w:p>
    <w:p>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lang w:val="en-US" w:eastAsia="zh-CN"/>
        </w:rPr>
        <w:t>）投标人信用查询</w:t>
      </w:r>
      <w:r>
        <w:rPr>
          <w:rFonts w:hint="eastAsia" w:ascii="宋体" w:hAnsi="宋体" w:cs="宋体"/>
          <w:color w:val="auto"/>
          <w:sz w:val="22"/>
          <w:szCs w:val="22"/>
          <w:highlight w:val="none"/>
          <w:u w:val="none"/>
          <w:lang w:val="en-US" w:eastAsia="zh-CN"/>
        </w:rPr>
        <w:t>；</w:t>
      </w:r>
    </w:p>
    <w:p>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采购活动现场确认声明书</w:t>
      </w:r>
      <w:r>
        <w:rPr>
          <w:rFonts w:hint="eastAsia" w:ascii="宋体" w:hAnsi="宋体" w:cs="宋体"/>
          <w:color w:val="auto"/>
          <w:sz w:val="22"/>
          <w:szCs w:val="22"/>
          <w:highlight w:val="none"/>
          <w:u w:val="none"/>
          <w:lang w:eastAsia="zh-CN"/>
        </w:rPr>
        <w:t>；</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pPr>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3.3</w:t>
      </w:r>
      <w:r>
        <w:rPr>
          <w:rFonts w:hint="eastAsia" w:ascii="宋体" w:hAnsi="宋体" w:eastAsia="宋体" w:cs="宋体"/>
          <w:b/>
          <w:bCs/>
          <w:color w:val="auto"/>
          <w:kern w:val="0"/>
          <w:sz w:val="22"/>
          <w:szCs w:val="22"/>
          <w:highlight w:val="none"/>
          <w:lang w:val="zh-CN"/>
        </w:rPr>
        <w:t xml:space="preserve">投标人的商务技术文件应包括以下内容： </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pPr>
        <w:snapToGrid w:val="0"/>
        <w:spacing w:line="4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投标人综合</w:t>
      </w:r>
      <w:r>
        <w:rPr>
          <w:rFonts w:hint="eastAsia" w:ascii="宋体" w:hAnsi="宋体" w:eastAsia="宋体" w:cs="宋体"/>
          <w:color w:val="auto"/>
          <w:sz w:val="22"/>
          <w:szCs w:val="22"/>
          <w:highlight w:val="none"/>
          <w:lang w:val="en-US" w:eastAsia="zh-CN"/>
        </w:rPr>
        <w:t>情况</w:t>
      </w:r>
    </w:p>
    <w:p>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投标人针对本项目服务人员情况</w:t>
      </w:r>
    </w:p>
    <w:p>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备品备件提供、配置、响应</w:t>
      </w:r>
    </w:p>
    <w:p>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同类项目业绩</w:t>
      </w:r>
    </w:p>
    <w:p>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维保方案</w:t>
      </w:r>
    </w:p>
    <w:p>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）其他必要提供的资料。</w:t>
      </w:r>
    </w:p>
    <w:p>
      <w:pPr>
        <w:spacing w:line="460" w:lineRule="exact"/>
        <w:ind w:firstLine="440" w:firstLineChars="20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投标文件中所需的各种证书、证件、证明资料如是复印件，须在复印件上加盖有效公章。</w:t>
      </w:r>
    </w:p>
    <w:p>
      <w:pPr>
        <w:pStyle w:val="31"/>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投标人的</w:t>
      </w:r>
      <w:r>
        <w:rPr>
          <w:rFonts w:hint="eastAsia" w:ascii="宋体" w:hAnsi="宋体" w:eastAsia="宋体" w:cs="宋体"/>
          <w:b w:val="0"/>
          <w:bCs/>
          <w:color w:val="auto"/>
          <w:sz w:val="22"/>
          <w:szCs w:val="22"/>
          <w:highlight w:val="none"/>
        </w:rPr>
        <w:t>投标文件必须按照招标文件要求制作。</w:t>
      </w:r>
    </w:p>
    <w:p>
      <w:pPr>
        <w:pStyle w:val="31"/>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4.1投标人应根据国家的有关规定和招标文件要求并结合企业的实际情况进行投标报价。投标报价以人民币为结算货币，承包报价必须包括</w:t>
      </w:r>
      <w:r>
        <w:rPr>
          <w:rFonts w:hint="eastAsia" w:ascii="宋体" w:hAnsi="宋体" w:cs="宋体"/>
          <w:b w:val="0"/>
          <w:bCs/>
          <w:color w:val="auto"/>
          <w:sz w:val="22"/>
          <w:highlight w:val="none"/>
          <w:lang w:val="en-US" w:eastAsia="zh-CN"/>
        </w:rPr>
        <w:t>完成本项目</w:t>
      </w:r>
      <w:r>
        <w:rPr>
          <w:rFonts w:hint="eastAsia" w:ascii="宋体" w:hAnsi="宋体" w:eastAsia="宋体" w:cs="宋体"/>
          <w:b w:val="0"/>
          <w:bCs/>
          <w:color w:val="auto"/>
          <w:sz w:val="22"/>
          <w:highlight w:val="none"/>
        </w:rPr>
        <w:t>所提供相关服务所需的一切人员工资、奖金、各种加班费、高温补贴费、各种社会保险、食宿与交通、设备及工具、器材、消耗材料、管理费用、税费、利润、完成合同所需的一切本身和不可或缺的所有工作开支、政策性文件规定及合同包含的所有风险、责任等各项全部费用并承担一切风险责任。在合同服务期间内不得违反国家相关政策规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hAnsi="宋体" w:eastAsia="宋体" w:cs="宋体"/>
          <w:b w:val="0"/>
          <w:bCs w:val="0"/>
          <w:color w:val="auto"/>
          <w:sz w:val="22"/>
          <w:highlight w:val="none"/>
        </w:rPr>
        <w:t>投标货币以人民币进行投标</w:t>
      </w:r>
      <w:r>
        <w:rPr>
          <w:rFonts w:hint="eastAsia" w:ascii="宋体" w:hAnsi="宋体" w:eastAsia="宋体" w:cs="宋体"/>
          <w:b w:val="0"/>
          <w:bCs w:val="0"/>
          <w:color w:val="auto"/>
          <w:sz w:val="22"/>
          <w:szCs w:val="22"/>
          <w:highlight w:val="none"/>
        </w:rPr>
        <w:t>。</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hAnsi="宋体" w:eastAsia="宋体" w:cs="宋体"/>
          <w:b w:val="0"/>
          <w:bCs w:val="0"/>
          <w:color w:val="auto"/>
          <w:sz w:val="22"/>
          <w:highlight w:val="none"/>
        </w:rPr>
        <w:t>招标人和招标代理机构不接受任何选择投标，对任何服务只允许一个价格。</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4.7最低报价不能作为中标的保证。</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5.1自开标之日起 120 天内投标应保持有效。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7.4《投标文件》内容不完整、编排混乱导致《投标文件》被误读、漏读或者查找不到相关内容的，投标人自行负责。</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7.5《投标文件》因字迹潦草或表达不清所引起的后果由投标人负责。</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8.1《投标文件》的签章：见《前附表》；</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8.2《投标文件》应由投标人法定代表人或其授权代表签字（或盖章），并时加盖投标人公章。</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8.3电子签章操作指南详见采购公告附件《供应商项目采购-电子招投标操作指南》。</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9.1投标文件的形式：见《前附表》；</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10.1投标文件的份数：见《前附表》。</w:t>
      </w:r>
    </w:p>
    <w:p>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5422"/>
      <w:bookmarkStart w:id="17" w:name="_Toc18542"/>
      <w:r>
        <w:rPr>
          <w:rFonts w:hint="eastAsia" w:ascii="宋体" w:hAnsi="宋体" w:eastAsia="宋体" w:cs="宋体"/>
          <w:b/>
          <w:bCs/>
          <w:color w:val="auto"/>
          <w:sz w:val="22"/>
          <w:szCs w:val="22"/>
          <w:highlight w:val="none"/>
        </w:rPr>
        <w:t>四、 投标文件的递交</w:t>
      </w:r>
      <w:bookmarkEnd w:id="16"/>
      <w:bookmarkEnd w:id="17"/>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1、投标文件的上传和递交</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1.1“投标文件”的上传、递交：见《前附表》。</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2、“电子加密投标文件”解密和异常情况处理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8079"/>
      <w:bookmarkStart w:id="19" w:name="_Toc30172"/>
      <w:r>
        <w:rPr>
          <w:rFonts w:hint="eastAsia" w:ascii="宋体" w:hAnsi="宋体" w:eastAsia="宋体" w:cs="宋体"/>
          <w:b/>
          <w:bCs/>
          <w:color w:val="auto"/>
          <w:sz w:val="22"/>
          <w:szCs w:val="22"/>
          <w:highlight w:val="none"/>
        </w:rPr>
        <w:t>五、 开标和评标</w:t>
      </w:r>
      <w:bookmarkEnd w:id="18"/>
      <w:bookmarkEnd w:id="1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3、开标形式</w:t>
      </w:r>
    </w:p>
    <w:p>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 xml:space="preserve"> 采购组织机构将按照招标文件规定的时间通过“政府采购云平台”组织开标、开启投标文件，所有供应商均应当准时(在线)参加。</w:t>
      </w:r>
    </w:p>
    <w:p>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4、开标准备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r>
        <w:rPr>
          <w:rFonts w:hint="eastAsia" w:ascii="宋体" w:hAnsi="宋体" w:eastAsia="宋体" w:cs="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5.1开标、评标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pPr>
        <w:spacing w:line="460" w:lineRule="exact"/>
        <w:ind w:firstLine="541" w:firstLineChars="245"/>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没有满足招标文件的实质性要求的投标作无效标处理。</w:t>
      </w:r>
      <w:r>
        <w:rPr>
          <w:rFonts w:hint="eastAsia" w:ascii="宋体" w:hAnsi="宋体" w:eastAsia="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宋体" w:hAnsi="宋体" w:eastAsia="宋体" w:cs="宋体"/>
          <w:color w:val="auto"/>
          <w:sz w:val="22"/>
          <w:szCs w:val="22"/>
          <w:highlight w:val="none"/>
        </w:rPr>
      </w:pPr>
      <w:bookmarkStart w:id="20" w:name="_Toc33194393"/>
      <w:bookmarkStart w:id="21" w:name="_Toc24550037"/>
      <w:r>
        <w:rPr>
          <w:rFonts w:hint="eastAsia" w:ascii="宋体" w:hAnsi="宋体" w:eastAsia="宋体" w:cs="宋体"/>
          <w:color w:val="auto"/>
          <w:sz w:val="22"/>
          <w:szCs w:val="22"/>
          <w:highlight w:val="none"/>
        </w:rPr>
        <w:t>6、投标人资格审查</w:t>
      </w:r>
      <w:bookmarkEnd w:id="20"/>
      <w:bookmarkEnd w:id="21"/>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eastAsia="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val="0"/>
          <w:bCs/>
          <w:color w:val="auto"/>
          <w:kern w:val="0"/>
          <w:sz w:val="22"/>
          <w:szCs w:val="22"/>
          <w:highlight w:val="none"/>
        </w:rPr>
        <w:t>将对其作资格审查不通过处理（无效投标），并不再将其投标提交评标委员会进行后续评审。</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r>
        <w:rPr>
          <w:rFonts w:hint="eastAsia" w:ascii="宋体" w:hAnsi="宋体" w:eastAsia="宋体" w:cs="宋体"/>
          <w:b w:val="0"/>
          <w:bCs/>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12.2经澄清后，若偏差仍存在，且不可接受，投标人则被认为是“没有实质性响应招标文件要求”，其投标将被拒绝。</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13、评审结果的修改</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13.1评标结果汇总完成后，除下列情形外，任何人不得修改评标结果：</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pPr>
        <w:spacing w:line="460" w:lineRule="exact"/>
        <w:ind w:firstLine="759" w:firstLineChars="345"/>
        <w:rPr>
          <w:rFonts w:hint="eastAsia" w:ascii="宋体" w:hAnsi="宋体" w:eastAsia="宋体" w:cs="宋体"/>
          <w:b w:val="0"/>
          <w:bCs/>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w:t>
      </w:r>
      <w:r>
        <w:rPr>
          <w:rFonts w:hint="eastAsia" w:ascii="宋体" w:hAnsi="宋体" w:eastAsia="宋体" w:cs="宋体"/>
          <w:b w:val="0"/>
          <w:bCs/>
          <w:color w:val="auto"/>
          <w:sz w:val="22"/>
          <w:szCs w:val="22"/>
          <w:highlight w:val="none"/>
        </w:rPr>
        <w:t>在评标报告中记载。</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15、确定中标人</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18、招标人对决标结果不做任何解释，也不保证最低价中标。</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b w:val="0"/>
          <w:bCs w:val="0"/>
          <w:color w:val="auto"/>
          <w:sz w:val="22"/>
          <w:szCs w:val="22"/>
          <w:highlight w:val="none"/>
        </w:rPr>
        <w:t>19、评标细则详见“评标原则及方法”。</w:t>
      </w:r>
    </w:p>
    <w:p>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6836"/>
      <w:bookmarkStart w:id="23" w:name="_Toc21056"/>
      <w:r>
        <w:rPr>
          <w:rFonts w:hint="eastAsia" w:ascii="宋体" w:hAnsi="宋体" w:eastAsia="宋体" w:cs="宋体"/>
          <w:b/>
          <w:bCs/>
          <w:color w:val="auto"/>
          <w:sz w:val="26"/>
          <w:szCs w:val="26"/>
          <w:highlight w:val="none"/>
        </w:rPr>
        <w:t>六、 授予合同</w:t>
      </w:r>
      <w:bookmarkEnd w:id="22"/>
      <w:bookmarkEnd w:id="23"/>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1、中标通知书</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1.1中标人确定后，招标人将向中标人发出中标通知书。 </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1.2中标通知书是合同的一个组成部分,对招标人和中标人均具有同等法律效力。</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2、授标时更改采购货物数量的权力</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3、签订合同</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3.1中标人应按中标通知书规定的时间、地点与招标人签订合同。</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w:t>
      </w:r>
      <w:r>
        <w:rPr>
          <w:rFonts w:hint="eastAsia" w:ascii="宋体" w:hAnsi="宋体" w:eastAsia="宋体" w:cs="宋体"/>
          <w:b w:val="0"/>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3.4拒签合同的违约责任</w:t>
      </w:r>
    </w:p>
    <w:p>
      <w:pPr>
        <w:spacing w:line="460" w:lineRule="exact"/>
        <w:ind w:firstLine="568" w:firstLineChars="24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中标人接到中标通知书后，在规定时间内借故否认已经承诺的条件而拒签合同的，以违约处理。</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、质疑与投诉</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宋体" w:hAnsi="宋体" w:eastAsia="宋体" w:cs="宋体"/>
          <w:b w:val="0"/>
          <w:bCs/>
          <w:color w:val="auto"/>
          <w:sz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pPr>
        <w:rPr>
          <w:rFonts w:hint="eastAsia" w:ascii="宋体" w:hAnsi="宋体" w:eastAsia="宋体" w:cs="宋体"/>
        </w:rPr>
      </w:pPr>
      <w:bookmarkStart w:id="24" w:name="_Toc19043"/>
      <w:bookmarkStart w:id="25" w:name="_Toc28194"/>
    </w:p>
    <w:p>
      <w:pPr>
        <w:rPr>
          <w:rFonts w:hint="eastAsia" w:ascii="宋体" w:hAnsi="宋体" w:eastAsia="宋体" w:cs="宋体"/>
        </w:rPr>
      </w:pPr>
      <w:r>
        <w:rPr>
          <w:rFonts w:hint="eastAsia" w:ascii="宋体" w:hAnsi="宋体" w:eastAsia="宋体" w:cs="宋体"/>
        </w:rPr>
        <w:br w:type="page"/>
      </w:r>
    </w:p>
    <w:p>
      <w:pPr>
        <w:pStyle w:val="4"/>
        <w:bidi w:val="0"/>
        <w:rPr>
          <w:rFonts w:hint="eastAsia" w:ascii="宋体" w:hAnsi="宋体" w:eastAsia="宋体" w:cs="宋体"/>
        </w:rPr>
      </w:pPr>
      <w:r>
        <w:rPr>
          <w:rFonts w:hint="eastAsia" w:ascii="宋体" w:hAnsi="宋体" w:eastAsia="宋体" w:cs="宋体"/>
        </w:rPr>
        <w:t>第二部分    合同主要条款</w:t>
      </w:r>
      <w:bookmarkEnd w:id="24"/>
      <w:bookmarkEnd w:id="25"/>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pPr>
        <w:spacing w:line="460" w:lineRule="exact"/>
        <w:rPr>
          <w:rFonts w:hint="eastAsia" w:ascii="新宋体" w:hAnsi="新宋体" w:eastAsia="新宋体" w:cs="新宋体"/>
          <w:b/>
          <w:color w:val="auto"/>
          <w:sz w:val="22"/>
          <w:szCs w:val="22"/>
          <w:highlight w:val="none"/>
        </w:rPr>
      </w:pP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（招标人）</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（中标人）</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eastAsia="zh-CN"/>
        </w:rPr>
        <w:t>温州市中医院</w:t>
      </w:r>
      <w:r>
        <w:rPr>
          <w:rFonts w:hint="eastAsia" w:ascii="新宋体" w:hAnsi="新宋体" w:eastAsia="新宋体" w:cs="新宋体"/>
          <w:bCs/>
          <w:color w:val="auto"/>
          <w:sz w:val="22"/>
          <w:szCs w:val="22"/>
          <w:highlight w:val="none"/>
        </w:rPr>
        <w:t>的</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（项目名称、编号）在国内以</w:t>
      </w:r>
      <w:r>
        <w:rPr>
          <w:rFonts w:hint="eastAsia" w:ascii="新宋体" w:hAnsi="新宋体" w:eastAsia="新宋体" w:cs="新宋体"/>
          <w:bCs/>
          <w:color w:val="auto"/>
          <w:sz w:val="22"/>
          <w:szCs w:val="22"/>
          <w:highlight w:val="none"/>
          <w:lang w:val="en-US" w:eastAsia="zh-CN"/>
        </w:rPr>
        <w:t>公开招标</w:t>
      </w:r>
      <w:r>
        <w:rPr>
          <w:rFonts w:hint="eastAsia" w:ascii="新宋体" w:hAnsi="新宋体" w:eastAsia="新宋体" w:cs="新宋体"/>
          <w:bCs/>
          <w:color w:val="auto"/>
          <w:sz w:val="22"/>
          <w:szCs w:val="22"/>
          <w:highlight w:val="none"/>
        </w:rPr>
        <w:t>方式进行招标，经评标委员会评定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（中标人名称）为中标人。双方本着诚信及互利互惠的原则，同意按照下面条款和条件，签署本合同。</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一、本合同签订依据</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《中华人民共和国民法典》</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二、合同文件的优先次序</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合同文件如存在歧义或不一致则根据以下优先次序来判断：</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1、合同书及合同补充条款或说明 </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2、中标通知书</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3、承诺书（含询标记录和优惠条款）</w:t>
      </w:r>
    </w:p>
    <w:p>
      <w:pPr>
        <w:spacing w:line="460" w:lineRule="exact"/>
        <w:ind w:firstLine="539" w:firstLineChars="245"/>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4、</w:t>
      </w:r>
      <w:r>
        <w:rPr>
          <w:rFonts w:hint="eastAsia" w:ascii="新宋体" w:hAnsi="新宋体" w:eastAsia="新宋体" w:cs="新宋体"/>
          <w:bCs/>
          <w:color w:val="auto"/>
          <w:sz w:val="22"/>
          <w:szCs w:val="22"/>
          <w:highlight w:val="none"/>
          <w:lang w:val="en-US" w:eastAsia="zh-CN"/>
        </w:rPr>
        <w:t>投标</w:t>
      </w:r>
      <w:r>
        <w:rPr>
          <w:rFonts w:hint="eastAsia" w:ascii="新宋体" w:hAnsi="新宋体" w:eastAsia="新宋体" w:cs="新宋体"/>
          <w:bCs/>
          <w:color w:val="auto"/>
          <w:sz w:val="22"/>
          <w:szCs w:val="22"/>
          <w:highlight w:val="none"/>
          <w:lang w:eastAsia="zh-CN"/>
        </w:rPr>
        <w:t>文件</w:t>
      </w:r>
    </w:p>
    <w:p>
      <w:pPr>
        <w:spacing w:line="460" w:lineRule="exact"/>
        <w:ind w:firstLine="539" w:firstLineChars="245"/>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5、</w:t>
      </w:r>
      <w:r>
        <w:rPr>
          <w:rFonts w:hint="eastAsia" w:ascii="新宋体" w:hAnsi="新宋体" w:eastAsia="新宋体" w:cs="新宋体"/>
          <w:bCs/>
          <w:color w:val="auto"/>
          <w:sz w:val="22"/>
          <w:szCs w:val="22"/>
          <w:highlight w:val="none"/>
          <w:lang w:val="en-US" w:eastAsia="zh-CN"/>
        </w:rPr>
        <w:t>招标</w:t>
      </w:r>
      <w:r>
        <w:rPr>
          <w:rFonts w:hint="eastAsia" w:ascii="新宋体" w:hAnsi="新宋体" w:eastAsia="新宋体" w:cs="新宋体"/>
          <w:bCs/>
          <w:color w:val="auto"/>
          <w:sz w:val="22"/>
          <w:szCs w:val="22"/>
          <w:highlight w:val="none"/>
          <w:lang w:eastAsia="zh-CN"/>
        </w:rPr>
        <w:t>文件</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三</w:t>
      </w:r>
      <w:r>
        <w:rPr>
          <w:rFonts w:hint="eastAsia" w:ascii="新宋体" w:hAnsi="新宋体" w:eastAsia="新宋体"/>
          <w:b/>
          <w:bCs/>
          <w:color w:val="auto"/>
          <w:sz w:val="22"/>
          <w:szCs w:val="22"/>
          <w:highlight w:val="none"/>
        </w:rPr>
        <w:t>、合同内容：</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依据招标内容及要求或甲方指定内容。</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四</w:t>
      </w:r>
      <w:r>
        <w:rPr>
          <w:rFonts w:hint="eastAsia" w:ascii="新宋体" w:hAnsi="新宋体" w:eastAsia="新宋体"/>
          <w:b/>
          <w:bCs/>
          <w:color w:val="auto"/>
          <w:sz w:val="22"/>
          <w:szCs w:val="22"/>
          <w:highlight w:val="none"/>
        </w:rPr>
        <w:t>、服务期限：</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系统维护时间为2023年5月至2024年4月。</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b w:val="0"/>
          <w:bCs w:val="0"/>
          <w:color w:val="auto"/>
          <w:sz w:val="22"/>
          <w:szCs w:val="22"/>
          <w:highlight w:val="none"/>
        </w:rPr>
        <w:t>如果</w:t>
      </w:r>
      <w:r>
        <w:rPr>
          <w:rFonts w:hint="eastAsia" w:ascii="新宋体" w:hAnsi="新宋体" w:eastAsia="新宋体"/>
          <w:b w:val="0"/>
          <w:bCs w:val="0"/>
          <w:color w:val="auto"/>
          <w:sz w:val="22"/>
          <w:szCs w:val="22"/>
          <w:highlight w:val="none"/>
          <w:lang w:val="en-US" w:eastAsia="zh-CN"/>
        </w:rPr>
        <w:t>乙方</w:t>
      </w:r>
      <w:r>
        <w:rPr>
          <w:rFonts w:hint="eastAsia" w:ascii="新宋体" w:hAnsi="新宋体" w:eastAsia="新宋体"/>
          <w:b w:val="0"/>
          <w:bCs w:val="0"/>
          <w:color w:val="auto"/>
          <w:sz w:val="22"/>
          <w:szCs w:val="22"/>
          <w:highlight w:val="none"/>
        </w:rPr>
        <w:t>的维保服务质量使</w:t>
      </w:r>
      <w:r>
        <w:rPr>
          <w:rFonts w:hint="eastAsia" w:ascii="新宋体" w:hAnsi="新宋体" w:eastAsia="新宋体"/>
          <w:b w:val="0"/>
          <w:bCs w:val="0"/>
          <w:color w:val="auto"/>
          <w:sz w:val="22"/>
          <w:szCs w:val="22"/>
          <w:highlight w:val="none"/>
          <w:lang w:val="en-US" w:eastAsia="zh-CN"/>
        </w:rPr>
        <w:t>甲方</w:t>
      </w:r>
      <w:r>
        <w:rPr>
          <w:rFonts w:hint="eastAsia" w:ascii="新宋体" w:hAnsi="新宋体" w:eastAsia="新宋体"/>
          <w:b w:val="0"/>
          <w:bCs w:val="0"/>
          <w:color w:val="auto"/>
          <w:sz w:val="22"/>
          <w:szCs w:val="22"/>
          <w:highlight w:val="none"/>
        </w:rPr>
        <w:t>满意，且达到合同规定的各项要求，在维保期满后，无特殊情况可以续约，但续约合同必须一年一签，续约最多不能超过二年。续签合同时，项目内容和资金预算应符合政府采购预算安排要求，并及时申报政府采购计划。</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五</w:t>
      </w:r>
      <w:r>
        <w:rPr>
          <w:rFonts w:hint="eastAsia" w:ascii="新宋体" w:hAnsi="新宋体" w:eastAsia="新宋体"/>
          <w:b/>
          <w:bCs/>
          <w:color w:val="auto"/>
          <w:sz w:val="22"/>
          <w:szCs w:val="22"/>
          <w:highlight w:val="none"/>
        </w:rPr>
        <w:t>、合同费用</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本合同费用为人民币</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万元，大写：</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人民币。</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合同费用是指乙方在维护期内为完成招标文件、投标文件及其承诺维护设备的日常维护保养、故障维修及更换新件、人员驻场等所有与之相关的运行维护全部费用，实行固定费用总价包干，除此外乙方不得以任何理由调整合同价格。</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六</w:t>
      </w:r>
      <w:r>
        <w:rPr>
          <w:rFonts w:hint="eastAsia" w:ascii="新宋体" w:hAnsi="新宋体" w:eastAsia="新宋体"/>
          <w:b/>
          <w:bCs/>
          <w:color w:val="auto"/>
          <w:sz w:val="22"/>
          <w:szCs w:val="22"/>
          <w:highlight w:val="none"/>
        </w:rPr>
        <w:t>、服务费的支付与结算</w:t>
      </w:r>
    </w:p>
    <w:p>
      <w:pPr>
        <w:spacing w:line="460" w:lineRule="exact"/>
        <w:ind w:firstLine="539" w:firstLineChars="245"/>
        <w:rPr>
          <w:rFonts w:hint="default" w:ascii="新宋体" w:hAnsi="新宋体" w:eastAsia="新宋体"/>
          <w:b w:val="0"/>
          <w:bCs w:val="0"/>
          <w:color w:val="auto"/>
          <w:sz w:val="22"/>
          <w:szCs w:val="22"/>
          <w:highlight w:val="none"/>
          <w:lang w:val="en-US" w:eastAsia="zh-CN"/>
        </w:rPr>
      </w:pPr>
      <w:r>
        <w:rPr>
          <w:rFonts w:hint="eastAsia" w:ascii="新宋体" w:hAnsi="新宋体" w:eastAsia="新宋体"/>
          <w:b w:val="0"/>
          <w:bCs w:val="0"/>
          <w:color w:val="auto"/>
          <w:sz w:val="22"/>
          <w:szCs w:val="22"/>
          <w:highlight w:val="none"/>
          <w:lang w:val="en-US" w:eastAsia="zh-CN"/>
        </w:rPr>
        <w:t>1、乙方向甲方提供合同的1%作为履约保证金。</w:t>
      </w:r>
    </w:p>
    <w:p>
      <w:pPr>
        <w:spacing w:line="460" w:lineRule="exact"/>
        <w:ind w:firstLine="539" w:firstLineChars="245"/>
        <w:rPr>
          <w:rFonts w:hint="eastAsia" w:ascii="新宋体" w:hAnsi="新宋体" w:eastAsia="新宋体"/>
          <w:b/>
          <w:bCs/>
          <w:color w:val="auto"/>
          <w:sz w:val="22"/>
          <w:szCs w:val="22"/>
          <w:highlight w:val="none"/>
        </w:rPr>
      </w:pPr>
      <w:r>
        <w:rPr>
          <w:rFonts w:hint="eastAsia" w:ascii="新宋体" w:hAnsi="新宋体" w:eastAsia="新宋体"/>
          <w:b w:val="0"/>
          <w:bCs w:val="0"/>
          <w:color w:val="auto"/>
          <w:sz w:val="22"/>
          <w:szCs w:val="22"/>
          <w:highlight w:val="none"/>
          <w:lang w:val="en-US" w:eastAsia="zh-CN"/>
        </w:rPr>
        <w:t>2、合同签订生效以及具备实施条件后7个工作日</w:t>
      </w:r>
      <w:r>
        <w:rPr>
          <w:rFonts w:hint="eastAsia" w:ascii="新宋体" w:hAnsi="新宋体" w:eastAsia="新宋体"/>
          <w:b w:val="0"/>
          <w:bCs w:val="0"/>
          <w:color w:val="auto"/>
          <w:sz w:val="22"/>
          <w:szCs w:val="22"/>
          <w:highlight w:val="none"/>
        </w:rPr>
        <w:t>内甲方向乙方支付合同总额的50%；合同到期后满1个月内甲方向乙方支付合同剩余款项。</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七</w:t>
      </w:r>
      <w:r>
        <w:rPr>
          <w:rFonts w:hint="eastAsia" w:ascii="新宋体" w:hAnsi="新宋体" w:eastAsia="新宋体"/>
          <w:b/>
          <w:bCs/>
          <w:color w:val="auto"/>
          <w:sz w:val="22"/>
          <w:szCs w:val="22"/>
          <w:highlight w:val="none"/>
        </w:rPr>
        <w:t>、维护人员</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乙方应按招标文件要求派出技术水平高服务质量好的维护人员参与服务，如乙方派出的服务人员在本合同实施过程中，因素质、技术水平、服务质量、现场管理经验、采用的设备、文明安全等不符合招标文件的要求或投标文件中的承诺，造成现场管理混乱、服务质量和进度达不到招标文件中所承诺的要求时，甲方有权要求其重新调整充实服务人员，乙方必须接受，否则作违约处理，此时甲方可单方面终止合同。造成经济损失的，乙方应予赔偿。</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八</w:t>
      </w:r>
      <w:r>
        <w:rPr>
          <w:rFonts w:hint="eastAsia" w:ascii="新宋体" w:hAnsi="新宋体" w:eastAsia="新宋体"/>
          <w:b/>
          <w:bCs/>
          <w:color w:val="auto"/>
          <w:sz w:val="22"/>
          <w:szCs w:val="22"/>
          <w:highlight w:val="none"/>
        </w:rPr>
        <w:t>、设备、材料供应</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服务范围内所需的一切维护维修的设备材料均由乙方提供，甲方认可。采购供应的设备材料均须有清单、合格证、质保书或检测报告等技术资料（进口设备、材料交货时，乙方必须提交原产地证明及相应的通关证明、完税证明）。如发现不合格的设备材料，必须马上更换合格设备材料，并由乙方承担全部的经济损失和责任。</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九</w:t>
      </w:r>
      <w:r>
        <w:rPr>
          <w:rFonts w:hint="eastAsia" w:ascii="新宋体" w:hAnsi="新宋体" w:eastAsia="新宋体"/>
          <w:b/>
          <w:bCs/>
          <w:color w:val="auto"/>
          <w:sz w:val="22"/>
          <w:szCs w:val="22"/>
          <w:highlight w:val="none"/>
        </w:rPr>
        <w:t>、设备维护管理：</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.1设备维护管理的具体内容及要求</w:t>
      </w:r>
    </w:p>
    <w:p>
      <w:pPr>
        <w:spacing w:line="460" w:lineRule="exact"/>
        <w:ind w:firstLine="539" w:firstLineChars="245"/>
        <w:rPr>
          <w:rFonts w:hint="eastAsia" w:ascii="新宋体" w:hAnsi="新宋体" w:eastAsia="新宋体"/>
          <w:color w:val="auto"/>
          <w:sz w:val="22"/>
          <w:szCs w:val="22"/>
          <w:highlight w:val="none"/>
          <w:u w:val="single"/>
        </w:rPr>
      </w:pPr>
      <w:r>
        <w:rPr>
          <w:rFonts w:hint="eastAsia" w:ascii="新宋体" w:hAnsi="新宋体" w:eastAsia="新宋体"/>
          <w:color w:val="auto"/>
          <w:sz w:val="22"/>
          <w:szCs w:val="22"/>
          <w:highlight w:val="none"/>
          <w:u w:val="none"/>
        </w:rPr>
        <w:t>维护期设备的日常维护保养、故障维修及更换新件等所有与之相关的技术维保服务。具体内容及要求见招标文件第</w:t>
      </w:r>
      <w:r>
        <w:rPr>
          <w:rFonts w:hint="eastAsia" w:ascii="新宋体" w:hAnsi="新宋体" w:eastAsia="新宋体"/>
          <w:color w:val="auto"/>
          <w:sz w:val="22"/>
          <w:szCs w:val="22"/>
          <w:highlight w:val="none"/>
          <w:u w:val="none"/>
          <w:lang w:val="en-US" w:eastAsia="zh-CN"/>
        </w:rPr>
        <w:t>四</w:t>
      </w:r>
      <w:r>
        <w:rPr>
          <w:rFonts w:hint="eastAsia" w:ascii="新宋体" w:hAnsi="新宋体" w:eastAsia="新宋体"/>
          <w:color w:val="auto"/>
          <w:sz w:val="22"/>
          <w:szCs w:val="22"/>
          <w:highlight w:val="none"/>
          <w:u w:val="none"/>
        </w:rPr>
        <w:t xml:space="preserve">部分“项目技术规范和服务要求”中相关内容   </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.2乙方保证在维护过程中采用先进的技术、合格优质的材料和零部件、一流的工艺、严格的质量管理为甲方提供技术先进、质量上乘并完全符合合同规定的维护服务要求。</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.3乙方应按照质量保证体系或相应的服务质量管理标准，对设备系统的维护等各个环节进行严格的管理和服务。</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.4 乙方应保证所服务的设备系统通过正常维护，具有使甲方满意的使用性能和使用寿命。</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.5 甲方有权对乙方整个服务过程中的服务质量、进度、现场管理等进行监督、检查，乙方应服从其管理。乙方在服务过程中发现所维护的设备系统确实需要更换设备、材料等，应及时和甲方取得联系，经甲方审查同意后方可更换。</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.5 甲方如发现乙方的维护服务不符合招标文件中规定的技术、质量标准要求，有权通知乙方暂停服务进行整改，其整改方案经乙方认可后方可开展维护工作。</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.6 服务质量、技术标准如在招标文件中无相应说明，则按中华人民共和国有关部门颁发的最新国家或专业（部）标准或相应的国际标准执行。没有国家或专业（部）标准的，按企业标准执行。</w:t>
      </w:r>
    </w:p>
    <w:p>
      <w:pPr>
        <w:spacing w:line="460" w:lineRule="exact"/>
        <w:ind w:firstLine="541" w:firstLineChars="245"/>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9</w:t>
      </w:r>
      <w:r>
        <w:rPr>
          <w:rFonts w:hint="eastAsia" w:ascii="新宋体" w:hAnsi="新宋体" w:eastAsia="新宋体"/>
          <w:b/>
          <w:bCs/>
          <w:color w:val="auto"/>
          <w:sz w:val="22"/>
          <w:szCs w:val="22"/>
          <w:highlight w:val="none"/>
        </w:rPr>
        <w:t>.7 本次维护期限以约定内容为准。</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.8 甲方应提供相应的维护设备系统的资料给乙方，包括：</w:t>
      </w:r>
      <w:bookmarkStart w:id="26" w:name="_Toc84779276"/>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.8.1 维护资料</w:t>
      </w:r>
      <w:bookmarkEnd w:id="26"/>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系统软、硬件设备的档案资料，包括：各系统软件及所安装硬件设备的数量、型号、规格等。 </w:t>
      </w:r>
      <w:bookmarkStart w:id="27" w:name="_Toc84779277"/>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.8.2 技术资料</w:t>
      </w:r>
      <w:bookmarkEnd w:id="27"/>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技术资料主要提供给参与服务的操作人员、维护人员使用，包括：设备及系统说明书和原理图、设备及系统安装线路图、安装手册、操作和维修手册、技术规范及其他必须的技术资料。</w:t>
      </w:r>
      <w:bookmarkStart w:id="28" w:name="_Toc84779278"/>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十</w:t>
      </w:r>
      <w:r>
        <w:rPr>
          <w:rFonts w:hint="eastAsia" w:ascii="新宋体" w:hAnsi="新宋体" w:eastAsia="新宋体"/>
          <w:b/>
          <w:bCs/>
          <w:color w:val="auto"/>
          <w:sz w:val="22"/>
          <w:szCs w:val="22"/>
          <w:highlight w:val="none"/>
        </w:rPr>
        <w:t>、设备系统的变更</w:t>
      </w:r>
      <w:bookmarkEnd w:id="28"/>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10</w:t>
      </w:r>
      <w:r>
        <w:rPr>
          <w:rFonts w:hint="eastAsia" w:ascii="新宋体" w:hAnsi="新宋体" w:eastAsia="新宋体"/>
          <w:color w:val="auto"/>
          <w:sz w:val="22"/>
          <w:szCs w:val="22"/>
          <w:highlight w:val="none"/>
        </w:rPr>
        <w:t>.1 乙方在维护过程中如发现设备系统在原设计上存在问题或不合理的情况，或为维护方便而提出变更、优化设计的方案，须经甲方认可签证同意后才能实施，乙方不得擅自变更。</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10</w:t>
      </w:r>
      <w:r>
        <w:rPr>
          <w:rFonts w:hint="eastAsia" w:ascii="新宋体" w:hAnsi="新宋体" w:eastAsia="新宋体"/>
          <w:color w:val="auto"/>
          <w:sz w:val="22"/>
          <w:szCs w:val="22"/>
          <w:highlight w:val="none"/>
        </w:rPr>
        <w:t>.2 甲方发出的设备系统的变更联系单，同样属于合同文件，乙方必须实施。</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十一</w:t>
      </w:r>
      <w:r>
        <w:rPr>
          <w:rFonts w:hint="eastAsia" w:ascii="新宋体" w:hAnsi="新宋体" w:eastAsia="新宋体"/>
          <w:b/>
          <w:bCs/>
          <w:color w:val="auto"/>
          <w:sz w:val="22"/>
          <w:szCs w:val="22"/>
          <w:highlight w:val="none"/>
        </w:rPr>
        <w:t>、双方责任</w:t>
      </w:r>
      <w:bookmarkStart w:id="29" w:name="_Toc84779279"/>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11</w:t>
      </w:r>
      <w:r>
        <w:rPr>
          <w:rFonts w:hint="eastAsia" w:ascii="新宋体" w:hAnsi="新宋体" w:eastAsia="新宋体"/>
          <w:color w:val="auto"/>
          <w:sz w:val="22"/>
          <w:szCs w:val="22"/>
          <w:highlight w:val="none"/>
        </w:rPr>
        <w:t xml:space="preserve">.1 </w:t>
      </w:r>
      <w:bookmarkEnd w:id="29"/>
      <w:r>
        <w:rPr>
          <w:rFonts w:hint="eastAsia" w:ascii="新宋体" w:hAnsi="新宋体" w:eastAsia="新宋体"/>
          <w:color w:val="auto"/>
          <w:sz w:val="22"/>
          <w:szCs w:val="22"/>
          <w:highlight w:val="none"/>
        </w:rPr>
        <w:t>甲方</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1）提供相关的协助服务，配合乙方履行好合同义务；</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2）审核乙方维护服务的内容，按合同规定向乙方支付维护服务费用；</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3）对维护组织、进度、质量、现场管理、服务合同的执行情况进行审核、监督和检查。</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11</w:t>
      </w:r>
      <w:r>
        <w:rPr>
          <w:rFonts w:hint="eastAsia" w:ascii="新宋体" w:hAnsi="新宋体" w:eastAsia="新宋体"/>
          <w:color w:val="auto"/>
          <w:sz w:val="22"/>
          <w:szCs w:val="22"/>
          <w:highlight w:val="none"/>
        </w:rPr>
        <w:t>.2 乙方</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1）乙方按合同规定的时间、条件和内容对设备系统进行维护服务。合同签订后，乙方应立即组织人员对标的项目进行一次全面巡检、维护。</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2）编制维护方案和参与服务人员的安排。</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3）严格按照合同规定时间和要求进行优质的维护服务。</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4）对设备系统出现的故障，无条件负责处理，直至甲方满意为止。</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5）合同期满，乙方必须对所有系统和设备进行全面的性能测试，确保系统运行良好，仪器性能稳定。</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6）招标文件中规定的其他责任。</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w:t>
      </w:r>
      <w:r>
        <w:rPr>
          <w:rFonts w:hint="eastAsia" w:ascii="新宋体" w:hAnsi="新宋体" w:eastAsia="新宋体"/>
          <w:b/>
          <w:bCs/>
          <w:color w:val="auto"/>
          <w:sz w:val="22"/>
          <w:szCs w:val="22"/>
          <w:highlight w:val="none"/>
          <w:lang w:val="en-US" w:eastAsia="zh-CN"/>
        </w:rPr>
        <w:t>二</w:t>
      </w:r>
      <w:r>
        <w:rPr>
          <w:rFonts w:hint="eastAsia" w:ascii="新宋体" w:hAnsi="新宋体" w:eastAsia="新宋体"/>
          <w:b/>
          <w:bCs/>
          <w:color w:val="auto"/>
          <w:sz w:val="22"/>
          <w:szCs w:val="22"/>
          <w:highlight w:val="none"/>
        </w:rPr>
        <w:t>、违约责任</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hint="eastAsia" w:ascii="新宋体" w:hAnsi="新宋体" w:eastAsia="新宋体"/>
          <w:color w:val="auto"/>
          <w:sz w:val="22"/>
          <w:szCs w:val="22"/>
          <w:highlight w:val="none"/>
          <w:lang w:val="en-US" w:eastAsia="zh-CN"/>
        </w:rPr>
        <w:t>2</w:t>
      </w:r>
      <w:r>
        <w:rPr>
          <w:rFonts w:hint="eastAsia" w:ascii="新宋体" w:hAnsi="新宋体" w:eastAsia="新宋体"/>
          <w:color w:val="auto"/>
          <w:sz w:val="22"/>
          <w:szCs w:val="22"/>
          <w:highlight w:val="none"/>
        </w:rPr>
        <w:t>.1 服务质量责任违约</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1）在维护服务期间，凡设备系统在运行过程中出现问题，由乙方负责处理，直到设备系统恢复正常运行止。</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2）由于乙方维护方法不当造成设备故障或损坏，由乙方负责，并保证及时给予更换或修复。所需的一切费用由乙方承担。</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3）属于不可抗力的因素造成设备故障或损坏，其费用由双方协商后再定。</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4）乙方现场技术人员的安全施工作业由乙方全权负责，并应切实做好安全防范工作，避免在巡检工作中出现人身与财产的意外损害。</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hint="eastAsia" w:ascii="新宋体" w:hAnsi="新宋体" w:eastAsia="新宋体"/>
          <w:color w:val="auto"/>
          <w:sz w:val="22"/>
          <w:szCs w:val="22"/>
          <w:highlight w:val="none"/>
          <w:lang w:val="en-US" w:eastAsia="zh-CN"/>
        </w:rPr>
        <w:t>2</w:t>
      </w:r>
      <w:r>
        <w:rPr>
          <w:rFonts w:hint="eastAsia" w:ascii="新宋体" w:hAnsi="新宋体" w:eastAsia="新宋体"/>
          <w:color w:val="auto"/>
          <w:sz w:val="22"/>
          <w:szCs w:val="22"/>
          <w:highlight w:val="none"/>
        </w:rPr>
        <w:t>.2违约赔偿</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除不可抗力外，如乙方发生不能按时提供服务，甲方发生中途取消服务等情况，应及时以书面形式通知对方。双方应本着友好的态度进行协商，妥善解决。如协商无效，按下列办法处以罚金：</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 乙方逾期提供服务，甲方可从合同价款中按比例扣除服务费。</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 逾期服务扣除服务费最高限额为合同价款的8%，一旦达到扣除服务费的最高限额，甲方有权单方面终止合同。</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 乙方不能继续提供服务或甲方中途取消服务</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乙方不能继续提供服务，应向甲方偿付违约金，违约金按合同总价的10－30％计算。甲方中途取消服务，应向乙方偿付违约金，违约金的计算方法与乙方违约相同。</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w:t>
      </w:r>
      <w:r>
        <w:rPr>
          <w:rFonts w:hint="eastAsia" w:ascii="新宋体" w:hAnsi="新宋体" w:eastAsia="新宋体"/>
          <w:b/>
          <w:bCs/>
          <w:color w:val="auto"/>
          <w:sz w:val="22"/>
          <w:szCs w:val="22"/>
          <w:highlight w:val="none"/>
          <w:lang w:val="en-US" w:eastAsia="zh-CN"/>
        </w:rPr>
        <w:t>三</w:t>
      </w:r>
      <w:r>
        <w:rPr>
          <w:rFonts w:hint="eastAsia" w:ascii="新宋体" w:hAnsi="新宋体" w:eastAsia="新宋体"/>
          <w:b/>
          <w:bCs/>
          <w:color w:val="auto"/>
          <w:sz w:val="22"/>
          <w:szCs w:val="22"/>
          <w:highlight w:val="none"/>
        </w:rPr>
        <w:t>、履约保证金的罚没</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hint="eastAsia" w:ascii="新宋体" w:hAnsi="新宋体" w:eastAsia="新宋体"/>
          <w:color w:val="auto"/>
          <w:sz w:val="22"/>
          <w:szCs w:val="22"/>
          <w:highlight w:val="none"/>
          <w:lang w:val="en-US" w:eastAsia="zh-CN"/>
        </w:rPr>
        <w:t>3</w:t>
      </w:r>
      <w:r>
        <w:rPr>
          <w:rFonts w:hint="eastAsia" w:ascii="新宋体" w:hAnsi="新宋体" w:eastAsia="新宋体"/>
          <w:color w:val="auto"/>
          <w:sz w:val="22"/>
          <w:szCs w:val="22"/>
          <w:highlight w:val="none"/>
        </w:rPr>
        <w:t>.1如乙方未能履行合同规定的任何义务，甲方有权从履约保证金中得到补偿。</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hint="eastAsia" w:ascii="新宋体" w:hAnsi="新宋体" w:eastAsia="新宋体"/>
          <w:color w:val="auto"/>
          <w:sz w:val="22"/>
          <w:szCs w:val="22"/>
          <w:highlight w:val="none"/>
          <w:lang w:val="en-US" w:eastAsia="zh-CN"/>
        </w:rPr>
        <w:t>3</w:t>
      </w:r>
      <w:r>
        <w:rPr>
          <w:rFonts w:hint="eastAsia" w:ascii="新宋体" w:hAnsi="新宋体" w:eastAsia="新宋体"/>
          <w:color w:val="auto"/>
          <w:sz w:val="22"/>
          <w:szCs w:val="22"/>
          <w:highlight w:val="none"/>
        </w:rPr>
        <w:t>.2 如果乙方毫无理由拒绝履行合同规定的任何义务，履约保证金将被没收，并加收违约赔偿金。</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hint="eastAsia" w:ascii="新宋体" w:hAnsi="新宋体" w:eastAsia="新宋体"/>
          <w:color w:val="auto"/>
          <w:sz w:val="22"/>
          <w:szCs w:val="22"/>
          <w:highlight w:val="none"/>
          <w:lang w:val="en-US" w:eastAsia="zh-CN"/>
        </w:rPr>
        <w:t>3</w:t>
      </w:r>
      <w:r>
        <w:rPr>
          <w:rFonts w:hint="eastAsia" w:ascii="新宋体" w:hAnsi="新宋体" w:eastAsia="新宋体"/>
          <w:color w:val="auto"/>
          <w:sz w:val="22"/>
          <w:szCs w:val="22"/>
          <w:highlight w:val="none"/>
        </w:rPr>
        <w:t>.3 乙方提供的服务必须和投标文件中所承诺的服务内容相符合（合同中另有约定除外），如不符，除追究乙方责任外，其履约保证金将被没收。</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w:t>
      </w:r>
      <w:r>
        <w:rPr>
          <w:rFonts w:hint="eastAsia" w:ascii="新宋体" w:hAnsi="新宋体" w:eastAsia="新宋体"/>
          <w:b/>
          <w:bCs/>
          <w:color w:val="auto"/>
          <w:sz w:val="22"/>
          <w:szCs w:val="22"/>
          <w:highlight w:val="none"/>
          <w:lang w:val="en-US" w:eastAsia="zh-CN"/>
        </w:rPr>
        <w:t>四</w:t>
      </w:r>
      <w:r>
        <w:rPr>
          <w:rFonts w:hint="eastAsia" w:ascii="新宋体" w:hAnsi="新宋体" w:eastAsia="新宋体"/>
          <w:b/>
          <w:bCs/>
          <w:color w:val="auto"/>
          <w:sz w:val="22"/>
          <w:szCs w:val="22"/>
          <w:highlight w:val="none"/>
        </w:rPr>
        <w:t>、争端的解决</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双方在执行合同中所发生的一切争议，应通过协商解决。如协商不成，可向甲方所在地法院起诉。</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w:t>
      </w:r>
      <w:r>
        <w:rPr>
          <w:rFonts w:hint="eastAsia" w:ascii="新宋体" w:hAnsi="新宋体" w:eastAsia="新宋体"/>
          <w:b/>
          <w:bCs/>
          <w:color w:val="auto"/>
          <w:sz w:val="22"/>
          <w:szCs w:val="22"/>
          <w:highlight w:val="none"/>
          <w:lang w:val="en-US" w:eastAsia="zh-CN"/>
        </w:rPr>
        <w:t>五</w:t>
      </w:r>
      <w:r>
        <w:rPr>
          <w:rFonts w:hint="eastAsia" w:ascii="新宋体" w:hAnsi="新宋体" w:eastAsia="新宋体"/>
          <w:b/>
          <w:bCs/>
          <w:color w:val="auto"/>
          <w:sz w:val="22"/>
          <w:szCs w:val="22"/>
          <w:highlight w:val="none"/>
        </w:rPr>
        <w:t>、适用法律</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本合同应按照中华人民共和国的法律进行解释。</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w:t>
      </w:r>
      <w:r>
        <w:rPr>
          <w:rFonts w:hint="eastAsia" w:ascii="新宋体" w:hAnsi="新宋体" w:eastAsia="新宋体"/>
          <w:b/>
          <w:bCs/>
          <w:color w:val="auto"/>
          <w:sz w:val="22"/>
          <w:szCs w:val="22"/>
          <w:highlight w:val="none"/>
          <w:lang w:val="en-US" w:eastAsia="zh-CN"/>
        </w:rPr>
        <w:t>六</w:t>
      </w:r>
      <w:r>
        <w:rPr>
          <w:rFonts w:hint="eastAsia" w:ascii="新宋体" w:hAnsi="新宋体" w:eastAsia="新宋体"/>
          <w:b/>
          <w:bCs/>
          <w:color w:val="auto"/>
          <w:sz w:val="22"/>
          <w:szCs w:val="22"/>
          <w:highlight w:val="none"/>
        </w:rPr>
        <w:t>、合同生效及其他</w:t>
      </w:r>
      <w:bookmarkStart w:id="30" w:name="_Toc84779283"/>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hint="eastAsia" w:ascii="新宋体" w:hAnsi="新宋体" w:eastAsia="新宋体"/>
          <w:color w:val="auto"/>
          <w:sz w:val="22"/>
          <w:szCs w:val="22"/>
          <w:highlight w:val="none"/>
          <w:lang w:val="en-US" w:eastAsia="zh-CN"/>
        </w:rPr>
        <w:t>6</w:t>
      </w:r>
      <w:r>
        <w:rPr>
          <w:rFonts w:hint="eastAsia" w:ascii="新宋体" w:hAnsi="新宋体" w:eastAsia="新宋体"/>
          <w:color w:val="auto"/>
          <w:sz w:val="22"/>
          <w:szCs w:val="22"/>
          <w:highlight w:val="none"/>
        </w:rPr>
        <w:t>.1合同应在双方签字盖章并在甲方收到乙方提供的履约保证金后开始生效。</w:t>
      </w:r>
      <w:bookmarkEnd w:id="30"/>
    </w:p>
    <w:p>
      <w:pPr>
        <w:spacing w:line="460" w:lineRule="exact"/>
        <w:ind w:firstLine="539" w:firstLineChars="245"/>
        <w:rPr>
          <w:rFonts w:hint="eastAsia" w:ascii="新宋体" w:hAnsi="新宋体" w:eastAsia="新宋体"/>
          <w:b w:val="0"/>
          <w:bCs w:val="0"/>
          <w:color w:val="auto"/>
          <w:sz w:val="22"/>
          <w:szCs w:val="22"/>
          <w:highlight w:val="none"/>
        </w:rPr>
      </w:pPr>
      <w:r>
        <w:rPr>
          <w:rFonts w:hint="eastAsia" w:ascii="新宋体" w:hAnsi="新宋体" w:eastAsia="新宋体"/>
          <w:b w:val="0"/>
          <w:bCs w:val="0"/>
          <w:color w:val="auto"/>
          <w:sz w:val="22"/>
          <w:szCs w:val="22"/>
          <w:highlight w:val="none"/>
        </w:rPr>
        <w:t>1</w:t>
      </w:r>
      <w:r>
        <w:rPr>
          <w:rFonts w:hint="eastAsia" w:ascii="新宋体" w:hAnsi="新宋体" w:eastAsia="新宋体"/>
          <w:b w:val="0"/>
          <w:bCs w:val="0"/>
          <w:color w:val="auto"/>
          <w:sz w:val="22"/>
          <w:szCs w:val="22"/>
          <w:highlight w:val="none"/>
          <w:lang w:val="en-US" w:eastAsia="zh-CN"/>
        </w:rPr>
        <w:t>6</w:t>
      </w:r>
      <w:r>
        <w:rPr>
          <w:rFonts w:hint="eastAsia" w:ascii="新宋体" w:hAnsi="新宋体" w:eastAsia="新宋体"/>
          <w:b w:val="0"/>
          <w:bCs w:val="0"/>
          <w:color w:val="auto"/>
          <w:sz w:val="22"/>
          <w:szCs w:val="22"/>
          <w:highlight w:val="none"/>
        </w:rPr>
        <w:t>.2 本合同一式伍份，双方各执贰份，同等有效，并报一份招标代理机构备案。</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w:t>
      </w:r>
      <w:r>
        <w:rPr>
          <w:rFonts w:hint="eastAsia" w:ascii="新宋体" w:hAnsi="新宋体" w:eastAsia="新宋体"/>
          <w:b/>
          <w:bCs/>
          <w:color w:val="auto"/>
          <w:sz w:val="22"/>
          <w:szCs w:val="22"/>
          <w:highlight w:val="none"/>
          <w:lang w:val="en-US" w:eastAsia="zh-CN"/>
        </w:rPr>
        <w:t>七</w:t>
      </w:r>
      <w:r>
        <w:rPr>
          <w:rFonts w:hint="eastAsia" w:ascii="新宋体" w:hAnsi="新宋体" w:eastAsia="新宋体"/>
          <w:b/>
          <w:bCs/>
          <w:color w:val="auto"/>
          <w:sz w:val="22"/>
          <w:szCs w:val="22"/>
          <w:highlight w:val="none"/>
        </w:rPr>
        <w:t>、未尽事宜，双方友好协商。</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甲方：（印章）                        乙方：（印章）</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全权代表:（签字）                    全权代表:（签字）</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                               地址：</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                           邮政编码：</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                               电话：</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                               传真：</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                           开户银行：</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帐号：                               帐号：</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                                时间:</w:t>
      </w:r>
    </w:p>
    <w:p>
      <w:pPr>
        <w:spacing w:line="460" w:lineRule="exact"/>
        <w:rPr>
          <w:rFonts w:hint="eastAsia" w:ascii="宋体" w:hAnsi="宋体" w:eastAsia="宋体" w:cs="宋体"/>
          <w:color w:val="auto"/>
          <w:sz w:val="22"/>
          <w:szCs w:val="22"/>
          <w:highlight w:val="none"/>
        </w:rPr>
      </w:pPr>
    </w:p>
    <w:p>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bidi w:val="0"/>
        <w:rPr>
          <w:rFonts w:hint="eastAsia" w:ascii="宋体" w:hAnsi="宋体" w:eastAsia="宋体" w:cs="宋体"/>
        </w:rPr>
      </w:pPr>
      <w:bookmarkStart w:id="31" w:name="_Toc18439"/>
      <w:bookmarkStart w:id="32" w:name="_Toc19081"/>
      <w:r>
        <w:rPr>
          <w:rFonts w:hint="eastAsia" w:ascii="宋体" w:hAnsi="宋体" w:eastAsia="宋体" w:cs="宋体"/>
        </w:rPr>
        <w:t>第三部分    附件</w:t>
      </w:r>
      <w:bookmarkEnd w:id="31"/>
      <w:bookmarkEnd w:id="32"/>
    </w:p>
    <w:p>
      <w:pPr>
        <w:pStyle w:val="24"/>
        <w:spacing w:line="460" w:lineRule="exact"/>
        <w:ind w:left="433" w:hanging="433" w:hangingChars="196"/>
        <w:outlineLvl w:val="1"/>
        <w:rPr>
          <w:rFonts w:hint="eastAsia" w:ascii="宋体" w:hAnsi="宋体" w:eastAsia="宋体" w:cs="宋体"/>
          <w:b/>
          <w:color w:val="auto"/>
          <w:sz w:val="22"/>
          <w:highlight w:val="none"/>
        </w:rPr>
      </w:pPr>
      <w:bookmarkStart w:id="33" w:name="_Toc6368"/>
      <w:bookmarkStart w:id="34" w:name="_Toc7056"/>
      <w:r>
        <w:rPr>
          <w:rFonts w:hint="eastAsia" w:ascii="宋体" w:hAnsi="宋体" w:eastAsia="宋体" w:cs="宋体"/>
          <w:b/>
          <w:color w:val="auto"/>
          <w:sz w:val="22"/>
          <w:highlight w:val="none"/>
        </w:rPr>
        <w:t>附件一</w:t>
      </w:r>
      <w:bookmarkEnd w:id="33"/>
      <w:bookmarkEnd w:id="34"/>
    </w:p>
    <w:p>
      <w:pPr>
        <w:spacing w:line="400" w:lineRule="exact"/>
        <w:jc w:val="center"/>
        <w:outlineLvl w:val="2"/>
        <w:rPr>
          <w:rFonts w:hint="eastAsia" w:ascii="宋体" w:hAnsi="宋体" w:eastAsia="宋体" w:cs="宋体"/>
          <w:b/>
          <w:bCs/>
          <w:color w:val="auto"/>
          <w:sz w:val="28"/>
          <w:szCs w:val="28"/>
          <w:highlight w:val="none"/>
        </w:rPr>
      </w:pPr>
      <w:bookmarkStart w:id="35" w:name="_Toc5430"/>
      <w:bookmarkStart w:id="36" w:name="_Toc13365"/>
      <w:r>
        <w:rPr>
          <w:rFonts w:hint="eastAsia" w:ascii="宋体" w:hAnsi="宋体" w:eastAsia="宋体" w:cs="宋体"/>
          <w:b/>
          <w:bCs/>
          <w:color w:val="auto"/>
          <w:sz w:val="28"/>
          <w:szCs w:val="28"/>
          <w:highlight w:val="none"/>
        </w:rPr>
        <w:t>报价文件</w:t>
      </w:r>
      <w:bookmarkEnd w:id="35"/>
      <w:bookmarkEnd w:id="36"/>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温州市中医院</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pPr>
        <w:shd w:val="clear" w:color="auto" w:fill="FFFFFF"/>
        <w:snapToGrid w:val="0"/>
        <w:spacing w:line="360" w:lineRule="auto"/>
        <w:rPr>
          <w:rFonts w:hint="eastAsia" w:ascii="宋体" w:hAnsi="宋体" w:eastAsia="宋体" w:cs="宋体"/>
          <w:color w:val="auto"/>
          <w:kern w:val="0"/>
          <w:sz w:val="22"/>
          <w:szCs w:val="22"/>
          <w:highlight w:val="none"/>
          <w:lang w:val="zh-CN"/>
        </w:rPr>
      </w:pP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pStyle w:val="24"/>
        <w:ind w:left="0" w:firstLine="0" w:firstLineChars="0"/>
        <w:rPr>
          <w:rFonts w:hint="eastAsia" w:ascii="宋体" w:hAnsi="宋体" w:eastAsia="宋体" w:cs="宋体"/>
          <w:b/>
          <w:bCs/>
          <w:color w:val="auto"/>
          <w:sz w:val="22"/>
          <w:szCs w:val="22"/>
          <w:highlight w:val="none"/>
        </w:rPr>
      </w:pPr>
    </w:p>
    <w:p>
      <w:pPr>
        <w:pStyle w:val="24"/>
        <w:ind w:left="0" w:firstLine="0" w:firstLineChars="0"/>
        <w:rPr>
          <w:rFonts w:hint="eastAsia" w:ascii="宋体" w:hAnsi="宋体" w:eastAsia="宋体" w:cs="宋体"/>
          <w:b/>
          <w:bCs/>
          <w:color w:val="auto"/>
          <w:sz w:val="22"/>
          <w:szCs w:val="22"/>
          <w:highlight w:val="none"/>
        </w:rPr>
      </w:pP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spacing w:line="38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WZLCZB（W）-2023-04155</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安全设备及网络维保</w:t>
      </w:r>
    </w:p>
    <w:tbl>
      <w:tblPr>
        <w:tblStyle w:val="52"/>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522"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5413"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报价（人民币）</w:t>
            </w:r>
          </w:p>
        </w:tc>
        <w:tc>
          <w:tcPr>
            <w:tcW w:w="868"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pPr>
              <w:spacing w:line="380" w:lineRule="exact"/>
              <w:jc w:val="center"/>
              <w:rPr>
                <w:rFonts w:hint="eastAsia" w:ascii="宋体" w:hAnsi="宋体" w:eastAsia="宋体" w:cs="宋体"/>
                <w:color w:val="auto"/>
                <w:sz w:val="22"/>
                <w:highlight w:val="none"/>
              </w:rPr>
            </w:pPr>
          </w:p>
        </w:tc>
        <w:tc>
          <w:tcPr>
            <w:tcW w:w="2522" w:type="dxa"/>
            <w:vMerge w:val="restart"/>
            <w:vAlign w:val="center"/>
          </w:tcPr>
          <w:p>
            <w:pPr>
              <w:spacing w:line="380" w:lineRule="exact"/>
              <w:jc w:val="center"/>
              <w:rPr>
                <w:rFonts w:hint="eastAsia" w:ascii="宋体" w:hAnsi="宋体" w:eastAsia="宋体" w:cs="宋体"/>
                <w:color w:val="auto"/>
                <w:sz w:val="22"/>
                <w:highlight w:val="none"/>
              </w:rPr>
            </w:pPr>
          </w:p>
        </w:tc>
        <w:tc>
          <w:tcPr>
            <w:tcW w:w="5413"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868" w:type="dxa"/>
            <w:vMerge w:val="restart"/>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pPr>
              <w:spacing w:line="380" w:lineRule="exact"/>
              <w:jc w:val="center"/>
              <w:rPr>
                <w:rFonts w:hint="eastAsia" w:ascii="宋体" w:hAnsi="宋体" w:eastAsia="宋体" w:cs="宋体"/>
                <w:color w:val="auto"/>
                <w:sz w:val="22"/>
                <w:highlight w:val="none"/>
              </w:rPr>
            </w:pPr>
          </w:p>
        </w:tc>
        <w:tc>
          <w:tcPr>
            <w:tcW w:w="2522" w:type="dxa"/>
            <w:vMerge w:val="continue"/>
            <w:vAlign w:val="center"/>
          </w:tcPr>
          <w:p>
            <w:pPr>
              <w:spacing w:line="380" w:lineRule="exact"/>
              <w:jc w:val="center"/>
              <w:rPr>
                <w:rFonts w:hint="eastAsia" w:ascii="宋体" w:hAnsi="宋体" w:eastAsia="宋体" w:cs="宋体"/>
                <w:color w:val="auto"/>
                <w:sz w:val="22"/>
                <w:highlight w:val="none"/>
              </w:rPr>
            </w:pPr>
          </w:p>
        </w:tc>
        <w:tc>
          <w:tcPr>
            <w:tcW w:w="5413"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868" w:type="dxa"/>
            <w:vMerge w:val="continue"/>
            <w:vAlign w:val="center"/>
          </w:tcPr>
          <w:p>
            <w:pPr>
              <w:spacing w:line="380" w:lineRule="exact"/>
              <w:jc w:val="center"/>
              <w:rPr>
                <w:rFonts w:hint="eastAsia" w:ascii="宋体" w:hAnsi="宋体" w:eastAsia="宋体" w:cs="宋体"/>
                <w:color w:val="auto"/>
                <w:sz w:val="22"/>
                <w:highlight w:val="none"/>
              </w:rPr>
            </w:pPr>
          </w:p>
        </w:tc>
      </w:tr>
    </w:tbl>
    <w:p>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numPr>
          <w:ilvl w:val="0"/>
          <w:numId w:val="3"/>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此栏投标报价应与“3、投标分项报价表”中的总计价相一致。</w:t>
      </w:r>
    </w:p>
    <w:p>
      <w:pPr>
        <w:numPr>
          <w:ilvl w:val="0"/>
          <w:numId w:val="3"/>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p>
    <w:p>
      <w:pPr>
        <w:spacing w:line="360" w:lineRule="auto"/>
        <w:jc w:val="center"/>
        <w:rPr>
          <w:rFonts w:hint="eastAsia" w:ascii="宋体" w:hAnsi="宋体" w:eastAsia="宋体" w:cs="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3、分项报价表</w:t>
      </w:r>
    </w:p>
    <w:p>
      <w:pPr>
        <w:spacing w:line="360" w:lineRule="auto"/>
        <w:rPr>
          <w:rFonts w:hint="eastAsia" w:ascii="宋体" w:hAnsi="宋体" w:eastAsia="宋体" w:cs="宋体"/>
          <w:b w:val="0"/>
          <w:bCs w:val="0"/>
          <w:color w:val="auto"/>
          <w:sz w:val="22"/>
          <w:szCs w:val="22"/>
          <w:highlight w:val="none"/>
        </w:rPr>
      </w:pP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WZLCZB（W）-2023-04155</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安全设备及网络维保</w:t>
      </w:r>
    </w:p>
    <w:tbl>
      <w:tblPr>
        <w:tblStyle w:val="52"/>
        <w:tblW w:w="943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4156"/>
        <w:gridCol w:w="1047"/>
        <w:gridCol w:w="1046"/>
        <w:gridCol w:w="1277"/>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0"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p>
            <w:pPr>
              <w:spacing w:line="460" w:lineRule="exact"/>
              <w:jc w:val="center"/>
              <w:rPr>
                <w:rFonts w:ascii="宋体" w:hAnsi="宋体" w:cs="宋体"/>
                <w:color w:val="auto"/>
                <w:sz w:val="22"/>
                <w:szCs w:val="22"/>
                <w:highlight w:val="none"/>
              </w:rPr>
            </w:pPr>
          </w:p>
        </w:tc>
        <w:tc>
          <w:tcPr>
            <w:tcW w:w="4156"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1047"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数量</w:t>
            </w:r>
          </w:p>
        </w:tc>
        <w:tc>
          <w:tcPr>
            <w:tcW w:w="1046"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单价 </w:t>
            </w:r>
          </w:p>
        </w:tc>
        <w:tc>
          <w:tcPr>
            <w:tcW w:w="1277"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合价 </w:t>
            </w:r>
          </w:p>
        </w:tc>
        <w:tc>
          <w:tcPr>
            <w:tcW w:w="958"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950"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4156" w:type="dxa"/>
            <w:shd w:val="clear" w:color="auto" w:fill="FFFFFF"/>
            <w:vAlign w:val="center"/>
          </w:tcPr>
          <w:p>
            <w:pPr>
              <w:widowControl/>
              <w:spacing w:before="156" w:beforeLines="50" w:after="156"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950"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4156" w:type="dxa"/>
            <w:shd w:val="clear" w:color="auto" w:fill="FFFFFF"/>
            <w:vAlign w:val="center"/>
          </w:tcPr>
          <w:p>
            <w:pPr>
              <w:widowControl/>
              <w:spacing w:before="156" w:beforeLines="50" w:after="156"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950"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4156" w:type="dxa"/>
            <w:shd w:val="clear" w:color="auto" w:fill="FFFFFF"/>
            <w:vAlign w:val="center"/>
          </w:tcPr>
          <w:p>
            <w:pPr>
              <w:widowControl/>
              <w:spacing w:before="156" w:beforeLines="50" w:after="156"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exact"/>
        </w:trPr>
        <w:tc>
          <w:tcPr>
            <w:tcW w:w="950"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4156" w:type="dxa"/>
            <w:shd w:val="clear" w:color="auto" w:fill="FFFFFF"/>
            <w:vAlign w:val="center"/>
          </w:tcPr>
          <w:p>
            <w:pPr>
              <w:widowControl/>
              <w:spacing w:before="156" w:beforeLines="50" w:after="156"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950"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4156" w:type="dxa"/>
            <w:shd w:val="clear" w:color="auto" w:fill="FFFFFF"/>
            <w:vAlign w:val="center"/>
          </w:tcPr>
          <w:p>
            <w:pPr>
              <w:widowControl/>
              <w:spacing w:before="156" w:beforeLines="50" w:after="156"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50"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4156" w:type="dxa"/>
            <w:shd w:val="clear" w:color="auto" w:fill="FFFFFF"/>
            <w:vAlign w:val="center"/>
          </w:tcPr>
          <w:p>
            <w:pPr>
              <w:widowControl/>
              <w:spacing w:before="156" w:beforeLines="50" w:after="156"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50"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4156" w:type="dxa"/>
            <w:shd w:val="clear" w:color="auto" w:fill="FFFFFF"/>
            <w:vAlign w:val="center"/>
          </w:tcPr>
          <w:p>
            <w:pPr>
              <w:widowControl/>
              <w:spacing w:before="156" w:beforeLines="50" w:after="156"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950"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4156" w:type="dxa"/>
            <w:shd w:val="clear" w:color="auto" w:fill="FFFFFF"/>
            <w:vAlign w:val="center"/>
          </w:tcPr>
          <w:p>
            <w:pPr>
              <w:widowControl/>
              <w:spacing w:before="156" w:beforeLines="50" w:after="156"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950"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4156" w:type="dxa"/>
            <w:shd w:val="clear" w:color="auto" w:fill="FFFFFF"/>
            <w:vAlign w:val="center"/>
          </w:tcPr>
          <w:p>
            <w:pPr>
              <w:widowControl/>
              <w:spacing w:before="156" w:beforeLines="50" w:after="156"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950"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4156" w:type="dxa"/>
            <w:shd w:val="clear" w:color="auto" w:fill="FFFFFF"/>
            <w:vAlign w:val="center"/>
          </w:tcPr>
          <w:p>
            <w:pPr>
              <w:widowControl/>
              <w:spacing w:before="156" w:beforeLines="50" w:after="156" w:afterLines="50" w:line="460" w:lineRule="exact"/>
              <w:jc w:val="center"/>
              <w:rPr>
                <w:rFonts w:ascii="宋体" w:hAnsi="宋体" w:cs="宋体"/>
                <w:color w:val="auto"/>
                <w:sz w:val="22"/>
                <w:szCs w:val="22"/>
                <w:highlight w:val="none"/>
              </w:rPr>
            </w:pPr>
            <w:r>
              <w:rPr>
                <w:rFonts w:hint="eastAsia" w:ascii="宋体" w:hAnsi="宋体" w:cs="宋体"/>
                <w:b/>
                <w:bCs/>
                <w:color w:val="auto"/>
                <w:sz w:val="22"/>
                <w:szCs w:val="22"/>
                <w:highlight w:val="none"/>
              </w:rPr>
              <w:t>......</w:t>
            </w: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0"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4156" w:type="dxa"/>
            <w:vAlign w:val="center"/>
          </w:tcPr>
          <w:p>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人员费用</w:t>
            </w: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950"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4156"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税金</w:t>
            </w:r>
          </w:p>
        </w:tc>
        <w:tc>
          <w:tcPr>
            <w:tcW w:w="4328" w:type="dxa"/>
            <w:gridSpan w:val="4"/>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950"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4156"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其他</w:t>
            </w:r>
          </w:p>
        </w:tc>
        <w:tc>
          <w:tcPr>
            <w:tcW w:w="4328" w:type="dxa"/>
            <w:gridSpan w:val="4"/>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950"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4156"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4328" w:type="dxa"/>
            <w:gridSpan w:val="4"/>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106" w:type="dxa"/>
            <w:gridSpan w:val="2"/>
          </w:tcPr>
          <w:p>
            <w:pPr>
              <w:spacing w:line="460" w:lineRule="exact"/>
              <w:ind w:firstLine="1650" w:firstLineChars="750"/>
              <w:rPr>
                <w:rFonts w:ascii="宋体" w:hAnsi="宋体" w:cs="宋体"/>
                <w:color w:val="auto"/>
                <w:sz w:val="22"/>
                <w:szCs w:val="22"/>
                <w:highlight w:val="none"/>
              </w:rPr>
            </w:pPr>
            <w:r>
              <w:rPr>
                <w:rFonts w:hint="eastAsia" w:ascii="宋体" w:hAnsi="宋体" w:cs="宋体"/>
                <w:color w:val="auto"/>
                <w:sz w:val="22"/>
                <w:szCs w:val="22"/>
                <w:highlight w:val="none"/>
              </w:rPr>
              <w:t>总    计   价</w:t>
            </w:r>
          </w:p>
        </w:tc>
        <w:tc>
          <w:tcPr>
            <w:tcW w:w="4328" w:type="dxa"/>
            <w:gridSpan w:val="4"/>
            <w:vAlign w:val="center"/>
          </w:tcPr>
          <w:p>
            <w:pPr>
              <w:spacing w:line="460" w:lineRule="exact"/>
              <w:jc w:val="center"/>
              <w:rPr>
                <w:rFonts w:ascii="宋体" w:hAnsi="宋体" w:cs="宋体"/>
                <w:color w:val="auto"/>
                <w:sz w:val="22"/>
                <w:szCs w:val="22"/>
                <w:highlight w:val="none"/>
              </w:rPr>
            </w:pPr>
          </w:p>
        </w:tc>
      </w:tr>
    </w:tbl>
    <w:p>
      <w:pPr>
        <w:spacing w:line="380" w:lineRule="exact"/>
        <w:rPr>
          <w:rFonts w:hint="eastAsia" w:ascii="宋体" w:hAnsi="宋体" w:eastAsia="宋体" w:cs="宋体"/>
          <w:b/>
          <w:color w:val="auto"/>
          <w:sz w:val="22"/>
          <w:szCs w:val="22"/>
          <w:highlight w:val="none"/>
        </w:rPr>
      </w:pP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1、此表总计价应与“2、报价一览表”中报价相一致。</w:t>
      </w:r>
    </w:p>
    <w:p>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2、不提供详细分项报价将视为没有实质性响应</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pPr>
        <w:spacing w:line="380" w:lineRule="exact"/>
        <w:ind w:firstLine="720"/>
        <w:rPr>
          <w:rFonts w:hint="eastAsia" w:ascii="宋体" w:hAnsi="宋体" w:eastAsia="宋体" w:cs="宋体"/>
          <w:color w:val="auto"/>
          <w:sz w:val="20"/>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pPr>
        <w:spacing w:line="360" w:lineRule="auto"/>
        <w:jc w:val="left"/>
        <w:rPr>
          <w:rFonts w:hint="eastAsia" w:ascii="宋体" w:hAnsi="宋体" w:eastAsia="宋体" w:cs="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bCs/>
          <w:color w:val="auto"/>
          <w:sz w:val="28"/>
          <w:szCs w:val="28"/>
          <w:highlight w:val="none"/>
        </w:rPr>
      </w:pP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4、监狱企业的相关证明材料</w:t>
      </w:r>
    </w:p>
    <w:p>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pStyle w:val="24"/>
        <w:rPr>
          <w:rFonts w:hint="eastAsia" w:ascii="宋体" w:hAnsi="宋体" w:eastAsia="宋体" w:cs="宋体"/>
          <w:color w:val="auto"/>
          <w:highlight w:val="none"/>
        </w:rPr>
      </w:pPr>
    </w:p>
    <w:p>
      <w:pPr>
        <w:tabs>
          <w:tab w:val="left" w:pos="1620"/>
        </w:tabs>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5、中小企业的相关证明材料</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w:t>
      </w:r>
      <w:r>
        <w:rPr>
          <w:rFonts w:hint="eastAsia" w:ascii="宋体" w:hAnsi="宋体" w:eastAsia="宋体" w:cs="宋体"/>
          <w:color w:val="auto"/>
          <w:spacing w:val="6"/>
          <w:sz w:val="22"/>
          <w:szCs w:val="22"/>
          <w:highlight w:val="none"/>
          <w:lang w:val="zh-CN"/>
        </w:rPr>
        <w:t>小型、微型</w:t>
      </w:r>
      <w:r>
        <w:rPr>
          <w:rFonts w:hint="eastAsia" w:ascii="宋体" w:hAnsi="宋体" w:eastAsia="宋体" w:cs="宋体"/>
          <w:color w:val="auto"/>
          <w:spacing w:val="6"/>
          <w:sz w:val="22"/>
          <w:szCs w:val="22"/>
          <w:highlight w:val="none"/>
        </w:rPr>
        <w:t>企业不用提供】</w:t>
      </w:r>
    </w:p>
    <w:p>
      <w:pPr>
        <w:spacing w:line="380" w:lineRule="exact"/>
        <w:rPr>
          <w:rFonts w:hint="eastAsia" w:ascii="宋体" w:hAnsi="宋体" w:eastAsia="宋体" w:cs="宋体"/>
          <w:color w:val="auto"/>
          <w:sz w:val="22"/>
          <w:szCs w:val="22"/>
          <w:highlight w:val="none"/>
        </w:rPr>
      </w:pP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39" w:firstLineChars="245"/>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u w:val="single"/>
          <w:lang w:val="en-US" w:eastAsia="zh-CN"/>
        </w:rPr>
        <w:t>同时</w:t>
      </w:r>
      <w:r>
        <w:rPr>
          <w:rFonts w:hint="eastAsia" w:ascii="宋体" w:hAnsi="宋体" w:eastAsia="宋体" w:cs="宋体"/>
          <w:b w:val="0"/>
          <w:bCs w:val="0"/>
          <w:color w:val="auto"/>
          <w:sz w:val="22"/>
          <w:szCs w:val="22"/>
          <w:highlight w:val="none"/>
          <w:u w:val="single"/>
          <w:lang w:val="zh-CN"/>
        </w:rPr>
        <w:t>符合以下所有要求的投标人被认定为小型、微型企业：</w:t>
      </w:r>
    </w:p>
    <w:p>
      <w:pPr>
        <w:spacing w:line="460" w:lineRule="exact"/>
        <w:ind w:firstLine="539" w:firstLineChars="245"/>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①企业按照《关于印发中小企业划型标准规定的通知》（工信部联企业〔2011〕300号）的所属行业规定为小型、微型企业。</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u w:val="single"/>
          <w:lang w:val="en-US" w:eastAsia="zh-CN"/>
        </w:rPr>
        <w:t>②</w:t>
      </w:r>
      <w:r>
        <w:rPr>
          <w:rFonts w:hint="eastAsia" w:ascii="宋体" w:hAnsi="宋体" w:eastAsia="宋体" w:cs="宋体"/>
          <w:b w:val="0"/>
          <w:bCs w:val="0"/>
          <w:color w:val="auto"/>
          <w:sz w:val="22"/>
          <w:szCs w:val="22"/>
          <w:highlight w:val="none"/>
          <w:u w:val="single"/>
          <w:lang w:val="zh-CN"/>
        </w:rPr>
        <w:t>投标文件中必须提供《中小企业声明函》。</w:t>
      </w:r>
    </w:p>
    <w:p>
      <w:pPr>
        <w:spacing w:line="460" w:lineRule="exact"/>
        <w:jc w:val="center"/>
        <w:rPr>
          <w:rFonts w:hint="eastAsia" w:ascii="宋体" w:hAnsi="宋体" w:eastAsia="宋体" w:cs="宋体"/>
          <w:b/>
          <w:bCs/>
          <w:color w:val="auto"/>
          <w:sz w:val="22"/>
          <w:szCs w:val="22"/>
          <w:highlight w:val="none"/>
        </w:rPr>
      </w:pPr>
    </w:p>
    <w:p>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pPr>
        <w:spacing w:line="460" w:lineRule="exact"/>
        <w:rPr>
          <w:rFonts w:hint="eastAsia" w:ascii="宋体" w:hAnsi="宋体" w:eastAsia="宋体" w:cs="宋体"/>
          <w:color w:val="auto"/>
          <w:spacing w:val="20"/>
          <w:sz w:val="22"/>
          <w:szCs w:val="22"/>
          <w:highlight w:val="none"/>
        </w:rPr>
      </w:pPr>
    </w:p>
    <w:p>
      <w:pPr>
        <w:pStyle w:val="9"/>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日 期：</w:t>
      </w:r>
    </w:p>
    <w:p>
      <w:pPr>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6、残疾人福利性单位的相关证明材料</w:t>
      </w:r>
    </w:p>
    <w:p>
      <w:pPr>
        <w:spacing w:line="460" w:lineRule="exact"/>
        <w:ind w:firstLine="699" w:firstLineChars="3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pPr>
        <w:snapToGrid w:val="0"/>
        <w:spacing w:line="460" w:lineRule="exact"/>
        <w:jc w:val="center"/>
        <w:rPr>
          <w:rFonts w:hint="eastAsia" w:ascii="宋体" w:hAnsi="宋体" w:eastAsia="宋体" w:cs="宋体"/>
          <w:b/>
          <w:bCs/>
          <w:color w:val="auto"/>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（招标人名称）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宋体" w:hAnsi="宋体" w:eastAsia="宋体" w:cs="宋体"/>
          <w:color w:val="auto"/>
          <w:spacing w:val="6"/>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p>
    <w:p>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pPr>
        <w:pStyle w:val="24"/>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4"/>
        <w:spacing w:line="460" w:lineRule="exact"/>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pPr>
        <w:pStyle w:val="24"/>
        <w:spacing w:line="460" w:lineRule="exact"/>
        <w:ind w:left="433" w:hanging="433" w:hangingChars="196"/>
        <w:outlineLvl w:val="1"/>
        <w:rPr>
          <w:rFonts w:hint="eastAsia" w:ascii="宋体" w:hAnsi="宋体" w:eastAsia="宋体" w:cs="宋体"/>
          <w:b/>
          <w:color w:val="auto"/>
          <w:sz w:val="22"/>
          <w:szCs w:val="22"/>
          <w:highlight w:val="none"/>
        </w:rPr>
      </w:pPr>
      <w:bookmarkStart w:id="37" w:name="_Toc12035"/>
      <w:bookmarkStart w:id="38" w:name="_Toc19402"/>
      <w:r>
        <w:rPr>
          <w:rFonts w:hint="eastAsia" w:ascii="宋体" w:hAnsi="宋体" w:eastAsia="宋体" w:cs="宋体"/>
          <w:b/>
          <w:color w:val="auto"/>
          <w:sz w:val="22"/>
          <w:szCs w:val="22"/>
          <w:highlight w:val="none"/>
        </w:rPr>
        <w:t>附件二</w:t>
      </w:r>
      <w:bookmarkEnd w:id="37"/>
      <w:bookmarkEnd w:id="38"/>
    </w:p>
    <w:p>
      <w:pPr>
        <w:spacing w:line="460" w:lineRule="exact"/>
        <w:jc w:val="center"/>
        <w:outlineLvl w:val="2"/>
        <w:rPr>
          <w:rFonts w:hint="eastAsia" w:ascii="宋体" w:hAnsi="宋体" w:eastAsia="宋体" w:cs="宋体"/>
          <w:color w:val="auto"/>
          <w:sz w:val="28"/>
          <w:szCs w:val="28"/>
          <w:highlight w:val="none"/>
        </w:rPr>
      </w:pPr>
      <w:bookmarkStart w:id="39" w:name="_Toc4718"/>
      <w:bookmarkStart w:id="40" w:name="_Toc25309"/>
      <w:r>
        <w:rPr>
          <w:rFonts w:hint="eastAsia" w:ascii="宋体" w:hAnsi="宋体" w:eastAsia="宋体" w:cs="宋体"/>
          <w:b/>
          <w:bCs/>
          <w:color w:val="auto"/>
          <w:sz w:val="32"/>
          <w:szCs w:val="32"/>
          <w:highlight w:val="none"/>
        </w:rPr>
        <w:t>资格证明文件</w:t>
      </w:r>
      <w:bookmarkEnd w:id="39"/>
      <w:bookmarkEnd w:id="40"/>
      <w:r>
        <w:rPr>
          <w:rFonts w:hint="eastAsia" w:ascii="宋体" w:hAnsi="宋体" w:eastAsia="宋体" w:cs="宋体"/>
          <w:color w:val="auto"/>
          <w:sz w:val="28"/>
          <w:szCs w:val="28"/>
          <w:highlight w:val="none"/>
        </w:rPr>
        <w:t xml:space="preserve"> </w:t>
      </w: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cs="宋体"/>
          <w:b/>
          <w:bCs w:val="0"/>
          <w:color w:val="auto"/>
          <w:kern w:val="0"/>
          <w:sz w:val="32"/>
          <w:szCs w:val="32"/>
          <w:highlight w:val="none"/>
          <w:lang w:val="en-US" w:eastAsia="zh-CN" w:bidi="ar-SA"/>
        </w:rPr>
      </w:pPr>
      <w:bookmarkStart w:id="41" w:name="_Toc16516"/>
      <w:bookmarkStart w:id="42" w:name="_Toc31356"/>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sz w:val="28"/>
          <w:szCs w:val="28"/>
          <w:highlight w:val="none"/>
        </w:rPr>
      </w:pPr>
      <w:r>
        <w:rPr>
          <w:rFonts w:hint="eastAsia" w:cs="宋体"/>
          <w:b/>
          <w:bCs w:val="0"/>
          <w:color w:val="auto"/>
          <w:kern w:val="0"/>
          <w:sz w:val="28"/>
          <w:szCs w:val="28"/>
          <w:highlight w:val="none"/>
          <w:lang w:val="en-US" w:eastAsia="zh-CN" w:bidi="ar-SA"/>
        </w:rPr>
        <w:t>1、</w:t>
      </w:r>
      <w:r>
        <w:rPr>
          <w:rFonts w:hint="eastAsia" w:ascii="宋体" w:hAnsi="宋体" w:eastAsia="宋体" w:cs="宋体"/>
          <w:b/>
          <w:bCs w:val="0"/>
          <w:color w:val="auto"/>
          <w:kern w:val="0"/>
          <w:sz w:val="28"/>
          <w:szCs w:val="28"/>
          <w:highlight w:val="none"/>
          <w:lang w:val="en-US" w:eastAsia="zh-CN" w:bidi="ar-SA"/>
        </w:rPr>
        <w:t>资格条件承诺函</w:t>
      </w:r>
    </w:p>
    <w:p>
      <w:pPr>
        <w:shd w:val="clear" w:color="auto" w:fill="FFFFFF"/>
        <w:snapToGrid w:val="0"/>
        <w:spacing w:line="4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p>
    <w:p>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rPr>
        <w:t>参加本次政府采购活动前3年内</w:t>
      </w:r>
      <w:r>
        <w:rPr>
          <w:rFonts w:hint="eastAsia" w:ascii="宋体" w:hAnsi="宋体" w:eastAsia="宋体" w:cs="宋体"/>
          <w:color w:val="auto"/>
          <w:sz w:val="22"/>
          <w:szCs w:val="22"/>
          <w:highlight w:val="none"/>
        </w:rPr>
        <w:t>：</w:t>
      </w:r>
    </w:p>
    <w:p>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1、我方符合《中华人民共和国政府采购法》第22条规定的资格条件，即</w:t>
      </w:r>
    </w:p>
    <w:p>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pPr>
        <w:widowControl/>
        <w:snapToGrid w:val="0"/>
        <w:spacing w:line="440" w:lineRule="exact"/>
        <w:ind w:left="989" w:leftChars="314" w:hanging="330" w:hangingChars="15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3、我方与参加本次项目同一合同项下政府采购活动的其他供应商不存在单位负责人为同一人或者直接控股、管理关系。</w:t>
      </w:r>
    </w:p>
    <w:p>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4、我方</w:t>
      </w:r>
      <w:r>
        <w:rPr>
          <w:rFonts w:hint="eastAsia" w:ascii="宋体" w:hAnsi="宋体" w:eastAsia="宋体" w:cs="宋体"/>
          <w:color w:val="auto"/>
          <w:kern w:val="0"/>
          <w:sz w:val="22"/>
          <w:szCs w:val="22"/>
          <w:highlight w:val="none"/>
        </w:rPr>
        <w:t>不属于公益一类事业单位。</w:t>
      </w:r>
    </w:p>
    <w:p>
      <w:pPr>
        <w:widowControl/>
        <w:snapToGrid w:val="0"/>
        <w:spacing w:line="440" w:lineRule="exact"/>
        <w:ind w:firstLine="440" w:firstLineChars="200"/>
        <w:jc w:val="left"/>
        <w:rPr>
          <w:rFonts w:hint="eastAsia" w:ascii="宋体" w:hAnsi="宋体" w:eastAsia="宋体" w:cs="宋体"/>
          <w:color w:val="auto"/>
          <w:kern w:val="0"/>
          <w:sz w:val="22"/>
          <w:szCs w:val="22"/>
          <w:highlight w:val="none"/>
          <w:lang w:val="en-US" w:eastAsia="zh-CN"/>
        </w:rPr>
      </w:pPr>
    </w:p>
    <w:p>
      <w:pPr>
        <w:widowControl/>
        <w:snapToGrid w:val="0"/>
        <w:spacing w:line="440" w:lineRule="exact"/>
        <w:ind w:left="210" w:leftChars="100"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我方任何资格（投标/成交/签订合同）</w:t>
      </w:r>
      <w:r>
        <w:rPr>
          <w:rFonts w:hint="eastAsia" w:ascii="宋体" w:hAnsi="宋体" w:eastAsia="宋体" w:cs="宋体"/>
          <w:color w:val="auto"/>
          <w:sz w:val="22"/>
          <w:szCs w:val="22"/>
          <w:highlight w:val="none"/>
        </w:rPr>
        <w:t>及其他任何形式的处理。</w:t>
      </w:r>
    </w:p>
    <w:p>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p>
    <w:p>
      <w:pPr>
        <w:snapToGrid w:val="0"/>
        <w:spacing w:line="360" w:lineRule="auto"/>
        <w:ind w:firstLine="5060" w:firstLineChars="2300"/>
        <w:rPr>
          <w:rFonts w:hint="eastAsia" w:ascii="宋体" w:hAnsi="宋体" w:eastAsia="宋体" w:cs="宋体"/>
          <w:color w:val="auto"/>
          <w:kern w:val="0"/>
          <w:sz w:val="22"/>
          <w:szCs w:val="22"/>
          <w:highlight w:val="none"/>
          <w:lang w:val="zh-CN"/>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rPr>
          <w:rFonts w:hint="eastAsia" w:ascii="宋体" w:hAnsi="宋体" w:eastAsia="宋体" w:cs="宋体"/>
        </w:rPr>
      </w:pP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auto"/>
          <w:sz w:val="28"/>
          <w:szCs w:val="28"/>
          <w:highlight w:val="none"/>
        </w:rPr>
      </w:pPr>
    </w:p>
    <w:p>
      <w:pPr>
        <w:rPr>
          <w:rFonts w:hint="eastAsia" w:ascii="宋体" w:hAnsi="宋体" w:eastAsia="宋体" w:cs="宋体"/>
          <w:b/>
          <w:bCs w:val="0"/>
          <w:color w:val="auto"/>
          <w:kern w:val="0"/>
          <w:sz w:val="32"/>
          <w:szCs w:val="32"/>
          <w:highlight w:val="none"/>
          <w:lang w:val="en-US" w:eastAsia="zh-CN" w:bidi="ar-SA"/>
        </w:rPr>
      </w:pPr>
      <w:r>
        <w:rPr>
          <w:rFonts w:hint="eastAsia" w:ascii="宋体" w:hAnsi="宋体" w:eastAsia="宋体" w:cs="宋体"/>
          <w:b/>
          <w:bCs w:val="0"/>
          <w:color w:val="auto"/>
          <w:kern w:val="0"/>
          <w:sz w:val="32"/>
          <w:szCs w:val="32"/>
          <w:highlight w:val="none"/>
          <w:lang w:val="en-US" w:eastAsia="zh-CN" w:bidi="ar-SA"/>
        </w:rPr>
        <w:br w:type="page"/>
      </w: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2、有效营业执照</w:t>
      </w:r>
    </w:p>
    <w:p>
      <w:pPr>
        <w:pStyle w:val="49"/>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4"/>
          <w:szCs w:val="24"/>
          <w:highlight w:val="none"/>
        </w:rPr>
      </w:pPr>
    </w:p>
    <w:p>
      <w:pPr>
        <w:pStyle w:val="49"/>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投标人须在投标文件中出具符合以下情况的证明材料复印件（五选一）：</w:t>
      </w:r>
    </w:p>
    <w:p>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如投标人是企业（包括合伙企业），提供在工商部门注册的有效“企业法人营业执照”或“营业执照”；</w:t>
      </w:r>
    </w:p>
    <w:p>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②</w:t>
      </w:r>
      <w:r>
        <w:rPr>
          <w:rFonts w:hint="eastAsia" w:ascii="宋体" w:hAnsi="宋体" w:eastAsia="宋体" w:cs="宋体"/>
          <w:bCs/>
          <w:color w:val="auto"/>
          <w:sz w:val="22"/>
          <w:szCs w:val="22"/>
          <w:highlight w:val="none"/>
        </w:rPr>
        <w:t>如投标人是事业单位，提供有效的“事业单位法人证书”；</w:t>
      </w:r>
    </w:p>
    <w:p>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③</w:t>
      </w:r>
      <w:r>
        <w:rPr>
          <w:rFonts w:hint="eastAsia" w:ascii="宋体" w:hAnsi="宋体" w:eastAsia="宋体" w:cs="宋体"/>
          <w:bCs/>
          <w:color w:val="auto"/>
          <w:sz w:val="22"/>
          <w:szCs w:val="22"/>
          <w:highlight w:val="none"/>
        </w:rPr>
        <w:t>如投标人是非企业专业服务机构的，提供执业许可证等证明文件；</w:t>
      </w:r>
    </w:p>
    <w:p>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④</w:t>
      </w:r>
      <w:r>
        <w:rPr>
          <w:rFonts w:hint="eastAsia" w:ascii="宋体" w:hAnsi="宋体" w:eastAsia="宋体" w:cs="宋体"/>
          <w:bCs/>
          <w:color w:val="auto"/>
          <w:sz w:val="22"/>
          <w:szCs w:val="22"/>
          <w:highlight w:val="none"/>
        </w:rPr>
        <w:t>如投标人是个体工商户，提供有效的“个体工商户营业执照”；</w:t>
      </w:r>
    </w:p>
    <w:p>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⑤</w:t>
      </w:r>
      <w:r>
        <w:rPr>
          <w:rFonts w:hint="eastAsia" w:ascii="宋体" w:hAnsi="宋体" w:eastAsia="宋体" w:cs="宋体"/>
          <w:bCs/>
          <w:color w:val="auto"/>
          <w:sz w:val="22"/>
          <w:szCs w:val="22"/>
          <w:highlight w:val="none"/>
        </w:rPr>
        <w:t>如投标人是自然人，提供有效的自然人身份证明（居民身份证正反面或公安机关出具的临时居民身份证正反面或港澳台胞证或护照）。</w:t>
      </w:r>
    </w:p>
    <w:p>
      <w:pPr>
        <w:pStyle w:val="49"/>
        <w:tabs>
          <w:tab w:val="left" w:pos="312"/>
        </w:tabs>
        <w:adjustRightInd w:val="0"/>
        <w:snapToGrid w:val="0"/>
        <w:spacing w:before="0" w:beforeAutospacing="0" w:after="0" w:afterAutospacing="0" w:line="360" w:lineRule="auto"/>
        <w:rPr>
          <w:rFonts w:hint="eastAsia" w:ascii="宋体" w:hAnsi="宋体" w:eastAsia="宋体" w:cs="宋体"/>
          <w:bCs/>
          <w:color w:val="auto"/>
          <w:sz w:val="22"/>
          <w:szCs w:val="22"/>
          <w:highlight w:val="none"/>
        </w:rPr>
      </w:pPr>
    </w:p>
    <w:p>
      <w:pPr>
        <w:pStyle w:val="218"/>
        <w:tabs>
          <w:tab w:val="left" w:pos="1212"/>
          <w:tab w:val="left" w:pos="3888"/>
        </w:tabs>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rPr>
          <w:rFonts w:hint="eastAsia" w:ascii="宋体" w:hAnsi="宋体" w:eastAsia="宋体" w:cs="宋体"/>
        </w:rPr>
      </w:pP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3、投标人信用查询</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pPr>
        <w:tabs>
          <w:tab w:val="left" w:pos="360"/>
        </w:tabs>
        <w:spacing w:line="460" w:lineRule="exact"/>
        <w:ind w:firstLine="550" w:firstLineChars="25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highlight w:val="none"/>
          <w:u w:val="none"/>
        </w:rPr>
        <w:t>4、信用信息的使用规则：对列入失信被执行人、重大税收违法案件当事人名单、政府采购严重违法失信行为记录名单的投标人，其投标将作无效标处理。</w:t>
      </w:r>
    </w:p>
    <w:p>
      <w:pPr>
        <w:rPr>
          <w:rFonts w:hint="eastAsia" w:cs="宋体"/>
          <w:b/>
          <w:bCs w:val="0"/>
          <w:color w:val="auto"/>
          <w:kern w:val="0"/>
          <w:sz w:val="28"/>
          <w:szCs w:val="28"/>
          <w:highlight w:val="none"/>
          <w:lang w:val="en-US" w:eastAsia="zh-CN" w:bidi="ar-SA"/>
        </w:rPr>
      </w:pPr>
    </w:p>
    <w:p>
      <w:pPr>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br w:type="page"/>
      </w: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4、采购活动现场确认声明书</w:t>
      </w:r>
    </w:p>
    <w:p>
      <w:pPr>
        <w:spacing w:line="460" w:lineRule="exact"/>
        <w:rPr>
          <w:rFonts w:hint="eastAsia" w:ascii="宋体" w:hAnsi="宋体" w:eastAsia="宋体" w:cs="宋体"/>
          <w:b/>
          <w:bCs/>
          <w:sz w:val="22"/>
          <w:szCs w:val="22"/>
        </w:rPr>
      </w:pPr>
    </w:p>
    <w:p>
      <w:pPr>
        <w:spacing w:line="460" w:lineRule="exact"/>
        <w:rPr>
          <w:rFonts w:hint="eastAsia" w:ascii="宋体" w:hAnsi="宋体" w:eastAsia="宋体" w:cs="宋体"/>
          <w:b/>
          <w:bCs/>
          <w:sz w:val="22"/>
          <w:szCs w:val="22"/>
        </w:rPr>
      </w:pPr>
      <w:r>
        <w:rPr>
          <w:rFonts w:hint="eastAsia" w:ascii="宋体" w:hAnsi="宋体" w:eastAsia="宋体" w:cs="宋体"/>
          <w:color w:val="auto"/>
          <w:sz w:val="22"/>
          <w:szCs w:val="22"/>
          <w:highlight w:val="none"/>
          <w:lang w:eastAsia="zh-CN"/>
        </w:rPr>
        <w:t>温州历程招标有限公司</w:t>
      </w:r>
      <w:r>
        <w:rPr>
          <w:rFonts w:hint="eastAsia" w:ascii="宋体" w:hAnsi="宋体" w:eastAsia="宋体" w:cs="宋体"/>
          <w:color w:val="auto"/>
          <w:sz w:val="22"/>
          <w:szCs w:val="22"/>
          <w:highlight w:val="none"/>
        </w:rPr>
        <w:t>：</w:t>
      </w:r>
    </w:p>
    <w:p>
      <w:pPr>
        <w:spacing w:line="460" w:lineRule="exact"/>
        <w:ind w:firstLine="440" w:firstLineChars="200"/>
        <w:rPr>
          <w:rFonts w:hint="eastAsia" w:ascii="宋体" w:hAnsi="宋体" w:eastAsia="宋体" w:cs="宋体"/>
          <w:sz w:val="22"/>
          <w:szCs w:val="22"/>
        </w:rPr>
      </w:pPr>
      <w:r>
        <w:rPr>
          <w:rFonts w:hint="eastAsia" w:ascii="宋体" w:hAnsi="宋体" w:eastAsia="宋体" w:cs="宋体"/>
          <w:kern w:val="0"/>
          <w:sz w:val="22"/>
          <w:szCs w:val="22"/>
        </w:rPr>
        <w:t>本人经由</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（供应商名称）负责人</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（姓名）合法授权参加</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项目（编号：</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）采购活动，经与本单位法人代表（负责人）联系确认，现就有关公平竞争事项郑重声明如下：</w:t>
      </w:r>
    </w:p>
    <w:p>
      <w:pPr>
        <w:numPr>
          <w:ilvl w:val="0"/>
          <w:numId w:val="4"/>
        </w:numPr>
        <w:spacing w:line="460" w:lineRule="exact"/>
        <w:rPr>
          <w:rFonts w:hint="eastAsia" w:ascii="宋体" w:hAnsi="宋体" w:eastAsia="宋体" w:cs="宋体"/>
          <w:kern w:val="0"/>
          <w:sz w:val="22"/>
          <w:szCs w:val="22"/>
        </w:rPr>
      </w:pPr>
      <w:r>
        <w:rPr>
          <w:rFonts w:hint="eastAsia" w:ascii="宋体" w:hAnsi="宋体" w:eastAsia="宋体" w:cs="宋体"/>
          <w:kern w:val="0"/>
          <w:sz w:val="22"/>
          <w:szCs w:val="22"/>
        </w:rPr>
        <w:t>本单位与招标人之间 □不存在利害关系 □存在下列利害关系：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A.投资关系    </w:t>
      </w:r>
    </w:p>
    <w:p>
      <w:pPr>
        <w:spacing w:line="460" w:lineRule="exact"/>
        <w:ind w:firstLine="660" w:firstLineChars="300"/>
        <w:rPr>
          <w:rFonts w:hint="eastAsia" w:ascii="宋体" w:hAnsi="宋体" w:eastAsia="宋体" w:cs="宋体"/>
          <w:kern w:val="0"/>
          <w:sz w:val="22"/>
          <w:szCs w:val="22"/>
        </w:rPr>
      </w:pPr>
      <w:r>
        <w:rPr>
          <w:rFonts w:hint="eastAsia" w:ascii="宋体" w:hAnsi="宋体" w:eastAsia="宋体" w:cs="宋体"/>
          <w:kern w:val="0"/>
          <w:sz w:val="22"/>
          <w:szCs w:val="22"/>
        </w:rPr>
        <w:t xml:space="preserve">B.行政隶属关系    </w:t>
      </w:r>
    </w:p>
    <w:p>
      <w:pPr>
        <w:spacing w:line="460" w:lineRule="exact"/>
        <w:ind w:firstLine="660" w:firstLineChars="300"/>
        <w:rPr>
          <w:rFonts w:hint="eastAsia" w:ascii="宋体" w:hAnsi="宋体" w:eastAsia="宋体" w:cs="宋体"/>
          <w:kern w:val="0"/>
          <w:sz w:val="22"/>
          <w:szCs w:val="22"/>
        </w:rPr>
      </w:pPr>
      <w:r>
        <w:rPr>
          <w:rFonts w:hint="eastAsia" w:ascii="宋体" w:hAnsi="宋体" w:eastAsia="宋体" w:cs="宋体"/>
          <w:kern w:val="0"/>
          <w:sz w:val="22"/>
          <w:szCs w:val="22"/>
        </w:rPr>
        <w:t xml:space="preserve">C.业务指导关系  </w:t>
      </w:r>
    </w:p>
    <w:p>
      <w:pPr>
        <w:spacing w:line="460" w:lineRule="exact"/>
        <w:ind w:firstLine="660" w:firstLineChars="300"/>
        <w:rPr>
          <w:rFonts w:hint="eastAsia" w:ascii="宋体" w:hAnsi="宋体" w:eastAsia="宋体" w:cs="宋体"/>
          <w:sz w:val="22"/>
          <w:szCs w:val="22"/>
        </w:rPr>
      </w:pPr>
      <w:r>
        <w:rPr>
          <w:rFonts w:hint="eastAsia" w:ascii="宋体" w:hAnsi="宋体" w:eastAsia="宋体" w:cs="宋体"/>
          <w:kern w:val="0"/>
          <w:sz w:val="22"/>
          <w:szCs w:val="22"/>
        </w:rPr>
        <w:t>D.其他可能影响采购公正的利害关系</w:t>
      </w:r>
      <w:r>
        <w:rPr>
          <w:rStyle w:val="332"/>
          <w:rFonts w:hint="eastAsia" w:ascii="宋体" w:hAnsi="宋体" w:eastAsia="宋体" w:cs="宋体"/>
          <w:color w:val="auto"/>
          <w:sz w:val="22"/>
          <w:szCs w:val="22"/>
        </w:rPr>
        <w:t xml:space="preserve">（如有，请如实说明）                 </w:t>
      </w:r>
      <w:r>
        <w:rPr>
          <w:rFonts w:hint="eastAsia" w:ascii="宋体" w:hAnsi="宋体" w:eastAsia="宋体" w:cs="宋体"/>
          <w:kern w:val="0"/>
          <w:sz w:val="22"/>
          <w:szCs w:val="22"/>
        </w:rPr>
        <w:t>。</w:t>
      </w:r>
    </w:p>
    <w:p>
      <w:pPr>
        <w:numPr>
          <w:ilvl w:val="0"/>
          <w:numId w:val="4"/>
        </w:numPr>
        <w:spacing w:line="460" w:lineRule="exact"/>
        <w:rPr>
          <w:rFonts w:hint="eastAsia" w:ascii="宋体" w:hAnsi="宋体" w:eastAsia="宋体" w:cs="宋体"/>
          <w:kern w:val="0"/>
          <w:sz w:val="22"/>
          <w:szCs w:val="22"/>
        </w:rPr>
      </w:pPr>
      <w:r>
        <w:rPr>
          <w:rFonts w:hint="eastAsia" w:ascii="宋体" w:hAnsi="宋体" w:eastAsia="宋体" w:cs="宋体"/>
          <w:kern w:val="0"/>
          <w:sz w:val="22"/>
          <w:szCs w:val="22"/>
        </w:rPr>
        <w:t xml:space="preserve">现已清楚知道参加本项目采购活动的其他所有供应商名称，本单位 </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□与其他所有供应商之间均不存在利害关系 </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□与</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供应商名称）之间存在下列利害关系</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A.法定代表人或负责人或实际控制人是同一人</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B.法定代表人或负责人或实际控制人是夫妻关系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C.法定代表人或负责人或实际控制人是直系血亲关系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D.法定代表人或负责人或实际控制人存在三代以内旁系血亲关系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E.法定代表人或负责人或实际控制人存在近姻亲关系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F.法定代表人或负责人或实际控制人存在股份控制或实际控制关系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G.存在共同直接或间接投资设立子公司、联营企业和合营企业情况</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H.存在分级代理或代销关系、同一生产制造商关系、管理关系、重要业务（占主营业务收入50%以上）或重要财务往来关系（如融资）等其他实质性控制关系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I.其他利害关系情况</w:t>
      </w:r>
      <w:r>
        <w:rPr>
          <w:rFonts w:hint="eastAsia" w:ascii="宋体" w:hAnsi="宋体" w:eastAsia="宋体" w:cs="宋体"/>
          <w:kern w:val="0"/>
          <w:sz w:val="22"/>
          <w:szCs w:val="22"/>
          <w:u w:val="single"/>
        </w:rPr>
        <w:t xml:space="preserve">                              。</w:t>
      </w:r>
    </w:p>
    <w:p>
      <w:pPr>
        <w:pStyle w:val="24"/>
        <w:spacing w:line="460" w:lineRule="exact"/>
        <w:ind w:left="0" w:firstLine="0" w:firstLineChars="0"/>
        <w:rPr>
          <w:rFonts w:hint="eastAsia" w:ascii="宋体" w:hAnsi="宋体" w:eastAsia="宋体" w:cs="宋体"/>
          <w:kern w:val="0"/>
          <w:sz w:val="22"/>
          <w:szCs w:val="22"/>
        </w:rPr>
      </w:pPr>
      <w:r>
        <w:rPr>
          <w:rFonts w:hint="eastAsia" w:ascii="宋体" w:hAnsi="宋体" w:eastAsia="宋体" w:cs="宋体"/>
          <w:kern w:val="0"/>
          <w:sz w:val="22"/>
          <w:szCs w:val="22"/>
        </w:rPr>
        <w:t>（三）现已清楚知道并严格遵守政府采购法律法规和现场纪律</w:t>
      </w:r>
    </w:p>
    <w:p>
      <w:pPr>
        <w:pStyle w:val="24"/>
        <w:spacing w:line="460" w:lineRule="exact"/>
        <w:ind w:left="0" w:firstLine="0" w:firstLineChars="0"/>
        <w:rPr>
          <w:rFonts w:hint="eastAsia" w:ascii="宋体" w:hAnsi="宋体" w:eastAsia="宋体" w:cs="宋体"/>
          <w:kern w:val="0"/>
          <w:sz w:val="22"/>
          <w:szCs w:val="22"/>
        </w:rPr>
      </w:pPr>
      <w:r>
        <w:rPr>
          <w:rFonts w:hint="eastAsia" w:ascii="宋体" w:hAnsi="宋体" w:eastAsia="宋体" w:cs="宋体"/>
          <w:kern w:val="0"/>
          <w:sz w:val="22"/>
          <w:szCs w:val="22"/>
        </w:rPr>
        <w:t>（四）我发现</w:t>
      </w:r>
      <w:r>
        <w:rPr>
          <w:rStyle w:val="332"/>
          <w:rFonts w:hint="eastAsia" w:ascii="宋体" w:hAnsi="宋体" w:eastAsia="宋体" w:cs="宋体"/>
          <w:color w:val="auto"/>
          <w:sz w:val="22"/>
          <w:szCs w:val="22"/>
          <w:u w:val="single"/>
        </w:rPr>
        <w:t xml:space="preserve">                  </w:t>
      </w:r>
      <w:r>
        <w:rPr>
          <w:rStyle w:val="332"/>
          <w:rFonts w:hint="eastAsia" w:ascii="宋体" w:hAnsi="宋体" w:eastAsia="宋体" w:cs="宋体"/>
          <w:color w:val="auto"/>
          <w:sz w:val="22"/>
          <w:szCs w:val="22"/>
        </w:rPr>
        <w:t>与</w:t>
      </w:r>
      <w:r>
        <w:rPr>
          <w:rStyle w:val="332"/>
          <w:rFonts w:hint="eastAsia" w:ascii="宋体" w:hAnsi="宋体" w:eastAsia="宋体" w:cs="宋体"/>
          <w:color w:val="auto"/>
          <w:sz w:val="22"/>
          <w:szCs w:val="22"/>
          <w:u w:val="single"/>
        </w:rPr>
        <w:t xml:space="preserve">                  </w:t>
      </w:r>
      <w:r>
        <w:rPr>
          <w:rStyle w:val="332"/>
          <w:rFonts w:hint="eastAsia" w:ascii="宋体" w:hAnsi="宋体" w:eastAsia="宋体" w:cs="宋体"/>
          <w:color w:val="auto"/>
          <w:sz w:val="22"/>
          <w:szCs w:val="22"/>
        </w:rPr>
        <w:t>（供应商名称）</w:t>
      </w:r>
      <w:r>
        <w:rPr>
          <w:rFonts w:hint="eastAsia" w:ascii="宋体" w:hAnsi="宋体" w:eastAsia="宋体" w:cs="宋体"/>
          <w:kern w:val="0"/>
          <w:sz w:val="22"/>
          <w:szCs w:val="22"/>
        </w:rPr>
        <w:t>之间存在或可能存在上述第二条第</w:t>
      </w:r>
      <w:r>
        <w:rPr>
          <w:rStyle w:val="332"/>
          <w:rFonts w:hint="eastAsia" w:ascii="宋体" w:hAnsi="宋体" w:eastAsia="宋体" w:cs="宋体"/>
          <w:color w:val="auto"/>
          <w:sz w:val="22"/>
          <w:szCs w:val="22"/>
          <w:u w:val="single"/>
        </w:rPr>
        <w:t xml:space="preserve">        </w:t>
      </w:r>
      <w:r>
        <w:rPr>
          <w:rFonts w:hint="eastAsia" w:ascii="宋体" w:hAnsi="宋体" w:eastAsia="宋体" w:cs="宋体"/>
          <w:kern w:val="0"/>
          <w:sz w:val="22"/>
          <w:szCs w:val="22"/>
        </w:rPr>
        <w:t>项利害关系。</w:t>
      </w:r>
    </w:p>
    <w:p>
      <w:pPr>
        <w:pStyle w:val="24"/>
        <w:spacing w:line="460" w:lineRule="exact"/>
        <w:ind w:left="0" w:firstLine="0" w:firstLineChars="0"/>
        <w:rPr>
          <w:rFonts w:hint="eastAsia" w:ascii="宋体" w:hAnsi="宋体" w:eastAsia="宋体" w:cs="宋体"/>
          <w:b/>
          <w:kern w:val="0"/>
          <w:sz w:val="22"/>
          <w:szCs w:val="22"/>
        </w:rPr>
      </w:pPr>
      <w:r>
        <w:rPr>
          <w:rFonts w:hint="eastAsia" w:ascii="宋体" w:hAnsi="宋体" w:eastAsia="宋体" w:cs="宋体"/>
          <w:b/>
          <w:kern w:val="0"/>
          <w:sz w:val="22"/>
          <w:szCs w:val="22"/>
        </w:rPr>
        <w:t>供应商代表签名:</w:t>
      </w:r>
    </w:p>
    <w:p>
      <w:pPr>
        <w:pStyle w:val="24"/>
        <w:spacing w:line="460" w:lineRule="exact"/>
        <w:ind w:left="0" w:firstLine="0" w:firstLineChars="0"/>
        <w:jc w:val="right"/>
        <w:rPr>
          <w:rFonts w:hint="eastAsia" w:ascii="宋体" w:hAnsi="宋体" w:eastAsia="宋体" w:cs="宋体"/>
          <w:b/>
          <w:bCs/>
          <w:sz w:val="22"/>
          <w:szCs w:val="22"/>
        </w:rPr>
      </w:pPr>
      <w:r>
        <w:rPr>
          <w:rFonts w:hint="eastAsia" w:ascii="宋体" w:hAnsi="宋体" w:eastAsia="宋体" w:cs="宋体"/>
          <w:b/>
          <w:kern w:val="0"/>
          <w:sz w:val="22"/>
          <w:szCs w:val="22"/>
        </w:rPr>
        <w:t>日期:202</w:t>
      </w:r>
      <w:r>
        <w:rPr>
          <w:rFonts w:hint="eastAsia" w:ascii="宋体" w:hAnsi="宋体" w:eastAsia="宋体" w:cs="宋体"/>
          <w:b/>
          <w:kern w:val="0"/>
          <w:sz w:val="22"/>
          <w:szCs w:val="22"/>
          <w:lang w:val="en-US" w:eastAsia="zh-CN"/>
        </w:rPr>
        <w:t xml:space="preserve">  </w:t>
      </w:r>
      <w:r>
        <w:rPr>
          <w:rFonts w:hint="eastAsia" w:ascii="宋体" w:hAnsi="宋体" w:eastAsia="宋体" w:cs="宋体"/>
          <w:b/>
          <w:kern w:val="0"/>
          <w:sz w:val="22"/>
          <w:szCs w:val="22"/>
        </w:rPr>
        <w:t>年    月    日</w:t>
      </w:r>
    </w:p>
    <w:p>
      <w:pPr>
        <w:pStyle w:val="24"/>
        <w:spacing w:line="460" w:lineRule="exact"/>
        <w:ind w:left="0" w:firstLine="0" w:firstLineChars="0"/>
        <w:jc w:val="right"/>
        <w:rPr>
          <w:rFonts w:hint="eastAsia" w:ascii="宋体" w:hAnsi="宋体" w:eastAsia="宋体" w:cs="宋体"/>
          <w:b/>
          <w:bCs/>
          <w:sz w:val="22"/>
          <w:szCs w:val="22"/>
        </w:rPr>
      </w:pPr>
    </w:p>
    <w:p>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pP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41"/>
      <w:bookmarkEnd w:id="42"/>
    </w:p>
    <w:p>
      <w:pPr>
        <w:spacing w:line="460" w:lineRule="exact"/>
        <w:jc w:val="center"/>
        <w:outlineLvl w:val="2"/>
        <w:rPr>
          <w:rFonts w:hint="eastAsia" w:ascii="宋体" w:hAnsi="宋体" w:eastAsia="宋体" w:cs="宋体"/>
          <w:b/>
          <w:bCs/>
          <w:color w:val="auto"/>
          <w:sz w:val="28"/>
          <w:szCs w:val="28"/>
          <w:highlight w:val="none"/>
          <w:lang w:val="zh-CN"/>
        </w:rPr>
      </w:pPr>
      <w:bookmarkStart w:id="43" w:name="_Toc13639"/>
      <w:bookmarkStart w:id="44" w:name="_Toc29102"/>
      <w:r>
        <w:rPr>
          <w:rFonts w:hint="eastAsia" w:ascii="宋体" w:hAnsi="宋体" w:eastAsia="宋体" w:cs="宋体"/>
          <w:b/>
          <w:bCs/>
          <w:color w:val="auto"/>
          <w:sz w:val="28"/>
          <w:szCs w:val="28"/>
          <w:highlight w:val="none"/>
          <w:lang w:val="zh-CN"/>
        </w:rPr>
        <w:t>商务技术文件</w:t>
      </w:r>
      <w:bookmarkEnd w:id="43"/>
      <w:bookmarkEnd w:id="44"/>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1、法定代表人授权书</w:t>
      </w:r>
    </w:p>
    <w:p>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cs="宋体"/>
          <w:color w:val="auto"/>
          <w:sz w:val="22"/>
          <w:szCs w:val="22"/>
          <w:highlight w:val="none"/>
          <w:lang w:val="en-US" w:eastAsia="zh-CN"/>
        </w:rPr>
        <w:t>温州历程招标有限公司</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pPr>
        <w:spacing w:line="380" w:lineRule="exact"/>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2、投标人情况表</w:t>
      </w:r>
    </w:p>
    <w:p>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pPr>
              <w:spacing w:line="480" w:lineRule="exact"/>
              <w:jc w:val="center"/>
              <w:rPr>
                <w:rFonts w:hint="eastAsia" w:ascii="宋体" w:hAnsi="宋体" w:eastAsia="宋体" w:cs="宋体"/>
                <w:color w:val="auto"/>
                <w:sz w:val="22"/>
                <w:szCs w:val="22"/>
                <w:highlight w:val="none"/>
              </w:rPr>
            </w:pP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3703" w:type="dxa"/>
            <w:gridSpan w:val="4"/>
            <w:vMerge w:val="continue"/>
          </w:tcPr>
          <w:p>
            <w:pPr>
              <w:spacing w:line="480" w:lineRule="exact"/>
              <w:rPr>
                <w:rFonts w:hint="eastAsia" w:ascii="宋体" w:hAnsi="宋体" w:eastAsia="宋体" w:cs="宋体"/>
                <w:color w:val="auto"/>
                <w:sz w:val="22"/>
                <w:szCs w:val="22"/>
                <w:highlight w:val="none"/>
              </w:rPr>
            </w:pP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728" w:type="dxa"/>
            <w:vMerge w:val="continue"/>
          </w:tcPr>
          <w:p>
            <w:pPr>
              <w:spacing w:line="480" w:lineRule="exact"/>
              <w:rPr>
                <w:rFonts w:hint="eastAsia" w:ascii="宋体" w:hAnsi="宋体" w:eastAsia="宋体" w:cs="宋体"/>
                <w:color w:val="auto"/>
                <w:sz w:val="22"/>
                <w:szCs w:val="22"/>
                <w:highlight w:val="none"/>
              </w:rPr>
            </w:pP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zh-CN" w:eastAsia="zh-CN"/>
        </w:rPr>
        <w:t>偏离表（</w:t>
      </w:r>
      <w:r>
        <w:rPr>
          <w:rFonts w:hint="eastAsia" w:ascii="宋体" w:hAnsi="宋体" w:eastAsia="宋体" w:cs="宋体"/>
          <w:b/>
          <w:bCs/>
          <w:color w:val="auto"/>
          <w:sz w:val="28"/>
          <w:szCs w:val="28"/>
          <w:highlight w:val="none"/>
          <w:lang w:val="en-US" w:eastAsia="zh-CN"/>
        </w:rPr>
        <w:t>商务、技术偏离</w:t>
      </w:r>
      <w:r>
        <w:rPr>
          <w:rFonts w:hint="eastAsia" w:ascii="宋体" w:hAnsi="宋体" w:eastAsia="宋体" w:cs="宋体"/>
          <w:b/>
          <w:bCs/>
          <w:color w:val="auto"/>
          <w:sz w:val="28"/>
          <w:szCs w:val="28"/>
          <w:highlight w:val="none"/>
          <w:lang w:val="zh-CN" w:eastAsia="zh-CN"/>
        </w:rPr>
        <w:t>）</w:t>
      </w:r>
    </w:p>
    <w:p>
      <w:pPr>
        <w:spacing w:line="360" w:lineRule="auto"/>
        <w:rPr>
          <w:rFonts w:hint="eastAsia" w:ascii="宋体" w:hAnsi="宋体" w:eastAsia="宋体" w:cs="宋体"/>
          <w:b w:val="0"/>
          <w:bCs w:val="0"/>
          <w:color w:val="auto"/>
          <w:sz w:val="22"/>
          <w:szCs w:val="22"/>
          <w:highlight w:val="none"/>
        </w:rPr>
      </w:pP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WZLCZB（W）-2023-04155</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安全设备及网络维保</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687"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580"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360" w:lineRule="auto"/>
        <w:jc w:val="left"/>
        <w:rPr>
          <w:rFonts w:hint="eastAsia" w:ascii="宋体" w:hAnsi="宋体" w:eastAsia="宋体" w:cs="宋体"/>
          <w:color w:val="auto"/>
          <w:sz w:val="22"/>
          <w:szCs w:val="22"/>
          <w:highlight w:val="none"/>
        </w:rPr>
      </w:pPr>
      <w:bookmarkStart w:id="45" w:name="_Toc415152386"/>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sz w:val="22"/>
          <w:szCs w:val="22"/>
          <w:highlight w:val="none"/>
        </w:rPr>
        <w:t>日    期：</w:t>
      </w:r>
      <w:r>
        <w:rPr>
          <w:rFonts w:hint="eastAsia" w:ascii="宋体" w:hAnsi="宋体" w:eastAsia="宋体" w:cs="宋体"/>
          <w:b/>
          <w:color w:val="auto"/>
          <w:sz w:val="24"/>
          <w:highlight w:val="none"/>
        </w:rPr>
        <w:br w:type="page"/>
      </w:r>
    </w:p>
    <w:p>
      <w:pPr>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rPr>
        <w:t>4、投标人综合情况</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WZLCZB（W）-2023-04155</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安全设备及网络维保</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pStyle w:val="31"/>
        <w:spacing w:line="400" w:lineRule="atLeast"/>
        <w:rPr>
          <w:rFonts w:ascii="新宋体" w:hAnsi="新宋体" w:eastAsia="新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ascii="新宋体" w:hAnsi="新宋体" w:eastAsia="新宋体"/>
          <w:color w:val="auto"/>
          <w:sz w:val="22"/>
          <w:szCs w:val="22"/>
          <w:highlight w:val="none"/>
        </w:rPr>
      </w:pPr>
    </w:p>
    <w:p>
      <w:pPr>
        <w:spacing w:line="460" w:lineRule="exact"/>
        <w:ind w:firstLine="5060" w:firstLineChars="2300"/>
        <w:rPr>
          <w:rFonts w:ascii="新宋体" w:hAnsi="新宋体" w:eastAsia="新宋体"/>
          <w:color w:val="auto"/>
          <w:sz w:val="22"/>
          <w:szCs w:val="22"/>
          <w:highlight w:val="none"/>
        </w:rPr>
      </w:pPr>
    </w:p>
    <w:p>
      <w:pPr>
        <w:spacing w:line="460" w:lineRule="exact"/>
        <w:ind w:firstLine="5060" w:firstLineChars="2300"/>
        <w:rPr>
          <w:rFonts w:ascii="新宋体" w:hAnsi="新宋体" w:eastAsia="新宋体"/>
          <w:color w:val="auto"/>
          <w:sz w:val="22"/>
          <w:szCs w:val="22"/>
          <w:highlight w:val="none"/>
        </w:rPr>
      </w:pPr>
    </w:p>
    <w:p>
      <w:pPr>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rPr>
        <w:t>5、投标人针对本项目服务人员情况</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WZLCZB（W）-2023-04155</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cs="新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安全设备及网络维保</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spacing w:line="400" w:lineRule="exact"/>
        <w:ind w:firstLine="4620" w:firstLineChars="2100"/>
        <w:rPr>
          <w:rFonts w:ascii="新宋体" w:hAnsi="新宋体" w:eastAsia="新宋体" w:cs="新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2"/>
          <w:szCs w:val="22"/>
          <w:highlight w:val="none"/>
        </w:rPr>
        <w:t>日    期：</w:t>
      </w:r>
      <w:r>
        <w:rPr>
          <w:rFonts w:hint="eastAsia" w:ascii="宋体" w:hAnsi="宋体" w:eastAsia="宋体" w:cs="宋体"/>
          <w:b/>
          <w:bCs/>
          <w:color w:val="auto"/>
          <w:sz w:val="28"/>
          <w:szCs w:val="28"/>
          <w:highlight w:val="none"/>
          <w:lang w:val="en-US" w:eastAsia="zh-CN"/>
        </w:rPr>
        <w:br w:type="page"/>
      </w:r>
    </w:p>
    <w:p>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val="en-US" w:eastAsia="zh-CN"/>
        </w:rPr>
        <w:t>、</w:t>
      </w:r>
      <w:bookmarkEnd w:id="45"/>
      <w:r>
        <w:rPr>
          <w:rFonts w:hint="eastAsia" w:ascii="宋体" w:hAnsi="宋体" w:eastAsia="宋体" w:cs="宋体"/>
          <w:b/>
          <w:bCs/>
          <w:color w:val="auto"/>
          <w:sz w:val="28"/>
          <w:szCs w:val="28"/>
          <w:highlight w:val="none"/>
          <w:lang w:val="en-US" w:eastAsia="zh-CN"/>
        </w:rPr>
        <w:t>备品备件提供、配置、响应</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WZLCZB（W）-2023-04155</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安全设备及网络维保</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31"/>
        <w:spacing w:line="400" w:lineRule="atLeast"/>
        <w:rPr>
          <w:rFonts w:hint="eastAsia" w:ascii="宋体" w:hAnsi="宋体" w:eastAsia="宋体" w:cs="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、同类项目业绩</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WZLCZB（W）-2023-04155</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安全设备及网络维保</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bl>
    <w:p>
      <w:pPr>
        <w:spacing w:line="400" w:lineRule="exact"/>
        <w:ind w:firstLine="4620" w:firstLineChars="2100"/>
        <w:rPr>
          <w:rFonts w:hint="eastAsia" w:ascii="宋体" w:hAnsi="宋体" w:eastAsia="宋体" w:cs="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hint="eastAsia" w:ascii="宋体" w:hAnsi="宋体" w:eastAsia="宋体" w:cs="宋体"/>
          <w:color w:val="auto"/>
          <w:sz w:val="22"/>
          <w:szCs w:val="22"/>
          <w:highlight w:val="none"/>
        </w:rPr>
      </w:pPr>
    </w:p>
    <w:p>
      <w:pPr>
        <w:rPr>
          <w:rFonts w:hint="eastAsia" w:ascii="宋体" w:hAnsi="宋体" w:eastAsia="宋体" w:cs="宋体"/>
          <w:color w:val="auto"/>
          <w:highlight w:val="none"/>
        </w:rPr>
      </w:pP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spacing w:line="400" w:lineRule="exact"/>
        <w:jc w:val="center"/>
        <w:outlineLvl w:val="3"/>
        <w:rPr>
          <w:rFonts w:hint="eastAsia" w:ascii="宋体" w:hAnsi="宋体" w:eastAsia="宋体" w:cs="宋体"/>
          <w:b/>
          <w:color w:val="auto"/>
          <w:sz w:val="24"/>
          <w:highlight w:val="none"/>
          <w:lang w:val="zh-CN"/>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、维保方案</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WZLCZB（W）-2023-04155</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安全设备及网络维保</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pStyle w:val="31"/>
        <w:spacing w:line="400" w:lineRule="atLeast"/>
        <w:rPr>
          <w:rFonts w:hint="eastAsia" w:ascii="宋体" w:hAnsi="宋体" w:eastAsia="宋体" w:cs="宋体"/>
          <w:color w:val="auto"/>
          <w:sz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b w:val="0"/>
          <w:bCs/>
          <w:color w:val="auto"/>
          <w:sz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b w:val="0"/>
          <w:bCs/>
          <w:color w:val="auto"/>
          <w:sz w:val="22"/>
          <w:highlight w:val="none"/>
        </w:rPr>
        <w:t xml:space="preserve"> </w:t>
      </w:r>
    </w:p>
    <w:p>
      <w:pPr>
        <w:jc w:val="both"/>
        <w:rPr>
          <w:rFonts w:hint="eastAsia" w:ascii="宋体" w:hAnsi="宋体" w:eastAsia="宋体" w:cs="宋体"/>
          <w:b/>
          <w:bCs/>
          <w:color w:val="auto"/>
          <w:sz w:val="22"/>
          <w:szCs w:val="22"/>
          <w:highlight w:val="none"/>
        </w:rPr>
      </w:pPr>
    </w:p>
    <w:p>
      <w:pPr>
        <w:pStyle w:val="9"/>
        <w:rPr>
          <w:rFonts w:hint="eastAsia" w:ascii="宋体" w:hAnsi="宋体" w:eastAsia="宋体" w:cs="宋体"/>
          <w:bCs/>
          <w:color w:val="auto"/>
          <w:sz w:val="22"/>
          <w:szCs w:val="22"/>
          <w:highlight w:val="none"/>
        </w:rPr>
      </w:pPr>
    </w:p>
    <w:p>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、其他必要提供的资料</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WZLCZB（W）-2023-04155</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安全设备及网络维保</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38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rPr>
          <w:rFonts w:ascii="新宋体" w:hAnsi="新宋体" w:eastAsia="新宋体"/>
          <w:color w:val="auto"/>
          <w:sz w:val="22"/>
          <w:szCs w:val="22"/>
          <w:highlight w:val="none"/>
        </w:rPr>
        <w:sectPr>
          <w:pgSz w:w="11906" w:h="16838"/>
          <w:pgMar w:top="1134" w:right="1134" w:bottom="1134" w:left="1134" w:header="850" w:footer="992" w:gutter="0"/>
          <w:cols w:space="720" w:num="1"/>
          <w:docGrid w:type="lines" w:linePitch="321" w:charSpace="0"/>
        </w:sectPr>
      </w:pPr>
    </w:p>
    <w:p>
      <w:pPr>
        <w:pStyle w:val="4"/>
        <w:numPr>
          <w:ilvl w:val="0"/>
          <w:numId w:val="5"/>
        </w:numPr>
        <w:bidi w:val="0"/>
        <w:rPr>
          <w:rFonts w:hint="eastAsia" w:ascii="宋体" w:hAnsi="宋体" w:eastAsia="宋体" w:cs="宋体"/>
          <w:b/>
          <w:color w:val="auto"/>
          <w:highlight w:val="none"/>
        </w:rPr>
      </w:pPr>
      <w:r>
        <w:rPr>
          <w:rFonts w:hint="eastAsia" w:ascii="宋体" w:hAnsi="宋体" w:eastAsia="宋体" w:cs="宋体"/>
          <w:lang w:val="en-US" w:eastAsia="zh-CN"/>
        </w:rPr>
        <w:t xml:space="preserve">  </w:t>
      </w:r>
      <w:r>
        <w:rPr>
          <w:rFonts w:hint="eastAsia" w:ascii="宋体" w:hAnsi="宋体" w:eastAsia="宋体" w:cs="宋体"/>
        </w:rPr>
        <w:t xml:space="preserve"> </w:t>
      </w:r>
      <w:bookmarkStart w:id="46" w:name="_Toc10142"/>
      <w:bookmarkStart w:id="47" w:name="_Toc3381"/>
      <w:bookmarkStart w:id="48" w:name="_Toc221356895"/>
      <w:bookmarkStart w:id="49" w:name="_Toc221356958"/>
      <w:r>
        <w:rPr>
          <w:rFonts w:hint="eastAsia" w:ascii="宋体" w:hAnsi="宋体" w:eastAsia="宋体" w:cs="宋体"/>
        </w:rPr>
        <w:t>项目技术规范和服务要求</w:t>
      </w:r>
      <w:bookmarkEnd w:id="46"/>
      <w:bookmarkEnd w:id="47"/>
    </w:p>
    <w:bookmarkEnd w:id="48"/>
    <w:bookmarkEnd w:id="49"/>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eastAsia="宋体" w:cs="宋体"/>
          <w:b/>
          <w:bCs/>
          <w:color w:val="000000"/>
          <w:sz w:val="22"/>
          <w:szCs w:val="22"/>
        </w:rPr>
      </w:pPr>
      <w:bookmarkStart w:id="50" w:name="_Toc496256263"/>
      <w:bookmarkStart w:id="51" w:name="_Toc497300733"/>
      <w:bookmarkStart w:id="52" w:name="_Toc40266002"/>
      <w:bookmarkStart w:id="53" w:name="_Toc23050423"/>
      <w:bookmarkStart w:id="54" w:name="_Toc498186719"/>
      <w:bookmarkStart w:id="55" w:name="_Toc497307615"/>
      <w:bookmarkStart w:id="56" w:name="_Toc23050625"/>
      <w:bookmarkStart w:id="57" w:name="_Toc496101312"/>
      <w:bookmarkStart w:id="58" w:name="_Toc282690445"/>
      <w:bookmarkStart w:id="59" w:name="_Toc498199476"/>
      <w:bookmarkStart w:id="60" w:name="_Toc495660084"/>
      <w:bookmarkStart w:id="61" w:name="_Toc23050833"/>
      <w:bookmarkStart w:id="62" w:name="_Toc441051461"/>
      <w:bookmarkStart w:id="63" w:name="_Toc201920298"/>
      <w:bookmarkStart w:id="64" w:name="_Toc496257825"/>
      <w:bookmarkStart w:id="65" w:name="_Toc40594931"/>
      <w:bookmarkStart w:id="66" w:name="_Toc498186820"/>
      <w:bookmarkStart w:id="67" w:name="_Toc495651839"/>
      <w:bookmarkStart w:id="68" w:name="_Toc497300664"/>
      <w:bookmarkStart w:id="69" w:name="_Toc496101575"/>
      <w:bookmarkStart w:id="70" w:name="_Toc23050562"/>
      <w:bookmarkStart w:id="71" w:name="_Toc51996430"/>
      <w:r>
        <w:rPr>
          <w:rFonts w:hint="eastAsia" w:ascii="宋体" w:hAnsi="宋体" w:eastAsia="宋体" w:cs="宋体"/>
          <w:b/>
          <w:bCs/>
          <w:color w:val="000000"/>
          <w:sz w:val="22"/>
          <w:szCs w:val="22"/>
        </w:rPr>
        <w:t>一、项目概况</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bookmarkStart w:id="72" w:name="_Toc185935254"/>
      <w:bookmarkStart w:id="73" w:name="_Toc269752119"/>
      <w:bookmarkStart w:id="74" w:name="_Toc151438330"/>
      <w:bookmarkStart w:id="75" w:name="_Toc149969107"/>
      <w:bookmarkStart w:id="76" w:name="_Toc152411298"/>
      <w:r>
        <w:rPr>
          <w:rFonts w:hint="eastAsia" w:ascii="宋体" w:hAnsi="宋体" w:eastAsia="宋体" w:cs="宋体"/>
          <w:color w:val="000000"/>
          <w:sz w:val="22"/>
          <w:szCs w:val="22"/>
        </w:rPr>
        <w:t>温州市中医院经过多年的信息化建设已具备比较完善的信息化体系，目前在网运行的软硬件设备已具备一定的规模，数据中心网络及安全系统结构复杂，而且业务系统具有数据唯一性，安全级别高，业务压力大，业务不可间断等特点。为保障我院数据中心软硬件及医院核心业务系统的正常工作，确保医院核心业务的可靠性和连续性，现招有技术实力的服务商承担我院信息系统安全设备及网络维保运维工作。通过运维外包服务，引进专业化的公司参与单位的信息化运维，其总体思想就是各司其职，而单位里的维护人员可以解放出来从更高的层面去规划和管理单位的信息化发展。</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本采购项目为温州市中医院安全设备及网络维保服务，本次维保服务的对象主要包括以下几内容：深信服、天融信、迪普</w:t>
      </w:r>
      <w:r>
        <w:rPr>
          <w:rFonts w:hint="eastAsia" w:ascii="宋体" w:hAnsi="宋体" w:eastAsia="宋体" w:cs="宋体"/>
          <w:color w:val="000000"/>
          <w:sz w:val="22"/>
          <w:szCs w:val="22"/>
          <w:lang w:eastAsia="zh-Hans"/>
        </w:rPr>
        <w:t>、</w:t>
      </w:r>
      <w:r>
        <w:rPr>
          <w:rFonts w:hint="eastAsia" w:ascii="宋体" w:hAnsi="宋体" w:eastAsia="宋体" w:cs="宋体"/>
          <w:color w:val="000000"/>
          <w:sz w:val="22"/>
          <w:szCs w:val="22"/>
          <w:lang w:val="en-US" w:eastAsia="zh-Hans"/>
        </w:rPr>
        <w:t>盈高、思福迪</w:t>
      </w:r>
      <w:r>
        <w:rPr>
          <w:rFonts w:hint="eastAsia" w:ascii="宋体" w:hAnsi="宋体" w:eastAsia="宋体" w:cs="宋体"/>
          <w:color w:val="000000"/>
          <w:sz w:val="22"/>
          <w:szCs w:val="22"/>
        </w:rPr>
        <w:t>等原厂维保；华为华三思科核心、汇聚、楼层接入等网络设备应急响应、定期巡检、一年专人常驻服务、其他常规系统的支撑保障服务。在维护服务期内由于设备出现硬件问题，中标人须负责修理或更换，费用包含在本次报价中。</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eastAsia="宋体" w:cs="宋体"/>
          <w:b/>
          <w:bCs/>
          <w:color w:val="000000"/>
          <w:sz w:val="22"/>
          <w:szCs w:val="22"/>
        </w:rPr>
      </w:pPr>
      <w:r>
        <w:rPr>
          <w:rFonts w:hint="eastAsia" w:ascii="宋体" w:hAnsi="宋体" w:eastAsia="宋体" w:cs="宋体"/>
          <w:b/>
          <w:bCs/>
          <w:color w:val="000000"/>
          <w:sz w:val="22"/>
          <w:szCs w:val="22"/>
        </w:rPr>
        <w:t>二、采购内容及数量</w:t>
      </w:r>
    </w:p>
    <w:tbl>
      <w:tblPr>
        <w:tblStyle w:val="52"/>
        <w:tblW w:w="95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4"/>
        <w:gridCol w:w="4038"/>
        <w:gridCol w:w="1663"/>
        <w:gridCol w:w="1087"/>
        <w:gridCol w:w="1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4" w:type="dxa"/>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序号</w:t>
            </w:r>
          </w:p>
        </w:tc>
        <w:tc>
          <w:tcPr>
            <w:tcW w:w="4038" w:type="dxa"/>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名称</w:t>
            </w:r>
          </w:p>
        </w:tc>
        <w:tc>
          <w:tcPr>
            <w:tcW w:w="1663" w:type="dxa"/>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计量单位</w:t>
            </w:r>
          </w:p>
        </w:tc>
        <w:tc>
          <w:tcPr>
            <w:tcW w:w="1087" w:type="dxa"/>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数量</w:t>
            </w:r>
          </w:p>
        </w:tc>
        <w:tc>
          <w:tcPr>
            <w:tcW w:w="1861" w:type="dxa"/>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874" w:type="dxa"/>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4038" w:type="dxa"/>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安全设备及网络维保服务</w:t>
            </w:r>
          </w:p>
        </w:tc>
        <w:tc>
          <w:tcPr>
            <w:tcW w:w="1663" w:type="dxa"/>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年</w:t>
            </w:r>
          </w:p>
        </w:tc>
        <w:tc>
          <w:tcPr>
            <w:tcW w:w="1087" w:type="dxa"/>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1861" w:type="dxa"/>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详见设备清单</w:t>
            </w:r>
          </w:p>
        </w:tc>
      </w:tr>
    </w:tbl>
    <w:p>
      <w:pPr>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color w:val="000000"/>
          <w:sz w:val="22"/>
          <w:szCs w:val="22"/>
          <w:u w:val="single"/>
        </w:rPr>
      </w:pPr>
      <w:bookmarkStart w:id="77" w:name="_Toc373327691"/>
      <w:r>
        <w:rPr>
          <w:rFonts w:hint="eastAsia" w:ascii="宋体" w:hAnsi="宋体" w:eastAsia="宋体" w:cs="宋体"/>
          <w:b/>
          <w:bCs/>
          <w:sz w:val="22"/>
          <w:szCs w:val="22"/>
          <w:u w:val="single"/>
        </w:rPr>
        <w:t>▲注：</w:t>
      </w:r>
      <w:r>
        <w:rPr>
          <w:rFonts w:hint="eastAsia" w:ascii="宋体" w:hAnsi="宋体" w:eastAsia="宋体" w:cs="宋体"/>
          <w:b/>
          <w:sz w:val="22"/>
          <w:szCs w:val="22"/>
          <w:u w:val="single"/>
        </w:rPr>
        <w:t>系统维护时间为2023年5月至2024年4月</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eastAsia="宋体" w:cs="宋体"/>
          <w:b/>
          <w:bCs/>
          <w:color w:val="000000"/>
          <w:sz w:val="22"/>
          <w:szCs w:val="22"/>
        </w:rPr>
      </w:pPr>
      <w:r>
        <w:rPr>
          <w:rFonts w:hint="eastAsia" w:ascii="宋体" w:hAnsi="宋体" w:eastAsia="宋体" w:cs="宋体"/>
          <w:b/>
          <w:bCs/>
          <w:color w:val="000000"/>
          <w:sz w:val="22"/>
          <w:szCs w:val="22"/>
        </w:rPr>
        <w:t>三、</w:t>
      </w:r>
      <w:bookmarkEnd w:id="72"/>
      <w:bookmarkEnd w:id="73"/>
      <w:bookmarkEnd w:id="77"/>
      <w:bookmarkStart w:id="78" w:name="_Toc152411296"/>
      <w:bookmarkStart w:id="79" w:name="_Toc185935257"/>
      <w:bookmarkStart w:id="80" w:name="_Toc136355507"/>
      <w:r>
        <w:rPr>
          <w:rFonts w:hint="eastAsia" w:ascii="宋体" w:hAnsi="宋体" w:eastAsia="宋体" w:cs="宋体"/>
          <w:b/>
          <w:bCs/>
          <w:color w:val="000000"/>
          <w:sz w:val="22"/>
          <w:szCs w:val="22"/>
        </w:rPr>
        <w:t>主要服务要求</w:t>
      </w:r>
    </w:p>
    <w:bookmarkEnd w:id="74"/>
    <w:bookmarkEnd w:id="75"/>
    <w:bookmarkEnd w:id="76"/>
    <w:bookmarkEnd w:id="78"/>
    <w:bookmarkEnd w:id="79"/>
    <w:bookmarkEnd w:id="80"/>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1、硬件运维基本服务：</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提供7×24小时的免费技术支持。支持范围包括产品的功能、配置、安装、调试、客户使用中遇到的各种技术问题的一般性咨询，并随时准备处理各种突发事件，提供400或其它热线电话支持服务。一旦被维护设备系统出现了故障，服务方将在接到温州市中医院服务请求的两个小时内向温州市中医院提供具有相关认证的工程技术人员对被维护设备系统进行现场检修。本次报价包含所有设备维修费用及配件更换费用</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bookmarkStart w:id="81" w:name="_Toc72227256"/>
      <w:r>
        <w:rPr>
          <w:rFonts w:hint="eastAsia" w:ascii="宋体" w:hAnsi="宋体" w:eastAsia="宋体" w:cs="宋体"/>
          <w:color w:val="000000"/>
          <w:sz w:val="22"/>
          <w:szCs w:val="22"/>
        </w:rPr>
        <w:t>2、系统软件维护基本内容</w:t>
      </w:r>
      <w:bookmarkEnd w:id="81"/>
      <w:r>
        <w:rPr>
          <w:rFonts w:hint="eastAsia" w:ascii="宋体" w:hAnsi="宋体" w:eastAsia="宋体" w:cs="宋体"/>
          <w:color w:val="000000"/>
          <w:sz w:val="22"/>
          <w:szCs w:val="22"/>
        </w:rPr>
        <w:t>：</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中标人提供对工具类系统,包括备份系统、日志系统、故障维护及性能优化调整。</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（1）故障响应及处理：</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a.对系统性能严重损坏，中标人接到支持需求必须立即做出回应；</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b.对系统运行正常，仅受到有限的影响或未受到严重影响，中标人接到支持需求必须在30分钟内做出回应；</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(2)服务工程师：技术维保工程师应具备上述维保对象的硬件系统、软件系统、管理及操作系统等方面的知识，具备相应的技术资格认证，并有3年以上从业经验；</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(3)产品升级：提供产品升级评估和升级服务。</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3、定期现场巡检服务</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每季度对本次运维设备进行全面检查的服务项目，并提交季度巡检的运维报告，通过该服务可使采购人获得设备运行的第一手资料，最大可能地发现存在的隐患，保障设备稳定运行。同时，有针对性地提出预警及解决建议，能够提早预防，最大限度降低运营风险。</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（1）巡检包括但不限以下内容：</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a.设备硬件情况巡检，定期对各网络安全设备的CPU利用率、内存利用率、磁盘利用率、端口流量、报警信息等关键工作指标进行例行监控，当发生异常情况时，及时进行跟踪和处理；安全设备配置管理、网络系统流量分析、网络及安全设备日志分析、软件升级。</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b.机房安全巡检，利用现有的漏洞扫描设备全网扫描、分析上述系统的安全漏洞，及时发现安全隐患, 备份系统日常维护，状态检查，故障处理等。</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c.设备信息变动情况收集整理、文档更新。</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4、数据安全</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（1）中标人及驻场人员需加强信息安全意识，每季度组织一次应急演练。在重大节假日、重大活动期间，提前进行信息系统安全专项检测，并提交检测报告。当采购人认为必要时，安排技术工程师到现场值守。</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中标人必须签订保密协议，做好相关信息数据保密工作，承担保密责任。不得对外透露与采购人相关的设备、网络和系统信息，不得复制与采购人相关的数据和信息，不得以任何方式和渠道向外界传递、泄露、披露任何信息数据。</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5、安全服务</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信息安全评估改进：根据我医院安全评估详细内容，检查运维过程，补充确实项，已实施项提供对应说明及报告。为我院信息化建设提供信息安全的咨询设计服务，并配合进行可行性研究、方案制定等准备工作；提供安全建设中涉及到的决策、管理及运行操作问题的专业咨询。</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（2）系统集成咨询和设计：检查和评估现有及将来的信息化要求，根据我院要求提出切合实际应用的规划书，并为信息化建设提供建设性建议和报告。</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6、驻场人员要求</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中标人需要派驻1名工程师常驻现场。其办公场所由采购人提供，其他办公设备由中标服务商自行安排。作息时间按采购人信息中心规定执行，节假日如有维护任务不得推脱,在重大事件时需根据采购人安排至少1人值班。</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（2）在服务期间如果派驻人员的力量不足，或派驻人员技术不能解决维护、维修、技术指导等任务时，服务商应当增加技术人员。必须由专门单位维修、维保的，由服务商联系，并承担所有费用。</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（3）中标人应将常驻技术人员的相关材料（包括身份证明、资质证书、从事岗位、个人履历）等报采购人进行审查，合格后方可进驻上岗试用。</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4）中标人需和常驻技术人员签订劳动合同，必须按国家规定为其缴纳社保金（养老、医保、失业等），以及投保人身意外险，在外包服务期内，常驻技术人员发生的事故由中标人自行全权负责，采购人将不负任何责任。</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5）中标人任何更换或调整常驻技术人员的行为应提前征求采购人意见，在征得招标人书面同意后方可更换、调整。若采购人发现常驻技术人员不合格，有权要求更换技术人员，中标人应在收到招标人的书面通知7个日历日内完成技术人员的更换。若未经招标人同意擅自更换、调整常驻技术人员以及对不符合合同要求的常驻技术人员未按采购人书面通知及时更换,调整,采购人有权终止合同。</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6）常驻技术人员要遵守采购人的劳动考勤纪律及其它相关规章制度，接受采购人的工作安排与指导，做好本职工作。如因采购人实际工作需要，中标人常驻技术人员需要在工作日以外的时间加班的，加班费用由中标人承担，采购人不再另行支付。</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7）不论何时，根据有关保密法律法规，以及采购人和上级主管单位、相关政府部门的保密规定，中标人及其员工必须做好相关信息数据保密工作，承担保密责任。未经允许不得对外透露采购人相关的设备、网络及系统的信息，未经允许不得复制与工作相关的数据与信息，不得以任何方式和渠道向外界传递、泄露、披露任何信息数据。</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7、维保技术方案要求：</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中标人应提供详细的维保组织实施技术方案，包括但不限于以下内容：</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（1）中标人技术力量及技术支持手段介绍、人员安排。</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设备维保组织实施计划：包括技术支持与售后服务等，内容完整，描述清晰具体，包括技术交流、规划咨询服务、定期巡检及巡检报告、技术知识库并及时更新、软硬件升级策略及流程、设备保修方案及流程、提交质量运行报告。</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（3）故障处理分析及预防和应急措施。</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（4）现场服务、技术故障解决时间、设备故障解决时间承诺。</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（5）就近的服务网点及备件库介绍，备品备件（包括备机提供）方案。</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（6）培训计划：包括详细的培训计划、培训内容、培训师资及培训管理措施等。</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（7）其他投标人认为需要说明的内容。</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8、其它要求：</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1、投标人应具有长期本地化服务提供能力。</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2、项目负责人应有类似项目技术服务履历，具备相应的技术资格认证，并有3年以上从业经验。</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w:t>
      </w:r>
      <w:r>
        <w:rPr>
          <w:rFonts w:hint="eastAsia" w:ascii="宋体" w:hAnsi="宋体" w:eastAsia="宋体" w:cs="宋体"/>
          <w:sz w:val="22"/>
          <w:szCs w:val="22"/>
        </w:rPr>
        <w:t>服务续签：</w:t>
      </w:r>
      <w:r>
        <w:rPr>
          <w:rFonts w:hint="eastAsia" w:ascii="宋体" w:hAnsi="宋体" w:eastAsia="宋体" w:cs="宋体"/>
          <w:color w:val="000000"/>
          <w:sz w:val="22"/>
          <w:szCs w:val="22"/>
        </w:rPr>
        <w:t>如果供应商的维保服务质量使采购人满意，且达到合同规定的各项要求，在维保期满后，无特殊情况可以续约，但续约合同必须一年一签，续约最多不能超过二年。续签合同时，项目内容和资金预算应符合政府采购预算安排要求，并及时申报政府采购计划。</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四、设备清单及要求</w:t>
      </w:r>
    </w:p>
    <w:tbl>
      <w:tblPr>
        <w:tblStyle w:val="52"/>
        <w:tblW w:w="51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22"/>
        <w:gridCol w:w="4542"/>
        <w:gridCol w:w="2438"/>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5000" w:type="pct"/>
            <w:gridSpan w:val="4"/>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温州市中医院安全设备及网络维保</w:t>
            </w:r>
            <w:r>
              <w:rPr>
                <w:rFonts w:hint="eastAsia" w:ascii="宋体" w:hAnsi="宋体" w:eastAsia="宋体" w:cs="宋体"/>
                <w:i w:val="0"/>
                <w:iCs w:val="0"/>
                <w:color w:val="000000"/>
                <w:kern w:val="0"/>
                <w:sz w:val="22"/>
                <w:szCs w:val="22"/>
                <w:u w:val="none"/>
                <w:lang w:val="en-US" w:eastAsia="zh-Hans" w:bidi="ar"/>
              </w:rPr>
              <w:t>硬件</w:t>
            </w:r>
            <w:r>
              <w:rPr>
                <w:rFonts w:hint="eastAsia" w:ascii="宋体" w:hAnsi="宋体" w:eastAsia="宋体" w:cs="宋体"/>
                <w:i w:val="0"/>
                <w:iCs w:val="0"/>
                <w:color w:val="000000"/>
                <w:kern w:val="0"/>
                <w:sz w:val="22"/>
                <w:szCs w:val="22"/>
                <w:u w:val="none"/>
                <w:lang w:val="en-US" w:eastAsia="zh-CN" w:bidi="ar"/>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维保事项</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放置地址</w:t>
            </w:r>
          </w:p>
        </w:tc>
        <w:tc>
          <w:tcPr>
            <w:tcW w:w="40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5000" w:type="pct"/>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一、安全设备部分（原厂支持服务）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深信服AF-4020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支持原厂一年URL规则库、安全规则库等升级服务，原厂一年软件版本升级服务，原厂一年硬件质保服务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六虹桥机房16机柜 24-25U</w:t>
            </w:r>
          </w:p>
        </w:tc>
        <w:tc>
          <w:tcPr>
            <w:tcW w:w="40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深信服AF-4020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支持原厂一年URL规则库、安全规则库等升级服务，原厂一年软件版本升级服务，原厂一年硬件质保服务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六虹桥机房16机柜 27-28U</w:t>
            </w:r>
          </w:p>
        </w:tc>
        <w:tc>
          <w:tcPr>
            <w:tcW w:w="40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 VPN2150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支持原厂一年硬件维保、软件升级、原厂人员上门、远程支持服务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六虹桥机房16机柜 35U</w:t>
            </w:r>
          </w:p>
        </w:tc>
        <w:tc>
          <w:tcPr>
            <w:tcW w:w="40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深信服AC-1000 E440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支持原厂一年硬件维保、软件升级、原厂人员上门、远程支持服务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六虹桥机房11机柜 6-7U</w:t>
            </w:r>
          </w:p>
        </w:tc>
        <w:tc>
          <w:tcPr>
            <w:tcW w:w="40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天融信 NU-41428</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IDP特征库、WEB过滤库、专业版快速扫描查杀防病毒库、应用识别特征库1年原厂升级服务许可</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六虹桥机房14机柜 29U</w:t>
            </w:r>
          </w:p>
        </w:tc>
        <w:tc>
          <w:tcPr>
            <w:tcW w:w="40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迪普DPX8000-A5</w:t>
            </w:r>
          </w:p>
        </w:tc>
        <w:tc>
          <w:tcPr>
            <w:tcW w:w="22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支持原厂一年硬件维保、软件升级、原厂人员上门、远程支持服务</w:t>
            </w:r>
          </w:p>
        </w:tc>
        <w:tc>
          <w:tcPr>
            <w:tcW w:w="120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六虹桥机房12机柜 6-12U</w:t>
            </w:r>
          </w:p>
        </w:tc>
        <w:tc>
          <w:tcPr>
            <w:tcW w:w="40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深信服AF-1500-E420-WAF</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支持原厂一年硬件维保、软件升级、原厂人员上门、远程支持服务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景山机房10机柜 16U</w:t>
            </w:r>
          </w:p>
        </w:tc>
        <w:tc>
          <w:tcPr>
            <w:tcW w:w="40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 AF-2000 H644</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支持原厂一年URL规则库、安全规则库等升级服务，原厂一年软件版本升级服务，原厂一年硬件质保服务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景山机房08机柜 16-17U</w:t>
            </w:r>
          </w:p>
        </w:tc>
        <w:tc>
          <w:tcPr>
            <w:tcW w:w="40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深信服AF-2000 H644</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支持原厂一年URL规则库、安全规则库等升级服务，原厂一年软件版本升级服务，原厂一年硬件质保服务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景山机房08机柜 13-14U</w:t>
            </w:r>
          </w:p>
        </w:tc>
        <w:tc>
          <w:tcPr>
            <w:tcW w:w="40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天融信 NU-41428</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IDP特征库、WEB过滤库、专业版快速扫描查杀防病毒库、应用识别特征库1年原厂升级服务许可</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景山机房10机柜38U</w:t>
            </w:r>
          </w:p>
        </w:tc>
        <w:tc>
          <w:tcPr>
            <w:tcW w:w="40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盈高ASM6503</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支持原厂一年硬件维保、软件升级、原厂人员上门、远程支持服务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六虹桥机房15机柜24U</w:t>
            </w:r>
          </w:p>
        </w:tc>
        <w:tc>
          <w:tcPr>
            <w:tcW w:w="40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盈高IMC2307</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支持原厂一年硬件维保、软件升级、原厂人员上门、远程支持服务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六虹桥机房15机柜 26U</w:t>
            </w:r>
          </w:p>
        </w:tc>
        <w:tc>
          <w:tcPr>
            <w:tcW w:w="40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盈高MSEP1500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支持原厂一年硬件维保、软件升级、原厂人员上门、远程支持服务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Style w:val="334"/>
                <w:rFonts w:hint="eastAsia" w:ascii="宋体" w:hAnsi="宋体" w:eastAsia="宋体" w:cs="宋体"/>
                <w:sz w:val="22"/>
                <w:szCs w:val="22"/>
                <w:lang w:val="en-US" w:eastAsia="zh-CN" w:bidi="ar"/>
              </w:rPr>
              <w:t>六虹桥机房15机柜  27U</w:t>
            </w:r>
          </w:p>
        </w:tc>
        <w:tc>
          <w:tcPr>
            <w:tcW w:w="40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盈高ASM6307</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支持原厂一年硬件维保、软件升级、原厂人员上门、远程支持服务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w:t>
            </w:r>
          </w:p>
        </w:tc>
        <w:tc>
          <w:tcPr>
            <w:tcW w:w="40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思福迪LogBase-B1600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支持原厂一年硬件维保、软件升级、原厂人员上门、远程支持服务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六虹桥机房11机柜 15U</w:t>
            </w:r>
          </w:p>
        </w:tc>
        <w:tc>
          <w:tcPr>
            <w:tcW w:w="40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金电网安网闸FerryWayV2.0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原厂一年软件版本升级服务，原厂一年硬件质保服务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六虹桥机房13机柜 26-29U</w:t>
            </w:r>
          </w:p>
        </w:tc>
        <w:tc>
          <w:tcPr>
            <w:tcW w:w="40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5000" w:type="pct"/>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二、网络设备部分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华为CE12808</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双引擎+24口万兆光口板卡+48口千兆光口板卡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六虹桥机房16机柜 06-22U</w:t>
            </w:r>
          </w:p>
        </w:tc>
        <w:tc>
          <w:tcPr>
            <w:tcW w:w="400" w:type="pct"/>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整机及配件保修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华为CE12808</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双引擎+24口万兆光口板卡+48口千兆光口板卡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六虹桥机房15机柜 06-22U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WX5540H</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六虹桥机房15机柜 29-30U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WX5540H</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六虹桥机房16机柜 30-31U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WX5510E</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10口千兆光口</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六虹桥机房15机柜 32U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WX5510E</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10口千兆光口</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六虹桥机房16机柜 33U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F1000 AK1120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六虹桥机房4机柜 33U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华为S6720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六虹桥机房5机柜 41U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华为S6720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六虹桥机房6机柜 41U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华为5700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24电口+4光口</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六虹桥机房13机柜 33U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5100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六虹桥机房12机柜 16U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华为5810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48电口+4光口</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六虹桥机房13机柜 23U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华为5810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48电口+4光口</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六虹桥机房14机柜 23U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华为S7712</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双引擎+48口电</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六虹桥机房13机柜 06-20U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华为S7712</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含板卡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六虹桥机房14机柜 06-20U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 5855</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六虹桥机房15机柜 34U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MSR 36-20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六虹桥机房04机柜29U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CITRIX NETSCALER（NSMPX-8200）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6电口+6光口</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六虹桥机房14机柜28U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华为AR2220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六虹桥机房04机柜06U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华为AR2220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六虹桥机房04机柜04U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Style w:val="334"/>
                <w:rFonts w:hint="eastAsia" w:ascii="宋体" w:hAnsi="宋体" w:eastAsia="宋体" w:cs="宋体"/>
                <w:sz w:val="22"/>
                <w:szCs w:val="22"/>
                <w:lang w:val="en-US" w:eastAsia="zh-CN" w:bidi="ar"/>
              </w:rPr>
              <w:t>H3C  5560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8电口+28光口</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六虹桥机房13机柜22U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迪普行为管理DPtech UAG3000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8口千兆</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景山机房10机柜26U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S5110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景山机房07机柜 31U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华为5810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48+4口千兆</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景山机房07机柜 26U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华为5810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48+4口千兆</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景山机房07机柜 24U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D-link DES-1016A</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景山机房10机柜 35U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 S6720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景山机房15机柜 34U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 S6720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景山机房15机柜 36U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华为CE12808</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双引擎+24口万兆板卡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景山机房16机柜 06-22U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华为CE12808</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双引擎+24口万兆板卡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景山机房17机柜 06-22U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CITRIX NETSCALER（NSMPX-8200）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6电口+6光口</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景山机房09机柜19U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S7003X</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景山机房7机柜</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S7003X</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景山机房7机柜</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小贝无线控制器</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景山机房7机柜</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华为S7706</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景山机房8机柜</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华为S7706</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景山机房9机柜</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Hillstone 防火墙</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六虹桥机房11机柜</w:t>
            </w:r>
          </w:p>
        </w:tc>
        <w:tc>
          <w:tcPr>
            <w:tcW w:w="400" w:type="pct"/>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原厂质保期内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Hillstone 防火墙</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景山机房10机柜 22U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深信服AD-1000</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六虹桥机房11机柜</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深信服AD-1000</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景山机房8机柜8U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深信服网闸</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景山机房8机柜10-11U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深信服AC全网行为管理</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六虹桥机房11机柜</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美创数据库防火墙 DF-G3020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景山机房8机柜 19-20U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美创数据库防火墙DF-G3020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六虹桥机房16机柜 40-41U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美创防水坝</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六虹桥机房16机柜 37-38U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安华金和数据库安全审计</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六虹桥机房1机柜 21-22U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安华金和数据脱敏DDMS-B2000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六虹桥机房11机柜 17-18U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Style w:val="334"/>
                <w:rFonts w:hint="eastAsia" w:ascii="宋体" w:hAnsi="宋体" w:eastAsia="宋体" w:cs="宋体"/>
                <w:sz w:val="22"/>
                <w:szCs w:val="22"/>
                <w:lang w:val="en-US" w:eastAsia="zh-CN" w:bidi="ar"/>
              </w:rPr>
              <w:t>Hillstone SG-6000-M6115</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景山机房10机柜 22U</w:t>
            </w:r>
          </w:p>
        </w:tc>
        <w:tc>
          <w:tcPr>
            <w:tcW w:w="400" w:type="pct"/>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整机及配件保修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5560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二期2楼机房</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思科 Cisco 3520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门诊1F弱电间</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5110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6楼信息科</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5110 POE</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40台</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S3100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170台</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S5120 POE</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18台</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5130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3台</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S5130S-52S-EI</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30台</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5130-POE</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6台</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WT1024-X</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23台；提供10台H3C WTU430H-IOT终结者单元到医院作为日常使用。</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思科C2960S-48TS</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8台</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00" w:type="pct"/>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三、专人驻场服务部分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14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1人驻场及团队保障服务</w:t>
            </w:r>
          </w:p>
        </w:tc>
        <w:tc>
          <w:tcPr>
            <w:tcW w:w="22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场技术人员需具备相关运维经验，利用索思STIL服务标准提供服务；保障团队必须至少5位人员的项目组，组员需有项目负责人、技术负责人及相关专业技术人员，其中需包含但不限于主机工程师、存储工程师、网络工程师、数据库工程师、虚拟化工程师并且具有H3CIE认证、H3CIE-WLAN认证、OCM、RHCA认证等证书</w:t>
            </w:r>
          </w:p>
        </w:tc>
        <w:tc>
          <w:tcPr>
            <w:tcW w:w="120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bl>
    <w:p>
      <w:pPr>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b/>
          <w:bCs/>
          <w:sz w:val="22"/>
          <w:szCs w:val="22"/>
          <w:u w:val="single"/>
        </w:rPr>
      </w:pPr>
      <w:r>
        <w:rPr>
          <w:rFonts w:hint="eastAsia" w:ascii="宋体" w:hAnsi="宋体" w:eastAsia="宋体" w:cs="宋体"/>
          <w:b/>
          <w:bCs/>
          <w:sz w:val="22"/>
          <w:szCs w:val="22"/>
          <w:u w:val="single"/>
        </w:rPr>
        <w:t>▲注：本次招标属于交钥匙项目服务，招标人的数据中心机房和医院接入交换机、无线网络及安全设备不局限于上述表格中所列的内容，投标人可组织现场勘查，了解招标人机房中的设备情况。本项目中部分重要设备故障响应和售后服务均以设备原厂服务标准执行，标段中要求原厂质保服务的在中标后需提供原厂售后服务授权。</w:t>
      </w:r>
    </w:p>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sz w:val="22"/>
        </w:rPr>
      </w:pP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Pr>
        <w:keepNext w:val="0"/>
        <w:keepLines w:val="0"/>
        <w:pageBreakBefore w:val="0"/>
        <w:widowControl w:val="0"/>
        <w:numPr>
          <w:ilvl w:val="0"/>
          <w:numId w:val="6"/>
        </w:numPr>
        <w:kinsoku/>
        <w:wordWrap/>
        <w:overflowPunct/>
        <w:topLinePunct w:val="0"/>
        <w:bidi w:val="0"/>
        <w:spacing w:line="460" w:lineRule="exact"/>
        <w:textAlignment w:val="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keepNext/>
        <w:keepLines/>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rPr>
      </w:pPr>
    </w:p>
    <w:p>
      <w:pPr>
        <w:pStyle w:val="4"/>
        <w:bidi w:val="0"/>
        <w:rPr>
          <w:rFonts w:hint="eastAsia" w:ascii="宋体" w:hAnsi="宋体" w:eastAsia="宋体" w:cs="宋体"/>
        </w:rPr>
      </w:pPr>
      <w:bookmarkStart w:id="82" w:name="_Toc18194"/>
      <w:bookmarkStart w:id="83" w:name="_Toc30323"/>
      <w:r>
        <w:rPr>
          <w:rFonts w:hint="eastAsia" w:ascii="宋体" w:hAnsi="宋体" w:eastAsia="宋体" w:cs="宋体"/>
        </w:rPr>
        <w:t>第五部分   评标原则及方法</w:t>
      </w:r>
      <w:bookmarkEnd w:id="82"/>
      <w:bookmarkEnd w:id="83"/>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4" w:name="_Toc15713"/>
      <w:bookmarkStart w:id="85" w:name="_Toc4407"/>
      <w:r>
        <w:rPr>
          <w:rFonts w:hint="eastAsia" w:ascii="宋体" w:hAnsi="宋体" w:eastAsia="宋体" w:cs="宋体"/>
          <w:b/>
          <w:color w:val="auto"/>
          <w:sz w:val="22"/>
          <w:szCs w:val="22"/>
          <w:highlight w:val="none"/>
        </w:rPr>
        <w:t>一、总 则</w:t>
      </w:r>
      <w:bookmarkEnd w:id="84"/>
      <w:bookmarkEnd w:id="85"/>
    </w:p>
    <w:p>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6" w:name="_Toc23152"/>
      <w:bookmarkStart w:id="87" w:name="_Toc24468"/>
      <w:r>
        <w:rPr>
          <w:rFonts w:hint="eastAsia" w:ascii="宋体" w:hAnsi="宋体" w:eastAsia="宋体" w:cs="宋体"/>
          <w:b/>
          <w:color w:val="auto"/>
          <w:sz w:val="22"/>
          <w:szCs w:val="22"/>
          <w:highlight w:val="none"/>
        </w:rPr>
        <w:t>二、评标组织</w:t>
      </w:r>
      <w:bookmarkEnd w:id="86"/>
      <w:bookmarkEnd w:id="8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8" w:name="_Toc15153"/>
      <w:bookmarkStart w:id="89" w:name="_Toc67"/>
      <w:r>
        <w:rPr>
          <w:rFonts w:hint="eastAsia" w:ascii="宋体" w:hAnsi="宋体" w:eastAsia="宋体" w:cs="宋体"/>
          <w:b/>
          <w:color w:val="auto"/>
          <w:sz w:val="22"/>
          <w:szCs w:val="22"/>
          <w:highlight w:val="none"/>
        </w:rPr>
        <w:t>三、评标程序</w:t>
      </w:r>
      <w:bookmarkEnd w:id="88"/>
      <w:bookmarkEnd w:id="89"/>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非单一产品采购项目，应当根据采购项目技术构成、产品价格比重等合理确定核心产品。多家投标人提供的核心产品品牌相同的，按前款规定处理。</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90" w:name="_Toc11306"/>
      <w:bookmarkStart w:id="91" w:name="_Toc24825"/>
      <w:r>
        <w:rPr>
          <w:rFonts w:hint="eastAsia" w:ascii="宋体" w:hAnsi="宋体" w:eastAsia="宋体" w:cs="宋体"/>
          <w:b/>
          <w:color w:val="auto"/>
          <w:sz w:val="22"/>
          <w:szCs w:val="22"/>
          <w:highlight w:val="none"/>
        </w:rPr>
        <w:t>四、评标办法</w:t>
      </w:r>
      <w:bookmarkEnd w:id="90"/>
      <w:bookmarkEnd w:id="91"/>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总分设定为100分：技术标70分（权值70%），商务标（报价）30分（权值30%）。</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92" w:name="_Toc1535"/>
      <w:bookmarkStart w:id="93" w:name="_Toc11450"/>
      <w:r>
        <w:rPr>
          <w:rFonts w:hint="eastAsia" w:ascii="宋体" w:hAnsi="宋体" w:eastAsia="宋体" w:cs="宋体"/>
          <w:b/>
          <w:color w:val="auto"/>
          <w:sz w:val="22"/>
          <w:szCs w:val="22"/>
          <w:highlight w:val="none"/>
        </w:rPr>
        <w:t>评分细则</w:t>
      </w:r>
      <w:bookmarkEnd w:id="92"/>
      <w:bookmarkEnd w:id="93"/>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1、技术分的评定：技术标70分（权值70%）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2"/>
        <w:tblW w:w="9763"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85"/>
        <w:gridCol w:w="655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序号</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评分内容</w:t>
            </w: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评分标准说明</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lang w:eastAsia="zh-CN"/>
              </w:rPr>
            </w:pPr>
            <w:r>
              <w:rPr>
                <w:rFonts w:hint="eastAsia" w:ascii="宋体" w:hAnsi="宋体" w:cs="宋体"/>
                <w:sz w:val="22"/>
                <w:szCs w:val="22"/>
                <w:lang w:eastAsia="zh-CN"/>
              </w:rPr>
              <w:t>投标人</w:t>
            </w:r>
            <w:r>
              <w:rPr>
                <w:rFonts w:hint="eastAsia" w:ascii="宋体" w:hAnsi="宋体" w:eastAsia="宋体" w:cs="宋体"/>
                <w:sz w:val="22"/>
                <w:szCs w:val="22"/>
              </w:rPr>
              <w:t>综合</w:t>
            </w:r>
            <w:r>
              <w:rPr>
                <w:rFonts w:hint="eastAsia" w:ascii="宋体" w:hAnsi="宋体" w:cs="宋体"/>
                <w:sz w:val="22"/>
                <w:szCs w:val="22"/>
                <w:lang w:val="en-US" w:eastAsia="zh-CN"/>
              </w:rPr>
              <w:t>情况</w:t>
            </w: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根据</w:t>
            </w:r>
            <w:r>
              <w:rPr>
                <w:rFonts w:hint="eastAsia" w:ascii="宋体" w:hAnsi="宋体" w:cs="宋体"/>
                <w:sz w:val="22"/>
                <w:szCs w:val="22"/>
                <w:lang w:eastAsia="zh-CN"/>
              </w:rPr>
              <w:t>投标人</w:t>
            </w:r>
            <w:r>
              <w:rPr>
                <w:rFonts w:hint="eastAsia" w:ascii="宋体" w:hAnsi="宋体" w:eastAsia="宋体" w:cs="宋体"/>
                <w:sz w:val="22"/>
                <w:szCs w:val="22"/>
              </w:rPr>
              <w:t>企业</w:t>
            </w:r>
            <w:r>
              <w:rPr>
                <w:rFonts w:hint="eastAsia" w:ascii="宋体" w:hAnsi="宋体" w:cs="宋体"/>
                <w:sz w:val="22"/>
                <w:szCs w:val="22"/>
                <w:lang w:val="en-US" w:eastAsia="zh-CN"/>
              </w:rPr>
              <w:t>情况、</w:t>
            </w:r>
            <w:r>
              <w:rPr>
                <w:rFonts w:hint="eastAsia" w:ascii="宋体" w:hAnsi="宋体" w:eastAsia="宋体" w:cs="宋体"/>
                <w:sz w:val="22"/>
                <w:szCs w:val="22"/>
              </w:rPr>
              <w:t>服务能力</w:t>
            </w:r>
            <w:r>
              <w:rPr>
                <w:rFonts w:hint="eastAsia" w:ascii="宋体" w:hAnsi="宋体" w:cs="宋体"/>
                <w:sz w:val="22"/>
                <w:szCs w:val="22"/>
                <w:lang w:val="en-US" w:eastAsia="zh-CN"/>
              </w:rPr>
              <w:t>等进行综合</w:t>
            </w:r>
            <w:r>
              <w:rPr>
                <w:rFonts w:hint="eastAsia" w:ascii="宋体" w:hAnsi="宋体" w:eastAsia="宋体" w:cs="宋体"/>
                <w:sz w:val="22"/>
                <w:szCs w:val="22"/>
              </w:rPr>
              <w:t>比较</w:t>
            </w:r>
            <w:r>
              <w:rPr>
                <w:rFonts w:hint="eastAsia" w:ascii="宋体" w:hAnsi="宋体" w:cs="宋体"/>
                <w:sz w:val="22"/>
                <w:szCs w:val="22"/>
                <w:lang w:val="en-US" w:eastAsia="zh-CN"/>
              </w:rPr>
              <w:t>打分（</w:t>
            </w:r>
            <w:r>
              <w:rPr>
                <w:rFonts w:hint="eastAsia" w:ascii="宋体" w:hAnsi="宋体" w:eastAsia="宋体" w:cs="宋体"/>
                <w:sz w:val="22"/>
                <w:szCs w:val="22"/>
              </w:rPr>
              <w:t>0-</w:t>
            </w:r>
            <w:r>
              <w:rPr>
                <w:rFonts w:hint="eastAsia" w:ascii="宋体" w:hAnsi="宋体" w:cs="宋体"/>
                <w:sz w:val="22"/>
                <w:szCs w:val="22"/>
                <w:lang w:val="en-US" w:eastAsia="zh-CN"/>
              </w:rPr>
              <w:t>5</w:t>
            </w:r>
            <w:r>
              <w:rPr>
                <w:rFonts w:hint="eastAsia" w:ascii="宋体" w:hAnsi="宋体" w:eastAsia="宋体" w:cs="宋体"/>
                <w:sz w:val="22"/>
                <w:szCs w:val="22"/>
              </w:rPr>
              <w:t>分</w:t>
            </w:r>
            <w:r>
              <w:rPr>
                <w:rFonts w:hint="eastAsia" w:ascii="宋体" w:hAnsi="宋体" w:cs="宋体"/>
                <w:sz w:val="22"/>
                <w:szCs w:val="22"/>
                <w:lang w:val="en-US" w:eastAsia="zh-CN"/>
              </w:rPr>
              <w:t>）；</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5</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numPr>
                <w:ilvl w:val="0"/>
                <w:numId w:val="8"/>
              </w:numPr>
              <w:spacing w:line="460" w:lineRule="exact"/>
              <w:rPr>
                <w:rFonts w:hint="eastAsia" w:ascii="宋体" w:hAnsi="宋体" w:cs="宋体"/>
                <w:sz w:val="22"/>
                <w:szCs w:val="22"/>
                <w:lang w:eastAsia="zh-CN"/>
              </w:rPr>
            </w:pPr>
            <w:r>
              <w:rPr>
                <w:rFonts w:hint="eastAsia" w:ascii="宋体" w:hAnsi="宋体" w:cs="宋体"/>
                <w:sz w:val="22"/>
                <w:szCs w:val="22"/>
              </w:rPr>
              <w:t>具有ISO20000 IT服务管理体系认证证书得2分</w:t>
            </w:r>
            <w:r>
              <w:rPr>
                <w:rFonts w:hint="eastAsia" w:ascii="宋体" w:hAnsi="宋体" w:cs="宋体"/>
                <w:sz w:val="22"/>
                <w:szCs w:val="22"/>
                <w:lang w:eastAsia="zh-CN"/>
              </w:rPr>
              <w:t>；</w:t>
            </w:r>
          </w:p>
          <w:p>
            <w:pPr>
              <w:keepNext w:val="0"/>
              <w:numPr>
                <w:ilvl w:val="-1"/>
                <w:numId w:val="0"/>
              </w:numPr>
              <w:spacing w:line="460" w:lineRule="exact"/>
              <w:rPr>
                <w:rFonts w:hint="eastAsia" w:ascii="宋体" w:hAnsi="宋体" w:cs="宋体"/>
                <w:sz w:val="22"/>
                <w:szCs w:val="22"/>
              </w:rPr>
            </w:pPr>
            <w:r>
              <w:rPr>
                <w:rFonts w:hint="eastAsia" w:ascii="宋体" w:hAnsi="宋体" w:cs="宋体"/>
                <w:sz w:val="22"/>
                <w:szCs w:val="22"/>
                <w:lang w:val="en-US" w:eastAsia="zh-CN"/>
              </w:rPr>
              <w:t>2、</w:t>
            </w:r>
            <w:r>
              <w:rPr>
                <w:rFonts w:hint="eastAsia" w:ascii="宋体" w:hAnsi="宋体" w:cs="宋体"/>
                <w:sz w:val="22"/>
                <w:szCs w:val="22"/>
              </w:rPr>
              <w:t>具有ISO27001信息安全管理体系认证证书得2分；</w:t>
            </w:r>
          </w:p>
          <w:p>
            <w:pPr>
              <w:keepNext w:val="0"/>
              <w:spacing w:line="460" w:lineRule="exact"/>
              <w:rPr>
                <w:rFonts w:hint="eastAsia" w:ascii="宋体" w:hAnsi="宋体" w:cs="宋体"/>
                <w:sz w:val="22"/>
                <w:szCs w:val="22"/>
                <w:lang w:eastAsia="zh-CN"/>
              </w:rPr>
            </w:pPr>
            <w:r>
              <w:rPr>
                <w:rFonts w:hint="eastAsia" w:ascii="宋体" w:hAnsi="宋体" w:cs="宋体"/>
                <w:sz w:val="22"/>
                <w:szCs w:val="22"/>
                <w:lang w:val="en-US" w:eastAsia="zh-CN"/>
              </w:rPr>
              <w:t>3、</w:t>
            </w:r>
            <w:r>
              <w:rPr>
                <w:rFonts w:hint="eastAsia" w:ascii="宋体" w:hAnsi="宋体" w:cs="宋体"/>
                <w:sz w:val="22"/>
                <w:szCs w:val="22"/>
              </w:rPr>
              <w:t>具有具有CMMI5证书的得3分；CMMI4证书的得2分；CMMI3证书的得1分</w:t>
            </w:r>
            <w:r>
              <w:rPr>
                <w:rFonts w:hint="eastAsia" w:ascii="宋体" w:hAnsi="宋体" w:cs="宋体"/>
                <w:sz w:val="22"/>
                <w:szCs w:val="22"/>
                <w:lang w:eastAsia="zh-CN"/>
              </w:rPr>
              <w:t>；</w:t>
            </w:r>
          </w:p>
          <w:p>
            <w:pPr>
              <w:keepNext w:val="0"/>
              <w:spacing w:line="460" w:lineRule="exact"/>
              <w:rPr>
                <w:rFonts w:hint="eastAsia" w:ascii="宋体" w:hAnsi="宋体" w:eastAsia="宋体" w:cs="宋体"/>
                <w:sz w:val="22"/>
                <w:szCs w:val="22"/>
              </w:rPr>
            </w:pPr>
            <w:r>
              <w:rPr>
                <w:rFonts w:hint="eastAsia" w:ascii="宋体" w:hAnsi="宋体" w:cs="宋体"/>
                <w:sz w:val="22"/>
                <w:szCs w:val="22"/>
                <w:lang w:val="en-US" w:eastAsia="zh-CN"/>
              </w:rPr>
              <w:t>4、</w:t>
            </w:r>
            <w:r>
              <w:rPr>
                <w:rFonts w:hint="eastAsia" w:ascii="宋体" w:hAnsi="宋体" w:eastAsia="宋体" w:cs="宋体"/>
                <w:sz w:val="22"/>
                <w:szCs w:val="22"/>
              </w:rPr>
              <w:t>具有国家高新企业证书的可得2分。</w:t>
            </w:r>
          </w:p>
          <w:p>
            <w:pPr>
              <w:keepNext w:val="0"/>
              <w:spacing w:line="460" w:lineRule="exact"/>
              <w:rPr>
                <w:rFonts w:hint="eastAsia" w:eastAsia="宋体"/>
                <w:lang w:eastAsia="zh-CN"/>
              </w:rPr>
            </w:pPr>
            <w:r>
              <w:rPr>
                <w:rFonts w:hint="eastAsia" w:ascii="宋体" w:hAnsi="宋体" w:cs="宋体"/>
                <w:sz w:val="22"/>
                <w:szCs w:val="22"/>
                <w:lang w:val="en-US" w:eastAsia="zh-CN"/>
              </w:rPr>
              <w:t>注：</w:t>
            </w:r>
            <w:r>
              <w:rPr>
                <w:rFonts w:hint="eastAsia" w:ascii="宋体" w:hAnsi="宋体" w:eastAsia="宋体" w:cs="宋体"/>
                <w:sz w:val="22"/>
                <w:szCs w:val="22"/>
              </w:rPr>
              <w:t>需提供证书复印件</w:t>
            </w:r>
            <w:r>
              <w:rPr>
                <w:rFonts w:hint="eastAsia" w:ascii="宋体" w:hAnsi="宋体" w:cs="宋体"/>
                <w:sz w:val="22"/>
                <w:szCs w:val="22"/>
                <w:lang w:eastAsia="zh-CN"/>
              </w:rPr>
              <w:t>。</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9</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cs="宋体"/>
                <w:sz w:val="22"/>
                <w:szCs w:val="22"/>
                <w:lang w:eastAsia="zh-CN"/>
              </w:rPr>
              <w:t>投标人</w:t>
            </w:r>
            <w:r>
              <w:rPr>
                <w:rFonts w:hint="eastAsia" w:ascii="宋体" w:hAnsi="宋体" w:eastAsia="宋体" w:cs="宋体"/>
                <w:sz w:val="22"/>
                <w:szCs w:val="22"/>
              </w:rPr>
              <w:t>针对本项目服务人员情况</w:t>
            </w: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color w:val="000000"/>
                <w:sz w:val="22"/>
                <w:szCs w:val="22"/>
              </w:rPr>
              <w:t>项目负责人</w:t>
            </w:r>
            <w:r>
              <w:rPr>
                <w:rFonts w:hint="default" w:ascii="宋体" w:hAnsi="宋体" w:eastAsia="宋体" w:cs="宋体"/>
                <w:color w:val="000000"/>
                <w:sz w:val="22"/>
                <w:szCs w:val="22"/>
                <w:lang w:val="en-US"/>
              </w:rPr>
              <w:t>能提供</w:t>
            </w:r>
            <w:r>
              <w:rPr>
                <w:rFonts w:hint="eastAsia" w:ascii="宋体" w:hAnsi="宋体" w:cs="宋体"/>
                <w:color w:val="000000"/>
                <w:sz w:val="22"/>
                <w:szCs w:val="22"/>
                <w:lang w:val="en-US" w:eastAsia="zh-CN"/>
              </w:rPr>
              <w:t>：</w:t>
            </w:r>
            <w:r>
              <w:rPr>
                <w:rFonts w:hint="eastAsia" w:ascii="宋体" w:hAnsi="宋体" w:eastAsia="宋体" w:cs="宋体"/>
                <w:color w:val="000000"/>
                <w:sz w:val="22"/>
                <w:szCs w:val="22"/>
              </w:rPr>
              <w:t>信息系统项目管理师认证</w:t>
            </w:r>
            <w:r>
              <w:rPr>
                <w:rFonts w:hint="eastAsia" w:ascii="宋体" w:hAnsi="宋体" w:cs="宋体"/>
                <w:color w:val="000000"/>
                <w:sz w:val="22"/>
                <w:szCs w:val="22"/>
                <w:lang w:eastAsia="zh-CN"/>
              </w:rPr>
              <w:t>、</w:t>
            </w:r>
            <w:r>
              <w:rPr>
                <w:rFonts w:hint="eastAsia" w:ascii="宋体" w:hAnsi="宋体" w:eastAsia="宋体" w:cs="宋体"/>
                <w:color w:val="000000"/>
                <w:sz w:val="22"/>
                <w:szCs w:val="22"/>
              </w:rPr>
              <w:t>oracle OCP认证</w:t>
            </w:r>
            <w:r>
              <w:rPr>
                <w:rFonts w:hint="eastAsia" w:ascii="宋体" w:hAnsi="宋体" w:cs="宋体"/>
                <w:color w:val="000000"/>
                <w:sz w:val="22"/>
                <w:szCs w:val="22"/>
                <w:lang w:eastAsia="zh-CN"/>
              </w:rPr>
              <w:t>、</w:t>
            </w:r>
            <w:r>
              <w:rPr>
                <w:rFonts w:hint="eastAsia" w:ascii="宋体" w:hAnsi="宋体" w:eastAsia="宋体" w:cs="宋体"/>
                <w:color w:val="000000"/>
                <w:sz w:val="22"/>
                <w:szCs w:val="22"/>
              </w:rPr>
              <w:t>中国信息安全测评中心认证的CISP工程师认证，</w:t>
            </w:r>
            <w:r>
              <w:rPr>
                <w:rFonts w:hint="eastAsia" w:ascii="宋体" w:hAnsi="宋体" w:eastAsia="宋体" w:cs="宋体"/>
                <w:color w:val="000000"/>
                <w:sz w:val="22"/>
                <w:szCs w:val="22"/>
                <w:lang w:val="en-US" w:eastAsia="zh-CN"/>
              </w:rPr>
              <w:t>每提供一个得1分，三个认证同时全部提供</w:t>
            </w:r>
            <w:r>
              <w:rPr>
                <w:rFonts w:hint="eastAsia" w:ascii="宋体" w:hAnsi="宋体" w:eastAsia="宋体" w:cs="宋体"/>
                <w:color w:val="000000"/>
                <w:sz w:val="22"/>
                <w:szCs w:val="22"/>
              </w:rPr>
              <w:t>得</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拥有H3C或华为主网络三星级服务资质，满足得2分。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拥有</w:t>
            </w:r>
            <w:r>
              <w:rPr>
                <w:rFonts w:hint="eastAsia" w:ascii="宋体" w:hAnsi="宋体" w:eastAsia="宋体" w:cs="宋体"/>
                <w:color w:val="000000"/>
                <w:sz w:val="22"/>
                <w:szCs w:val="22"/>
              </w:rPr>
              <w:t>Oracle OCM及以上认证工程师证书</w:t>
            </w:r>
            <w:r>
              <w:rPr>
                <w:rFonts w:hint="eastAsia" w:ascii="宋体" w:hAnsi="宋体" w:eastAsia="宋体" w:cs="宋体"/>
                <w:sz w:val="22"/>
                <w:szCs w:val="22"/>
              </w:rPr>
              <w:t>，每提供一人得2分，最多得2分。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拥有深信服</w:t>
            </w:r>
            <w:r>
              <w:rPr>
                <w:rFonts w:hint="eastAsia" w:ascii="宋体" w:hAnsi="宋体" w:eastAsia="宋体" w:cs="宋体"/>
                <w:color w:val="000000"/>
                <w:sz w:val="22"/>
                <w:szCs w:val="22"/>
              </w:rPr>
              <w:t>VPN、AF认证</w:t>
            </w:r>
            <w:r>
              <w:rPr>
                <w:rFonts w:hint="eastAsia" w:ascii="宋体" w:hAnsi="宋体" w:eastAsia="宋体" w:cs="宋体"/>
                <w:sz w:val="22"/>
                <w:szCs w:val="22"/>
              </w:rPr>
              <w:t>工程师，每提供一人得1分，最多得2分。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拥有天融信安全工程师，每提供一人得1分，最多得1分。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拥有ITSS运维工程师，每提供一人得2分，最多得4分。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拥有RHCA认证工程师，每提供一人得2分，最多得2分。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拥有CISP认证工程师，每提供一人得2分，最多得2分。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项目人员具有H3CIE或HCIE认证证书的得1分；每提供一人得1分，最多得2分。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744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2"/>
                <w:szCs w:val="22"/>
              </w:rPr>
            </w:pPr>
            <w:r>
              <w:rPr>
                <w:rFonts w:hint="eastAsia" w:ascii="宋体" w:hAnsi="宋体" w:cs="宋体"/>
                <w:sz w:val="22"/>
                <w:szCs w:val="22"/>
                <w:lang w:val="en-US" w:eastAsia="zh-CN"/>
              </w:rPr>
              <w:t>注：</w:t>
            </w:r>
            <w:r>
              <w:rPr>
                <w:rFonts w:hint="eastAsia" w:ascii="宋体" w:hAnsi="宋体" w:eastAsia="宋体" w:cs="宋体"/>
                <w:sz w:val="22"/>
                <w:szCs w:val="22"/>
              </w:rPr>
              <w:t>投标时提供证书</w:t>
            </w:r>
            <w:r>
              <w:rPr>
                <w:rFonts w:hint="eastAsia" w:ascii="宋体" w:hAnsi="宋体" w:cs="宋体"/>
                <w:sz w:val="22"/>
                <w:szCs w:val="22"/>
                <w:lang w:val="en-US" w:eastAsia="zh-CN"/>
              </w:rPr>
              <w:t>复印件</w:t>
            </w:r>
            <w:r>
              <w:rPr>
                <w:rFonts w:hint="eastAsia" w:ascii="宋体" w:hAnsi="宋体" w:eastAsia="宋体" w:cs="宋体"/>
                <w:sz w:val="22"/>
                <w:szCs w:val="22"/>
              </w:rPr>
              <w:t>及近3个月在本公司缴纳</w:t>
            </w:r>
            <w:r>
              <w:rPr>
                <w:rFonts w:hint="eastAsia" w:ascii="宋体" w:hAnsi="宋体" w:cs="宋体"/>
                <w:sz w:val="22"/>
                <w:szCs w:val="22"/>
                <w:lang w:val="en-US" w:eastAsia="zh-CN"/>
              </w:rPr>
              <w:t>的</w:t>
            </w:r>
            <w:r>
              <w:rPr>
                <w:rFonts w:hint="eastAsia" w:ascii="宋体" w:hAnsi="宋体" w:eastAsia="宋体" w:cs="宋体"/>
                <w:sz w:val="22"/>
                <w:szCs w:val="22"/>
              </w:rPr>
              <w:t>社保证明</w:t>
            </w:r>
            <w:r>
              <w:rPr>
                <w:rFonts w:hint="eastAsia" w:ascii="宋体" w:hAnsi="宋体" w:cs="宋体"/>
                <w:sz w:val="22"/>
                <w:szCs w:val="22"/>
                <w:lang w:val="en-US" w:eastAsia="zh-CN"/>
              </w:rPr>
              <w:t>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备品备件提供、配置、响应</w:t>
            </w: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根据</w:t>
            </w:r>
            <w:r>
              <w:rPr>
                <w:rFonts w:hint="eastAsia" w:ascii="宋体" w:hAnsi="宋体" w:cs="宋体"/>
                <w:sz w:val="22"/>
                <w:szCs w:val="22"/>
                <w:lang w:eastAsia="zh-CN"/>
              </w:rPr>
              <w:t>投标人</w:t>
            </w:r>
            <w:r>
              <w:rPr>
                <w:rFonts w:hint="eastAsia" w:ascii="宋体" w:hAnsi="宋体" w:eastAsia="宋体" w:cs="宋体"/>
                <w:sz w:val="22"/>
                <w:szCs w:val="22"/>
              </w:rPr>
              <w:t>提供的周边最近的备件库详细地址和实际规模以及备品备件情况、备品备件到现场的响应时间等比较打分0-6分。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cs="宋体"/>
                <w:sz w:val="22"/>
                <w:szCs w:val="22"/>
                <w:lang w:eastAsia="zh-CN"/>
              </w:rPr>
              <w:t>投标人</w:t>
            </w:r>
            <w:r>
              <w:rPr>
                <w:rFonts w:hint="eastAsia" w:ascii="宋体" w:hAnsi="宋体" w:eastAsia="宋体" w:cs="宋体"/>
                <w:sz w:val="22"/>
                <w:szCs w:val="22"/>
              </w:rPr>
              <w:t>具有完备的服务中心，已具备400或800电话的得2分，否则不得分。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同类项目业绩</w:t>
            </w: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lang w:eastAsia="zh-CN"/>
              </w:rPr>
              <w:t>投标人</w:t>
            </w:r>
            <w:r>
              <w:rPr>
                <w:rFonts w:hint="eastAsia" w:ascii="宋体" w:hAnsi="宋体" w:eastAsia="宋体" w:cs="宋体"/>
                <w:sz w:val="22"/>
                <w:szCs w:val="22"/>
              </w:rPr>
              <w:t>20</w:t>
            </w:r>
            <w:r>
              <w:rPr>
                <w:rFonts w:hint="eastAsia" w:ascii="宋体" w:hAnsi="宋体" w:cs="宋体"/>
                <w:sz w:val="22"/>
                <w:szCs w:val="22"/>
                <w:lang w:val="en-US" w:eastAsia="zh-CN"/>
              </w:rPr>
              <w:t>20</w:t>
            </w:r>
            <w:r>
              <w:rPr>
                <w:rFonts w:hint="eastAsia" w:ascii="宋体" w:hAnsi="宋体" w:eastAsia="宋体" w:cs="宋体"/>
                <w:sz w:val="22"/>
                <w:szCs w:val="22"/>
              </w:rPr>
              <w:t>年</w:t>
            </w:r>
            <w:r>
              <w:rPr>
                <w:rFonts w:hint="eastAsia" w:ascii="宋体" w:hAnsi="宋体" w:cs="宋体"/>
                <w:sz w:val="22"/>
                <w:szCs w:val="22"/>
                <w:lang w:val="en-US" w:eastAsia="zh-CN"/>
              </w:rPr>
              <w:t>1月1日</w:t>
            </w:r>
            <w:r>
              <w:rPr>
                <w:rFonts w:hint="eastAsia" w:ascii="宋体" w:hAnsi="宋体" w:eastAsia="宋体" w:cs="宋体"/>
                <w:sz w:val="22"/>
                <w:szCs w:val="22"/>
              </w:rPr>
              <w:t>以来</w:t>
            </w:r>
            <w:r>
              <w:rPr>
                <w:rFonts w:hint="eastAsia" w:ascii="宋体" w:hAnsi="宋体" w:cs="宋体"/>
                <w:sz w:val="22"/>
                <w:szCs w:val="22"/>
                <w:lang w:eastAsia="zh-CN"/>
              </w:rPr>
              <w:t>（</w:t>
            </w:r>
            <w:r>
              <w:rPr>
                <w:rFonts w:hint="eastAsia" w:ascii="宋体" w:hAnsi="宋体" w:cs="宋体"/>
                <w:sz w:val="22"/>
                <w:szCs w:val="22"/>
                <w:lang w:val="en-US" w:eastAsia="zh-CN"/>
              </w:rPr>
              <w:t>以合同签订日期为准</w:t>
            </w:r>
            <w:r>
              <w:rPr>
                <w:rFonts w:hint="eastAsia" w:ascii="宋体" w:hAnsi="宋体" w:cs="宋体"/>
                <w:sz w:val="22"/>
                <w:szCs w:val="22"/>
                <w:lang w:eastAsia="zh-CN"/>
              </w:rPr>
              <w:t>）</w:t>
            </w:r>
            <w:r>
              <w:rPr>
                <w:rFonts w:hint="eastAsia" w:ascii="宋体" w:hAnsi="宋体" w:eastAsia="宋体" w:cs="宋体"/>
                <w:sz w:val="22"/>
                <w:szCs w:val="22"/>
              </w:rPr>
              <w:t>维保服务合同</w:t>
            </w:r>
            <w:r>
              <w:rPr>
                <w:rFonts w:hint="eastAsia" w:ascii="宋体" w:hAnsi="宋体" w:cs="宋体"/>
                <w:sz w:val="22"/>
                <w:szCs w:val="22"/>
                <w:lang w:eastAsia="zh-CN"/>
              </w:rPr>
              <w:t>，</w:t>
            </w:r>
            <w:r>
              <w:rPr>
                <w:rFonts w:hint="eastAsia" w:ascii="宋体" w:hAnsi="宋体" w:eastAsia="宋体" w:cs="宋体"/>
                <w:sz w:val="22"/>
                <w:szCs w:val="22"/>
              </w:rPr>
              <w:t>每个项目得</w:t>
            </w:r>
            <w:r>
              <w:rPr>
                <w:rFonts w:hint="eastAsia" w:ascii="宋体" w:hAnsi="宋体" w:cs="宋体"/>
                <w:sz w:val="22"/>
                <w:szCs w:val="22"/>
                <w:lang w:val="en-US" w:eastAsia="zh-CN"/>
              </w:rPr>
              <w:t>0</w:t>
            </w:r>
            <w:r>
              <w:rPr>
                <w:rFonts w:hint="eastAsia" w:ascii="宋体" w:hAnsi="宋体" w:eastAsia="宋体" w:cs="宋体"/>
                <w:sz w:val="22"/>
                <w:szCs w:val="22"/>
              </w:rPr>
              <w:t>.5分，最多得</w:t>
            </w:r>
            <w:r>
              <w:rPr>
                <w:rFonts w:hint="eastAsia" w:ascii="宋体" w:hAnsi="宋体" w:cs="宋体"/>
                <w:sz w:val="22"/>
                <w:szCs w:val="22"/>
                <w:lang w:val="en-US" w:eastAsia="zh-CN"/>
              </w:rPr>
              <w:t>2</w:t>
            </w:r>
            <w:r>
              <w:rPr>
                <w:rFonts w:hint="eastAsia" w:ascii="宋体" w:hAnsi="宋体" w:eastAsia="宋体" w:cs="宋体"/>
                <w:sz w:val="22"/>
                <w:szCs w:val="22"/>
              </w:rPr>
              <w:t>分，合同里含有核心交换机、安全等产品的再加1分。同一客户同一项目续签的业绩不重复计算；</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ascii="宋体" w:hAnsi="宋体" w:eastAsia="宋体" w:cs="宋体"/>
                <w:sz w:val="22"/>
                <w:szCs w:val="22"/>
              </w:rPr>
              <w:t>本项最多可得</w:t>
            </w:r>
            <w:r>
              <w:rPr>
                <w:rFonts w:hint="eastAsia" w:ascii="宋体" w:hAnsi="宋体" w:cs="宋体"/>
                <w:sz w:val="22"/>
                <w:szCs w:val="22"/>
                <w:lang w:val="en-US" w:eastAsia="zh-CN"/>
              </w:rPr>
              <w:t>3</w:t>
            </w:r>
            <w:r>
              <w:rPr>
                <w:rFonts w:hint="eastAsia" w:ascii="宋体" w:hAnsi="宋体" w:eastAsia="宋体" w:cs="宋体"/>
                <w:sz w:val="22"/>
                <w:szCs w:val="22"/>
              </w:rPr>
              <w:t>分，需提供合同复印件。</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3</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5</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维保方案</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投标</w:t>
            </w:r>
            <w:r>
              <w:rPr>
                <w:rFonts w:hint="eastAsia" w:ascii="宋体" w:hAnsi="宋体" w:cs="宋体"/>
                <w:sz w:val="22"/>
                <w:szCs w:val="22"/>
                <w:lang w:eastAsia="zh-CN"/>
              </w:rPr>
              <w:t>投标人</w:t>
            </w:r>
            <w:r>
              <w:rPr>
                <w:rFonts w:hint="eastAsia" w:ascii="宋体" w:hAnsi="宋体" w:eastAsia="宋体" w:cs="宋体"/>
                <w:sz w:val="22"/>
                <w:szCs w:val="22"/>
              </w:rPr>
              <w:t>是否建立运行服务保障应急预案，方案对系统实施可能遇到的问题及其应对措施的考虑情况，在维保服务期间巡检、故障处理、系统调优的组织和联系机制的合理性、有效性等</w:t>
            </w:r>
            <w:r>
              <w:rPr>
                <w:rFonts w:hint="eastAsia" w:ascii="宋体" w:hAnsi="宋体" w:cs="宋体"/>
                <w:sz w:val="22"/>
                <w:szCs w:val="22"/>
                <w:lang w:val="en-US" w:eastAsia="zh-CN"/>
              </w:rPr>
              <w:t>进行</w:t>
            </w:r>
            <w:r>
              <w:rPr>
                <w:rFonts w:hint="eastAsia" w:ascii="宋体" w:hAnsi="宋体" w:eastAsia="宋体" w:cs="宋体"/>
                <w:sz w:val="22"/>
                <w:szCs w:val="22"/>
              </w:rPr>
              <w:t>比较打分</w:t>
            </w:r>
            <w:r>
              <w:rPr>
                <w:rFonts w:hint="eastAsia" w:ascii="宋体" w:hAnsi="宋体" w:cs="宋体"/>
                <w:sz w:val="22"/>
                <w:szCs w:val="22"/>
                <w:lang w:eastAsia="zh-CN"/>
              </w:rPr>
              <w:t>（</w:t>
            </w:r>
            <w:r>
              <w:rPr>
                <w:rFonts w:hint="eastAsia" w:ascii="宋体" w:hAnsi="宋体" w:cs="宋体"/>
                <w:sz w:val="22"/>
                <w:szCs w:val="22"/>
                <w:lang w:val="en-US" w:eastAsia="zh-CN"/>
              </w:rPr>
              <w:t>0-10分</w:t>
            </w:r>
            <w:r>
              <w:rPr>
                <w:rFonts w:hint="eastAsia" w:ascii="宋体" w:hAnsi="宋体" w:cs="宋体"/>
                <w:sz w:val="22"/>
                <w:szCs w:val="22"/>
                <w:lang w:eastAsia="zh-CN"/>
              </w:rPr>
              <w:t>）</w:t>
            </w:r>
            <w:r>
              <w:rPr>
                <w:rFonts w:hint="eastAsia" w:ascii="宋体" w:hAnsi="宋体" w:eastAsia="宋体" w:cs="宋体"/>
                <w:sz w:val="22"/>
                <w:szCs w:val="22"/>
              </w:rPr>
              <w:t>。</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10</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根据对客户现有网络结构的了解，制定详细的维护保修方案、技术支持和质量保证措施等横向比较打分，考虑技术支持与售后服务内容是否完整，服务手段是否切实、有效，描述是否清晰具体，包括技术交流、规划咨询服务、定期巡检及巡检报告、技术知识库并及时更新、系统整体运维方案、软硬件升级策略及流程，以及提供故障处理分析及预防和应急措施等</w:t>
            </w:r>
            <w:r>
              <w:rPr>
                <w:rFonts w:hint="eastAsia" w:ascii="宋体" w:hAnsi="宋体" w:cs="宋体"/>
                <w:sz w:val="22"/>
                <w:szCs w:val="22"/>
                <w:lang w:val="en-US" w:eastAsia="zh-CN"/>
              </w:rPr>
              <w:t>进行比较打分（0-12分）</w:t>
            </w:r>
            <w:r>
              <w:rPr>
                <w:rFonts w:hint="eastAsia" w:ascii="宋体" w:hAnsi="宋体" w:eastAsia="宋体" w:cs="宋体"/>
                <w:sz w:val="22"/>
                <w:szCs w:val="22"/>
              </w:rPr>
              <w:t>。</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12</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color w:val="auto"/>
                <w:kern w:val="2"/>
                <w:sz w:val="22"/>
                <w:szCs w:val="22"/>
                <w:highlight w:val="none"/>
                <w:lang w:val="en-US" w:eastAsia="zh-CN" w:bidi="ar-SA"/>
              </w:rPr>
              <w:t>根据投标人服务网点机构的便利性等情况进行综合比较打分</w:t>
            </w:r>
            <w:r>
              <w:rPr>
                <w:rFonts w:hint="eastAsia" w:ascii="宋体" w:hAnsi="宋体" w:cs="宋体"/>
                <w:kern w:val="2"/>
                <w:sz w:val="22"/>
                <w:szCs w:val="22"/>
                <w:lang w:val="en-US" w:eastAsia="zh-CN" w:bidi="ar-SA"/>
              </w:rPr>
              <w:t>（0-3分）</w:t>
            </w:r>
            <w:r>
              <w:rPr>
                <w:rFonts w:hint="eastAsia" w:ascii="宋体" w:hAnsi="宋体" w:eastAsia="宋体" w:cs="宋体"/>
                <w:sz w:val="22"/>
                <w:szCs w:val="22"/>
              </w:rPr>
              <w:t>。</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3</w:t>
            </w:r>
            <w:r>
              <w:rPr>
                <w:rFonts w:hint="eastAsia" w:ascii="宋体" w:hAnsi="宋体" w:eastAsia="宋体" w:cs="宋体"/>
                <w:sz w:val="22"/>
                <w:szCs w:val="22"/>
              </w:rPr>
              <w:t>分</w:t>
            </w:r>
          </w:p>
        </w:tc>
      </w:tr>
    </w:tbl>
    <w:p>
      <w:pPr>
        <w:pStyle w:val="24"/>
        <w:spacing w:line="460" w:lineRule="exact"/>
        <w:ind w:left="0" w:lef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2、报价评分（30分）（权值30%）：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1）有效投标人的投标报价等于评标基准价时其报价分为满分30分；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pPr>
        <w:spacing w:line="460" w:lineRule="exact"/>
        <w:ind w:firstLine="539" w:firstLineChars="245"/>
        <w:rPr>
          <w:rFonts w:hint="eastAsia" w:ascii="新宋体" w:hAnsi="新宋体" w:eastAsia="新宋体"/>
          <w:b w:val="0"/>
          <w:bCs w:val="0"/>
          <w:color w:val="auto"/>
          <w:sz w:val="22"/>
          <w:szCs w:val="22"/>
          <w:highlight w:val="none"/>
          <w:lang w:val="zh-CN"/>
        </w:rPr>
      </w:pPr>
      <w:r>
        <w:rPr>
          <w:rFonts w:hint="eastAsia" w:ascii="新宋体" w:hAnsi="新宋体" w:eastAsia="新宋体"/>
          <w:b w:val="0"/>
          <w:bCs w:val="0"/>
          <w:color w:val="auto"/>
          <w:sz w:val="22"/>
          <w:szCs w:val="22"/>
          <w:highlight w:val="none"/>
          <w:lang w:val="zh-CN"/>
        </w:rPr>
        <w:t>根据</w:t>
      </w:r>
      <w:r>
        <w:rPr>
          <w:rFonts w:hint="eastAsia" w:ascii="新宋体" w:hAnsi="新宋体" w:eastAsia="新宋体" w:cs="新宋体"/>
          <w:b w:val="0"/>
          <w:bCs w:val="0"/>
          <w:color w:val="auto"/>
          <w:kern w:val="0"/>
          <w:sz w:val="22"/>
          <w:szCs w:val="22"/>
          <w:highlight w:val="none"/>
        </w:rPr>
        <w:t>《政府采购促进中小企业发展管理办法》（财库〔2020〕46号）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rPr>
        <w:t>《财政部关于进一步加大政府采购支持中小企业力度的通知》（财库〔2022〕19号）</w:t>
      </w:r>
      <w:r>
        <w:rPr>
          <w:rFonts w:hint="eastAsia" w:ascii="新宋体" w:hAnsi="新宋体" w:eastAsia="新宋体" w:cs="新宋体"/>
          <w:b w:val="0"/>
          <w:bCs w:val="0"/>
          <w:color w:val="auto"/>
          <w:kern w:val="0"/>
          <w:sz w:val="22"/>
          <w:szCs w:val="22"/>
          <w:highlight w:val="none"/>
          <w:lang w:eastAsia="zh-CN"/>
        </w:rPr>
        <w:t>、《浙江省财政厅关于进一步加大政府采购支持中小企业力度助力扎实稳住经济的通知》（</w:t>
      </w:r>
      <w:r>
        <w:rPr>
          <w:rFonts w:hint="eastAsia" w:ascii="新宋体" w:hAnsi="新宋体" w:eastAsia="新宋体" w:cs="新宋体"/>
          <w:b w:val="0"/>
          <w:bCs w:val="0"/>
          <w:color w:val="auto"/>
          <w:kern w:val="0"/>
          <w:sz w:val="22"/>
          <w:szCs w:val="22"/>
          <w:highlight w:val="none"/>
        </w:rPr>
        <w:t>浙财采监〔2022〕8号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lang w:val="en-US" w:eastAsia="zh-CN"/>
        </w:rPr>
        <w:t>等</w:t>
      </w:r>
      <w:r>
        <w:rPr>
          <w:rFonts w:hint="eastAsia" w:ascii="新宋体" w:hAnsi="新宋体" w:eastAsia="新宋体" w:cs="新宋体"/>
          <w:b w:val="0"/>
          <w:bCs w:val="0"/>
          <w:color w:val="auto"/>
          <w:kern w:val="0"/>
          <w:sz w:val="22"/>
          <w:szCs w:val="22"/>
          <w:highlight w:val="none"/>
        </w:rPr>
        <w:t>有关规定</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新宋体" w:hAnsi="新宋体" w:eastAsia="新宋体"/>
          <w:b w:val="0"/>
          <w:bCs w:val="0"/>
          <w:color w:val="auto"/>
          <w:sz w:val="22"/>
          <w:szCs w:val="22"/>
          <w:highlight w:val="none"/>
          <w:lang w:val="zh-CN"/>
        </w:rPr>
        <w:t>，用扣除后的价格参与价格评分。</w:t>
      </w:r>
    </w:p>
    <w:p>
      <w:pPr>
        <w:spacing w:line="460" w:lineRule="exact"/>
        <w:ind w:firstLine="539" w:firstLineChars="245"/>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监狱企业视同小微企业，其产品参加本项目投标的，享受小微企业同等的价格扣除。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val="0"/>
          <w:bCs w:val="0"/>
          <w:color w:val="auto"/>
          <w:kern w:val="2"/>
          <w:sz w:val="22"/>
          <w:szCs w:val="22"/>
          <w:highlight w:val="none"/>
          <w:u w:val="none"/>
          <w:lang w:val="en-US" w:eastAsia="zh-CN" w:bidi="ar-SA"/>
        </w:rPr>
        <w:t xml:space="preserve">   </w:t>
      </w:r>
      <w:r>
        <w:rPr>
          <w:rFonts w:hint="eastAsia" w:ascii="宋体" w:hAnsi="宋体" w:cs="宋体"/>
          <w:b w:val="0"/>
          <w:bCs w:val="0"/>
          <w:color w:val="auto"/>
          <w:kern w:val="2"/>
          <w:sz w:val="22"/>
          <w:szCs w:val="22"/>
          <w:highlight w:val="none"/>
          <w:u w:val="none"/>
          <w:lang w:val="en-US" w:eastAsia="zh-CN" w:bidi="ar-SA"/>
        </w:rPr>
        <w:t>4</w:t>
      </w:r>
      <w:r>
        <w:rPr>
          <w:rFonts w:hint="eastAsia" w:ascii="宋体" w:hAnsi="宋体" w:eastAsia="宋体" w:cs="宋体"/>
          <w:b w:val="0"/>
          <w:bCs w:val="0"/>
          <w:color w:val="auto"/>
          <w:kern w:val="2"/>
          <w:sz w:val="22"/>
          <w:szCs w:val="22"/>
          <w:highlight w:val="none"/>
          <w:u w:val="none"/>
          <w:lang w:val="en-US" w:eastAsia="zh-CN"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宋体" w:hAnsi="宋体" w:eastAsia="宋体" w:cs="宋体"/>
          <w:b/>
          <w:bCs/>
          <w:color w:val="auto"/>
          <w:sz w:val="22"/>
          <w:szCs w:val="22"/>
          <w:highlight w:val="none"/>
        </w:rPr>
      </w:pPr>
      <w:bookmarkStart w:id="94" w:name="_Toc4727"/>
      <w:bookmarkStart w:id="95" w:name="_Toc2482"/>
      <w:r>
        <w:rPr>
          <w:rFonts w:hint="eastAsia" w:ascii="宋体" w:hAnsi="宋体" w:eastAsia="宋体" w:cs="宋体"/>
          <w:b/>
          <w:bCs/>
          <w:color w:val="auto"/>
          <w:sz w:val="22"/>
          <w:szCs w:val="22"/>
          <w:highlight w:val="none"/>
        </w:rPr>
        <w:t>六、定标办法</w:t>
      </w:r>
      <w:bookmarkEnd w:id="94"/>
      <w:bookmarkEnd w:id="95"/>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2、确定中标人</w:t>
      </w:r>
    </w:p>
    <w:p>
      <w:p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宋体" w:hAnsi="宋体" w:eastAsia="宋体" w:cs="宋体"/>
          <w:b/>
          <w:color w:val="auto"/>
          <w:sz w:val="22"/>
          <w:szCs w:val="22"/>
          <w:highlight w:val="none"/>
        </w:rPr>
      </w:pPr>
      <w:bookmarkStart w:id="96" w:name="_Toc17587"/>
      <w:bookmarkStart w:id="97" w:name="_Toc3629"/>
      <w:r>
        <w:rPr>
          <w:rFonts w:hint="eastAsia" w:ascii="宋体" w:hAnsi="宋体" w:eastAsia="宋体" w:cs="宋体"/>
          <w:b/>
          <w:color w:val="auto"/>
          <w:sz w:val="22"/>
          <w:szCs w:val="22"/>
          <w:highlight w:val="none"/>
        </w:rPr>
        <w:t>七、投标人义务</w:t>
      </w:r>
      <w:bookmarkEnd w:id="96"/>
      <w:bookmarkEnd w:id="97"/>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pPr>
        <w:spacing w:line="460" w:lineRule="exact"/>
        <w:jc w:val="center"/>
        <w:rPr>
          <w:rFonts w:hint="eastAsia" w:ascii="宋体" w:hAnsi="宋体" w:eastAsia="宋体" w:cs="宋体"/>
          <w:b/>
          <w:color w:val="auto"/>
          <w:sz w:val="32"/>
          <w:szCs w:val="32"/>
          <w:highlight w:val="none"/>
        </w:rPr>
      </w:pPr>
    </w:p>
    <w:p>
      <w:pPr>
        <w:pStyle w:val="24"/>
        <w:ind w:left="440" w:hanging="440"/>
        <w:rPr>
          <w:rFonts w:hint="eastAsia" w:ascii="宋体" w:hAnsi="宋体" w:eastAsia="宋体" w:cs="宋体"/>
          <w:color w:val="auto"/>
          <w:kern w:val="0"/>
          <w:sz w:val="22"/>
          <w:szCs w:val="2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28</w:t>
    </w:r>
    <w:r>
      <w:fldChar w:fldCharType="end"/>
    </w:r>
  </w:p>
  <w:p>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72</w:t>
    </w:r>
    <w:r>
      <w:fldChar w:fldCharType="end"/>
    </w:r>
  </w:p>
  <w:p>
    <w:pPr>
      <w:pStyle w:val="37"/>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color w:val="auto"/>
        <w:sz w:val="18"/>
        <w:szCs w:val="18"/>
        <w:highlight w:val="none"/>
        <w:u w:val="none"/>
        <w:lang w:eastAsia="zh-CN"/>
      </w:rPr>
      <w:t>温州市中医院</w:t>
    </w:r>
    <w:r>
      <w:rPr>
        <w:rFonts w:hint="eastAsia"/>
      </w:rPr>
      <w:t>招标文件                                             项目编号：</w:t>
    </w:r>
    <w:r>
      <w:rPr>
        <w:rFonts w:hint="eastAsia"/>
        <w:lang w:eastAsia="zh-CN"/>
      </w:rPr>
      <w:t xml:space="preserve">WZLCZB（W）-2023-04155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lang w:val="en-US" w:eastAsia="zh-CN"/>
      </w:rPr>
      <w:t>温州市中医院</w:t>
    </w:r>
    <w:r>
      <w:rPr>
        <w:rFonts w:hint="eastAsia"/>
      </w:rPr>
      <w:t>招标文件                                             项目编号：</w:t>
    </w:r>
    <w:r>
      <w:rPr>
        <w:rFonts w:hint="eastAsia"/>
        <w:lang w:eastAsia="zh-CN"/>
      </w:rPr>
      <w:t xml:space="preserve">WZLCZB（W）-2023-04155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6A58"/>
    <w:multiLevelType w:val="singleLevel"/>
    <w:tmpl w:val="86B66A58"/>
    <w:lvl w:ilvl="0" w:tentative="0">
      <w:start w:val="3"/>
      <w:numFmt w:val="decimal"/>
      <w:lvlText w:val="%1."/>
      <w:lvlJc w:val="left"/>
      <w:pPr>
        <w:tabs>
          <w:tab w:val="left" w:pos="312"/>
        </w:tabs>
      </w:pPr>
    </w:lvl>
  </w:abstractNum>
  <w:abstractNum w:abstractNumId="1">
    <w:nsid w:val="9DED2AFC"/>
    <w:multiLevelType w:val="singleLevel"/>
    <w:tmpl w:val="9DED2AFC"/>
    <w:lvl w:ilvl="0" w:tentative="0">
      <w:start w:val="4"/>
      <w:numFmt w:val="chineseCounting"/>
      <w:suff w:val="space"/>
      <w:lvlText w:val="第%1部分"/>
      <w:lvlJc w:val="left"/>
      <w:rPr>
        <w:rFonts w:hint="eastAsia"/>
      </w:rPr>
    </w:lvl>
  </w:abstractNum>
  <w:abstractNum w:abstractNumId="2">
    <w:nsid w:val="B1C0EE6B"/>
    <w:multiLevelType w:val="singleLevel"/>
    <w:tmpl w:val="B1C0EE6B"/>
    <w:lvl w:ilvl="0" w:tentative="0">
      <w:start w:val="5"/>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CD31F181"/>
    <w:multiLevelType w:val="singleLevel"/>
    <w:tmpl w:val="CD31F181"/>
    <w:lvl w:ilvl="0" w:tentative="0">
      <w:start w:val="1"/>
      <w:numFmt w:val="decimal"/>
      <w:suff w:val="nothing"/>
      <w:lvlText w:val="%1、"/>
      <w:lvlJc w:val="left"/>
    </w:lvl>
  </w:abstractNum>
  <w:abstractNum w:abstractNumId="5">
    <w:nsid w:val="207962B4"/>
    <w:multiLevelType w:val="singleLevel"/>
    <w:tmpl w:val="207962B4"/>
    <w:lvl w:ilvl="0" w:tentative="0">
      <w:start w:val="1"/>
      <w:numFmt w:val="decimal"/>
      <w:suff w:val="nothing"/>
      <w:lvlText w:val="%1、"/>
      <w:lvlJc w:val="left"/>
    </w:lvl>
  </w:abstractNum>
  <w:abstractNum w:abstractNumId="6">
    <w:nsid w:val="52D7A3B6"/>
    <w:multiLevelType w:val="singleLevel"/>
    <w:tmpl w:val="52D7A3B6"/>
    <w:lvl w:ilvl="0" w:tentative="0">
      <w:start w:val="1"/>
      <w:numFmt w:val="decimal"/>
      <w:suff w:val="nothing"/>
      <w:lvlText w:val="（%1）"/>
      <w:lvlJc w:val="left"/>
    </w:lvl>
  </w:abstractNum>
  <w:abstractNum w:abstractNumId="7">
    <w:nsid w:val="59DE7C9A"/>
    <w:multiLevelType w:val="singleLevel"/>
    <w:tmpl w:val="59DE7C9A"/>
    <w:lvl w:ilvl="0" w:tentative="0">
      <w:start w:val="3"/>
      <w:numFmt w:val="chineseCounting"/>
      <w:suff w:val="nothing"/>
      <w:lvlText w:val="%1、"/>
      <w:lvlJc w:val="left"/>
      <w:rPr>
        <w:rFonts w:hint="eastAsia"/>
      </w:rPr>
    </w:lvl>
  </w:abstractNum>
  <w:num w:numId="1">
    <w:abstractNumId w:val="0"/>
  </w:num>
  <w:num w:numId="2">
    <w:abstractNumId w:val="6"/>
  </w:num>
  <w:num w:numId="3">
    <w:abstractNumId w:val="4"/>
  </w:num>
  <w:num w:numId="4">
    <w:abstractNumId w:val="3"/>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Yjc0MjQ3MDVjYjJkMDFhZjlkZDA2OTg4YWRlZmQ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05B8D"/>
    <w:rsid w:val="020D29B1"/>
    <w:rsid w:val="021F7DAD"/>
    <w:rsid w:val="0224444B"/>
    <w:rsid w:val="022D7429"/>
    <w:rsid w:val="02451328"/>
    <w:rsid w:val="027D25C0"/>
    <w:rsid w:val="02841565"/>
    <w:rsid w:val="02B3222E"/>
    <w:rsid w:val="02F63BA4"/>
    <w:rsid w:val="031D0871"/>
    <w:rsid w:val="03283281"/>
    <w:rsid w:val="03331487"/>
    <w:rsid w:val="034A64CB"/>
    <w:rsid w:val="039714E5"/>
    <w:rsid w:val="03BE392F"/>
    <w:rsid w:val="03E13A1E"/>
    <w:rsid w:val="04156ACE"/>
    <w:rsid w:val="042A5AFC"/>
    <w:rsid w:val="043D6DF1"/>
    <w:rsid w:val="043F2279"/>
    <w:rsid w:val="044865A2"/>
    <w:rsid w:val="048D46D7"/>
    <w:rsid w:val="04A01243"/>
    <w:rsid w:val="04C27070"/>
    <w:rsid w:val="04E23C80"/>
    <w:rsid w:val="04FD6D0A"/>
    <w:rsid w:val="050751FC"/>
    <w:rsid w:val="05166806"/>
    <w:rsid w:val="0529508C"/>
    <w:rsid w:val="053A30CA"/>
    <w:rsid w:val="057D25F0"/>
    <w:rsid w:val="05936339"/>
    <w:rsid w:val="05D76F02"/>
    <w:rsid w:val="0606765D"/>
    <w:rsid w:val="062F7E7F"/>
    <w:rsid w:val="0650016B"/>
    <w:rsid w:val="06695ADA"/>
    <w:rsid w:val="067F52AB"/>
    <w:rsid w:val="068E5B46"/>
    <w:rsid w:val="06E17425"/>
    <w:rsid w:val="06E81491"/>
    <w:rsid w:val="07081502"/>
    <w:rsid w:val="072046E3"/>
    <w:rsid w:val="07373C8C"/>
    <w:rsid w:val="074234A9"/>
    <w:rsid w:val="0747552D"/>
    <w:rsid w:val="07592C30"/>
    <w:rsid w:val="07791E20"/>
    <w:rsid w:val="078177D5"/>
    <w:rsid w:val="07924879"/>
    <w:rsid w:val="079C0E64"/>
    <w:rsid w:val="07D37D83"/>
    <w:rsid w:val="07D60F62"/>
    <w:rsid w:val="08621901"/>
    <w:rsid w:val="08911C02"/>
    <w:rsid w:val="08913549"/>
    <w:rsid w:val="08A302D0"/>
    <w:rsid w:val="08B53A61"/>
    <w:rsid w:val="08E76FD5"/>
    <w:rsid w:val="08FD20E7"/>
    <w:rsid w:val="09101BCD"/>
    <w:rsid w:val="09315C91"/>
    <w:rsid w:val="093D09BC"/>
    <w:rsid w:val="09510BFE"/>
    <w:rsid w:val="097E368B"/>
    <w:rsid w:val="09816EE6"/>
    <w:rsid w:val="099757EE"/>
    <w:rsid w:val="09A34824"/>
    <w:rsid w:val="09B85302"/>
    <w:rsid w:val="09B94936"/>
    <w:rsid w:val="09D26DBF"/>
    <w:rsid w:val="09F65854"/>
    <w:rsid w:val="0A07422F"/>
    <w:rsid w:val="0A1B49C1"/>
    <w:rsid w:val="0A3D0590"/>
    <w:rsid w:val="0A7416D8"/>
    <w:rsid w:val="0A8945EB"/>
    <w:rsid w:val="0BAC1F4C"/>
    <w:rsid w:val="0BBE4F63"/>
    <w:rsid w:val="0BDA530A"/>
    <w:rsid w:val="0C0247C0"/>
    <w:rsid w:val="0C353302"/>
    <w:rsid w:val="0C496297"/>
    <w:rsid w:val="0C660E5E"/>
    <w:rsid w:val="0C9A109E"/>
    <w:rsid w:val="0CA74D09"/>
    <w:rsid w:val="0CA9483B"/>
    <w:rsid w:val="0CC51217"/>
    <w:rsid w:val="0CCB1484"/>
    <w:rsid w:val="0D0A01F7"/>
    <w:rsid w:val="0D1A3FA7"/>
    <w:rsid w:val="0D1F1C9D"/>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575CC4"/>
    <w:rsid w:val="10B23B6A"/>
    <w:rsid w:val="10F47168"/>
    <w:rsid w:val="110264F1"/>
    <w:rsid w:val="1104198D"/>
    <w:rsid w:val="1105049E"/>
    <w:rsid w:val="115434FF"/>
    <w:rsid w:val="115D3896"/>
    <w:rsid w:val="11AE1E6E"/>
    <w:rsid w:val="11B62E53"/>
    <w:rsid w:val="12103D4D"/>
    <w:rsid w:val="12345EA5"/>
    <w:rsid w:val="124027F2"/>
    <w:rsid w:val="125A673E"/>
    <w:rsid w:val="1272218F"/>
    <w:rsid w:val="12775E6D"/>
    <w:rsid w:val="12A01322"/>
    <w:rsid w:val="12AB0828"/>
    <w:rsid w:val="12E05DF5"/>
    <w:rsid w:val="133616DD"/>
    <w:rsid w:val="13582BF6"/>
    <w:rsid w:val="13583E3E"/>
    <w:rsid w:val="138356B4"/>
    <w:rsid w:val="13884680"/>
    <w:rsid w:val="13996DA4"/>
    <w:rsid w:val="13A56966"/>
    <w:rsid w:val="13B56A40"/>
    <w:rsid w:val="13D309B3"/>
    <w:rsid w:val="13EC3F05"/>
    <w:rsid w:val="13FF0438"/>
    <w:rsid w:val="14077D57"/>
    <w:rsid w:val="14342819"/>
    <w:rsid w:val="14965811"/>
    <w:rsid w:val="14D92610"/>
    <w:rsid w:val="15001500"/>
    <w:rsid w:val="154A25D7"/>
    <w:rsid w:val="15525604"/>
    <w:rsid w:val="156E5828"/>
    <w:rsid w:val="15B36E57"/>
    <w:rsid w:val="15B43A33"/>
    <w:rsid w:val="15C02CFA"/>
    <w:rsid w:val="15D02588"/>
    <w:rsid w:val="163004AD"/>
    <w:rsid w:val="164356BB"/>
    <w:rsid w:val="166F777C"/>
    <w:rsid w:val="169C21B8"/>
    <w:rsid w:val="169C6B59"/>
    <w:rsid w:val="16BB60A4"/>
    <w:rsid w:val="16D604C4"/>
    <w:rsid w:val="173A5387"/>
    <w:rsid w:val="17725C57"/>
    <w:rsid w:val="17755246"/>
    <w:rsid w:val="17800AEC"/>
    <w:rsid w:val="18245E40"/>
    <w:rsid w:val="186B461D"/>
    <w:rsid w:val="188B4950"/>
    <w:rsid w:val="18C50468"/>
    <w:rsid w:val="18C7387D"/>
    <w:rsid w:val="18C76564"/>
    <w:rsid w:val="19087A11"/>
    <w:rsid w:val="191B7534"/>
    <w:rsid w:val="196C6250"/>
    <w:rsid w:val="196E2C37"/>
    <w:rsid w:val="1974690A"/>
    <w:rsid w:val="19C072D3"/>
    <w:rsid w:val="1A25720B"/>
    <w:rsid w:val="1A510684"/>
    <w:rsid w:val="1A6171B2"/>
    <w:rsid w:val="1AA65F2A"/>
    <w:rsid w:val="1AA666F2"/>
    <w:rsid w:val="1ADC340E"/>
    <w:rsid w:val="1AED2C78"/>
    <w:rsid w:val="1AEF15D5"/>
    <w:rsid w:val="1B1F6B22"/>
    <w:rsid w:val="1B343FD0"/>
    <w:rsid w:val="1B356551"/>
    <w:rsid w:val="1B377F92"/>
    <w:rsid w:val="1B3E4ABA"/>
    <w:rsid w:val="1B9D2D2C"/>
    <w:rsid w:val="1BAB13EA"/>
    <w:rsid w:val="1BE02644"/>
    <w:rsid w:val="1BF27CE6"/>
    <w:rsid w:val="1BF57F17"/>
    <w:rsid w:val="1C13053F"/>
    <w:rsid w:val="1C162BF5"/>
    <w:rsid w:val="1C212DFA"/>
    <w:rsid w:val="1C3065A1"/>
    <w:rsid w:val="1C32514E"/>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D0B8E"/>
    <w:rsid w:val="1E740910"/>
    <w:rsid w:val="1E8A1B7B"/>
    <w:rsid w:val="1ED05FDD"/>
    <w:rsid w:val="1EDA4565"/>
    <w:rsid w:val="1F0115E6"/>
    <w:rsid w:val="1F8B73B9"/>
    <w:rsid w:val="1FC0508F"/>
    <w:rsid w:val="1FD17519"/>
    <w:rsid w:val="1FDE37FF"/>
    <w:rsid w:val="1FE70187"/>
    <w:rsid w:val="1FE87CF6"/>
    <w:rsid w:val="20142293"/>
    <w:rsid w:val="202875D1"/>
    <w:rsid w:val="203B6405"/>
    <w:rsid w:val="204042C4"/>
    <w:rsid w:val="204434A6"/>
    <w:rsid w:val="208E2CB0"/>
    <w:rsid w:val="20C7192F"/>
    <w:rsid w:val="20C94ACB"/>
    <w:rsid w:val="20F3606E"/>
    <w:rsid w:val="2117534C"/>
    <w:rsid w:val="213009EF"/>
    <w:rsid w:val="213D75BE"/>
    <w:rsid w:val="213F7AB1"/>
    <w:rsid w:val="217A33A1"/>
    <w:rsid w:val="21872636"/>
    <w:rsid w:val="218F2648"/>
    <w:rsid w:val="21AB5C9B"/>
    <w:rsid w:val="21B427AB"/>
    <w:rsid w:val="21BD46E0"/>
    <w:rsid w:val="227C0C68"/>
    <w:rsid w:val="227D1F07"/>
    <w:rsid w:val="22AE5DFE"/>
    <w:rsid w:val="23025E80"/>
    <w:rsid w:val="235C31B0"/>
    <w:rsid w:val="23A51493"/>
    <w:rsid w:val="23C16FD2"/>
    <w:rsid w:val="242C445B"/>
    <w:rsid w:val="247E04BE"/>
    <w:rsid w:val="248B6BF0"/>
    <w:rsid w:val="24975A35"/>
    <w:rsid w:val="24A451C8"/>
    <w:rsid w:val="24B0777F"/>
    <w:rsid w:val="24B80E3D"/>
    <w:rsid w:val="24BA3A6C"/>
    <w:rsid w:val="24C14262"/>
    <w:rsid w:val="24DB11B1"/>
    <w:rsid w:val="24DB1DC1"/>
    <w:rsid w:val="254579AD"/>
    <w:rsid w:val="25550995"/>
    <w:rsid w:val="25916749"/>
    <w:rsid w:val="25B15AD3"/>
    <w:rsid w:val="25E5097B"/>
    <w:rsid w:val="25ED1CE2"/>
    <w:rsid w:val="260366CA"/>
    <w:rsid w:val="26190B1E"/>
    <w:rsid w:val="261954E5"/>
    <w:rsid w:val="26B25A04"/>
    <w:rsid w:val="26E86A48"/>
    <w:rsid w:val="27101EDB"/>
    <w:rsid w:val="27450F96"/>
    <w:rsid w:val="27A03254"/>
    <w:rsid w:val="27A230C5"/>
    <w:rsid w:val="27A851CF"/>
    <w:rsid w:val="27F6755B"/>
    <w:rsid w:val="2835156C"/>
    <w:rsid w:val="28541616"/>
    <w:rsid w:val="285E7742"/>
    <w:rsid w:val="285F589C"/>
    <w:rsid w:val="2860075F"/>
    <w:rsid w:val="288E7537"/>
    <w:rsid w:val="28D51CE9"/>
    <w:rsid w:val="28E0382C"/>
    <w:rsid w:val="28FB2940"/>
    <w:rsid w:val="2935387C"/>
    <w:rsid w:val="295642C7"/>
    <w:rsid w:val="29923BE6"/>
    <w:rsid w:val="29D70027"/>
    <w:rsid w:val="29E4565C"/>
    <w:rsid w:val="2A217644"/>
    <w:rsid w:val="2A5522DC"/>
    <w:rsid w:val="2A6D7AE4"/>
    <w:rsid w:val="2A81126C"/>
    <w:rsid w:val="2A9A509F"/>
    <w:rsid w:val="2ABE75C5"/>
    <w:rsid w:val="2AC54EDF"/>
    <w:rsid w:val="2ADE1592"/>
    <w:rsid w:val="2AE72478"/>
    <w:rsid w:val="2AFE6BB2"/>
    <w:rsid w:val="2AFF547A"/>
    <w:rsid w:val="2B0F5BE3"/>
    <w:rsid w:val="2B194010"/>
    <w:rsid w:val="2B1A0A86"/>
    <w:rsid w:val="2B766889"/>
    <w:rsid w:val="2B8F7412"/>
    <w:rsid w:val="2BB62C14"/>
    <w:rsid w:val="2BB82208"/>
    <w:rsid w:val="2BC1544C"/>
    <w:rsid w:val="2BF25A55"/>
    <w:rsid w:val="2BF83122"/>
    <w:rsid w:val="2C4D4422"/>
    <w:rsid w:val="2C61592A"/>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DB211E"/>
    <w:rsid w:val="2FAF734F"/>
    <w:rsid w:val="2FB74538"/>
    <w:rsid w:val="2FC85BC4"/>
    <w:rsid w:val="2FF16930"/>
    <w:rsid w:val="30255652"/>
    <w:rsid w:val="302A5959"/>
    <w:rsid w:val="305B0C4B"/>
    <w:rsid w:val="306F34C7"/>
    <w:rsid w:val="31024AE6"/>
    <w:rsid w:val="31232744"/>
    <w:rsid w:val="313F60CD"/>
    <w:rsid w:val="316C164E"/>
    <w:rsid w:val="31AC33EA"/>
    <w:rsid w:val="31B469D0"/>
    <w:rsid w:val="31D64F96"/>
    <w:rsid w:val="32017181"/>
    <w:rsid w:val="3202578C"/>
    <w:rsid w:val="326D3B31"/>
    <w:rsid w:val="327021FA"/>
    <w:rsid w:val="329C1DF0"/>
    <w:rsid w:val="329E2BA3"/>
    <w:rsid w:val="32AE7A75"/>
    <w:rsid w:val="32E032B1"/>
    <w:rsid w:val="32EF11A3"/>
    <w:rsid w:val="32EF2028"/>
    <w:rsid w:val="33011C41"/>
    <w:rsid w:val="333C6A3D"/>
    <w:rsid w:val="33644CFD"/>
    <w:rsid w:val="33774568"/>
    <w:rsid w:val="33A0028D"/>
    <w:rsid w:val="33A570FA"/>
    <w:rsid w:val="33D32C1C"/>
    <w:rsid w:val="33D92429"/>
    <w:rsid w:val="343B3818"/>
    <w:rsid w:val="343C1893"/>
    <w:rsid w:val="3472623A"/>
    <w:rsid w:val="349F6B06"/>
    <w:rsid w:val="358526AE"/>
    <w:rsid w:val="35B43FF1"/>
    <w:rsid w:val="35B549E2"/>
    <w:rsid w:val="35B54B22"/>
    <w:rsid w:val="35DF0F8E"/>
    <w:rsid w:val="35E83CBD"/>
    <w:rsid w:val="35EF293B"/>
    <w:rsid w:val="35F13A2A"/>
    <w:rsid w:val="360453EB"/>
    <w:rsid w:val="361633A9"/>
    <w:rsid w:val="362C0965"/>
    <w:rsid w:val="36495F37"/>
    <w:rsid w:val="36523501"/>
    <w:rsid w:val="366A6E58"/>
    <w:rsid w:val="37366041"/>
    <w:rsid w:val="373D0F4E"/>
    <w:rsid w:val="37625DAE"/>
    <w:rsid w:val="377717B0"/>
    <w:rsid w:val="379D7A74"/>
    <w:rsid w:val="37A03DDA"/>
    <w:rsid w:val="37DC389E"/>
    <w:rsid w:val="37E41DF1"/>
    <w:rsid w:val="37FC364E"/>
    <w:rsid w:val="38463090"/>
    <w:rsid w:val="3882116E"/>
    <w:rsid w:val="388234B9"/>
    <w:rsid w:val="38973473"/>
    <w:rsid w:val="38A56CC9"/>
    <w:rsid w:val="38C05F24"/>
    <w:rsid w:val="38D750B8"/>
    <w:rsid w:val="38E13070"/>
    <w:rsid w:val="38F2240C"/>
    <w:rsid w:val="39171CC0"/>
    <w:rsid w:val="393F39C1"/>
    <w:rsid w:val="3941283A"/>
    <w:rsid w:val="395212E1"/>
    <w:rsid w:val="39976574"/>
    <w:rsid w:val="39A165F9"/>
    <w:rsid w:val="39B72706"/>
    <w:rsid w:val="39C84E5A"/>
    <w:rsid w:val="39FA0921"/>
    <w:rsid w:val="3A3457E8"/>
    <w:rsid w:val="3A3F0320"/>
    <w:rsid w:val="3A536E24"/>
    <w:rsid w:val="3A565A98"/>
    <w:rsid w:val="3A810ECA"/>
    <w:rsid w:val="3A871F8A"/>
    <w:rsid w:val="3AA31206"/>
    <w:rsid w:val="3AB57780"/>
    <w:rsid w:val="3AC65AD2"/>
    <w:rsid w:val="3ACF5A26"/>
    <w:rsid w:val="3B1B509F"/>
    <w:rsid w:val="3B3575B2"/>
    <w:rsid w:val="3B4764C1"/>
    <w:rsid w:val="3B54731C"/>
    <w:rsid w:val="3B67428D"/>
    <w:rsid w:val="3B713350"/>
    <w:rsid w:val="3B7A26BE"/>
    <w:rsid w:val="3BE767A5"/>
    <w:rsid w:val="3C1701DB"/>
    <w:rsid w:val="3C2E25AC"/>
    <w:rsid w:val="3C33699A"/>
    <w:rsid w:val="3C41291B"/>
    <w:rsid w:val="3C447C27"/>
    <w:rsid w:val="3C4E3440"/>
    <w:rsid w:val="3E225ED0"/>
    <w:rsid w:val="3E29108F"/>
    <w:rsid w:val="3E763568"/>
    <w:rsid w:val="3EB341AB"/>
    <w:rsid w:val="3EC20226"/>
    <w:rsid w:val="3EC451E1"/>
    <w:rsid w:val="3EC47F80"/>
    <w:rsid w:val="3F1E63B0"/>
    <w:rsid w:val="3F2226EC"/>
    <w:rsid w:val="3F601C75"/>
    <w:rsid w:val="3FAC6CE4"/>
    <w:rsid w:val="3FB04B06"/>
    <w:rsid w:val="3FDA48AC"/>
    <w:rsid w:val="402A3DD6"/>
    <w:rsid w:val="402E363B"/>
    <w:rsid w:val="403A7A13"/>
    <w:rsid w:val="40883F9A"/>
    <w:rsid w:val="40A6403B"/>
    <w:rsid w:val="40C31767"/>
    <w:rsid w:val="40D11C13"/>
    <w:rsid w:val="40D14228"/>
    <w:rsid w:val="40E32648"/>
    <w:rsid w:val="413F338F"/>
    <w:rsid w:val="415D3A83"/>
    <w:rsid w:val="419659D4"/>
    <w:rsid w:val="41A50FA5"/>
    <w:rsid w:val="41CC07BC"/>
    <w:rsid w:val="41DD5AAF"/>
    <w:rsid w:val="420569A4"/>
    <w:rsid w:val="4246080B"/>
    <w:rsid w:val="42CE24FD"/>
    <w:rsid w:val="42F302DD"/>
    <w:rsid w:val="43260C43"/>
    <w:rsid w:val="438034F8"/>
    <w:rsid w:val="4388321A"/>
    <w:rsid w:val="441A31FF"/>
    <w:rsid w:val="443F03D6"/>
    <w:rsid w:val="446A3759"/>
    <w:rsid w:val="446B4961"/>
    <w:rsid w:val="449428DA"/>
    <w:rsid w:val="45132E7E"/>
    <w:rsid w:val="45A046DF"/>
    <w:rsid w:val="45B725A0"/>
    <w:rsid w:val="462D2D97"/>
    <w:rsid w:val="462E25CA"/>
    <w:rsid w:val="46303A17"/>
    <w:rsid w:val="465A58CC"/>
    <w:rsid w:val="46931FE6"/>
    <w:rsid w:val="46D637ED"/>
    <w:rsid w:val="46DD3F38"/>
    <w:rsid w:val="46F16F1D"/>
    <w:rsid w:val="46FD2CBF"/>
    <w:rsid w:val="472910BD"/>
    <w:rsid w:val="47553E8E"/>
    <w:rsid w:val="477C293C"/>
    <w:rsid w:val="478665EE"/>
    <w:rsid w:val="47CA2F97"/>
    <w:rsid w:val="47D84675"/>
    <w:rsid w:val="47E17B3A"/>
    <w:rsid w:val="481379C4"/>
    <w:rsid w:val="481947FE"/>
    <w:rsid w:val="483B043E"/>
    <w:rsid w:val="486B0826"/>
    <w:rsid w:val="486B1D8E"/>
    <w:rsid w:val="48A93D74"/>
    <w:rsid w:val="48CA1F3D"/>
    <w:rsid w:val="48D139F6"/>
    <w:rsid w:val="48F56DD6"/>
    <w:rsid w:val="491916C6"/>
    <w:rsid w:val="49573AC8"/>
    <w:rsid w:val="49AA7971"/>
    <w:rsid w:val="49FE240E"/>
    <w:rsid w:val="4A141151"/>
    <w:rsid w:val="4A316318"/>
    <w:rsid w:val="4A5950C6"/>
    <w:rsid w:val="4A643B84"/>
    <w:rsid w:val="4A777A6A"/>
    <w:rsid w:val="4AC9062D"/>
    <w:rsid w:val="4AE52C42"/>
    <w:rsid w:val="4AF2187D"/>
    <w:rsid w:val="4AFC3953"/>
    <w:rsid w:val="4B1E385E"/>
    <w:rsid w:val="4B6870F9"/>
    <w:rsid w:val="4B6C2969"/>
    <w:rsid w:val="4B810673"/>
    <w:rsid w:val="4BCF6DCB"/>
    <w:rsid w:val="4BD06B38"/>
    <w:rsid w:val="4BDF321A"/>
    <w:rsid w:val="4C0065CE"/>
    <w:rsid w:val="4C18241E"/>
    <w:rsid w:val="4C227943"/>
    <w:rsid w:val="4C391EF2"/>
    <w:rsid w:val="4C4373DD"/>
    <w:rsid w:val="4C472142"/>
    <w:rsid w:val="4C5F22C4"/>
    <w:rsid w:val="4D587BF8"/>
    <w:rsid w:val="4DA70921"/>
    <w:rsid w:val="4DC86CD0"/>
    <w:rsid w:val="4DC94022"/>
    <w:rsid w:val="4DD62C1F"/>
    <w:rsid w:val="4DE60D60"/>
    <w:rsid w:val="4DF46D27"/>
    <w:rsid w:val="4E367509"/>
    <w:rsid w:val="4E5211BA"/>
    <w:rsid w:val="4E577EB0"/>
    <w:rsid w:val="4E90713C"/>
    <w:rsid w:val="4E9D1D1E"/>
    <w:rsid w:val="4F0E0B1D"/>
    <w:rsid w:val="4F563CC4"/>
    <w:rsid w:val="4FBD41CA"/>
    <w:rsid w:val="4FD246D2"/>
    <w:rsid w:val="50077D56"/>
    <w:rsid w:val="50131451"/>
    <w:rsid w:val="50831BFE"/>
    <w:rsid w:val="50B52FE4"/>
    <w:rsid w:val="50BF2E54"/>
    <w:rsid w:val="51343886"/>
    <w:rsid w:val="51390BE4"/>
    <w:rsid w:val="517D5E7F"/>
    <w:rsid w:val="51C804DE"/>
    <w:rsid w:val="51CF0D4C"/>
    <w:rsid w:val="51E12FF8"/>
    <w:rsid w:val="51E33826"/>
    <w:rsid w:val="51E71C22"/>
    <w:rsid w:val="520C6B50"/>
    <w:rsid w:val="522E62F3"/>
    <w:rsid w:val="52A33960"/>
    <w:rsid w:val="52B476CE"/>
    <w:rsid w:val="52F47A95"/>
    <w:rsid w:val="531645CA"/>
    <w:rsid w:val="531F2A96"/>
    <w:rsid w:val="53262EC9"/>
    <w:rsid w:val="53734149"/>
    <w:rsid w:val="53932760"/>
    <w:rsid w:val="539873E7"/>
    <w:rsid w:val="53B46D0C"/>
    <w:rsid w:val="54087353"/>
    <w:rsid w:val="54375044"/>
    <w:rsid w:val="544232E7"/>
    <w:rsid w:val="54557110"/>
    <w:rsid w:val="549661B6"/>
    <w:rsid w:val="54D24E79"/>
    <w:rsid w:val="5503429F"/>
    <w:rsid w:val="551027C6"/>
    <w:rsid w:val="552F7315"/>
    <w:rsid w:val="554B0FDD"/>
    <w:rsid w:val="55631D2D"/>
    <w:rsid w:val="55A03EEB"/>
    <w:rsid w:val="55BB1E97"/>
    <w:rsid w:val="55C8709D"/>
    <w:rsid w:val="560509A3"/>
    <w:rsid w:val="56050C0A"/>
    <w:rsid w:val="56250237"/>
    <w:rsid w:val="564569EB"/>
    <w:rsid w:val="56AB5944"/>
    <w:rsid w:val="56F645A2"/>
    <w:rsid w:val="57214861"/>
    <w:rsid w:val="572B4616"/>
    <w:rsid w:val="57541EAD"/>
    <w:rsid w:val="576D2C98"/>
    <w:rsid w:val="577465D8"/>
    <w:rsid w:val="57AE5029"/>
    <w:rsid w:val="57C23486"/>
    <w:rsid w:val="57D123D3"/>
    <w:rsid w:val="5807247D"/>
    <w:rsid w:val="58117CC1"/>
    <w:rsid w:val="582C3384"/>
    <w:rsid w:val="58624A55"/>
    <w:rsid w:val="59162EF2"/>
    <w:rsid w:val="59216A89"/>
    <w:rsid w:val="59A175DF"/>
    <w:rsid w:val="59B819C2"/>
    <w:rsid w:val="59C7668D"/>
    <w:rsid w:val="59FC4729"/>
    <w:rsid w:val="59FF697B"/>
    <w:rsid w:val="5A0B75E4"/>
    <w:rsid w:val="5A575BFF"/>
    <w:rsid w:val="5A77586F"/>
    <w:rsid w:val="5AA12CBD"/>
    <w:rsid w:val="5ACA65CD"/>
    <w:rsid w:val="5ACC7A53"/>
    <w:rsid w:val="5AE51758"/>
    <w:rsid w:val="5B581F93"/>
    <w:rsid w:val="5B6B529B"/>
    <w:rsid w:val="5BB250E2"/>
    <w:rsid w:val="5BB3320D"/>
    <w:rsid w:val="5BC31A45"/>
    <w:rsid w:val="5BC772C9"/>
    <w:rsid w:val="5BF50377"/>
    <w:rsid w:val="5C465FA2"/>
    <w:rsid w:val="5C544090"/>
    <w:rsid w:val="5C726BB6"/>
    <w:rsid w:val="5C7322D1"/>
    <w:rsid w:val="5CEF4070"/>
    <w:rsid w:val="5CFC28A8"/>
    <w:rsid w:val="5D246FFC"/>
    <w:rsid w:val="5D36426B"/>
    <w:rsid w:val="5DDA696A"/>
    <w:rsid w:val="5E410FFD"/>
    <w:rsid w:val="5E544606"/>
    <w:rsid w:val="5E8E05EA"/>
    <w:rsid w:val="5EFB61FA"/>
    <w:rsid w:val="5F2C7D02"/>
    <w:rsid w:val="5F31206E"/>
    <w:rsid w:val="5F7663E9"/>
    <w:rsid w:val="5FB656F9"/>
    <w:rsid w:val="5FBC2CFA"/>
    <w:rsid w:val="5FC53466"/>
    <w:rsid w:val="5FD13015"/>
    <w:rsid w:val="5FF56DB4"/>
    <w:rsid w:val="60190EE3"/>
    <w:rsid w:val="601D48F2"/>
    <w:rsid w:val="601E31F8"/>
    <w:rsid w:val="602832C7"/>
    <w:rsid w:val="602D42BF"/>
    <w:rsid w:val="603D1F50"/>
    <w:rsid w:val="603F673E"/>
    <w:rsid w:val="605467C6"/>
    <w:rsid w:val="60D605A1"/>
    <w:rsid w:val="612C537D"/>
    <w:rsid w:val="61464F6C"/>
    <w:rsid w:val="61515A7F"/>
    <w:rsid w:val="61633E93"/>
    <w:rsid w:val="61A4558D"/>
    <w:rsid w:val="61C32B70"/>
    <w:rsid w:val="61D54EA8"/>
    <w:rsid w:val="61E045CD"/>
    <w:rsid w:val="61E23930"/>
    <w:rsid w:val="62016875"/>
    <w:rsid w:val="623E052A"/>
    <w:rsid w:val="628B7263"/>
    <w:rsid w:val="62902D58"/>
    <w:rsid w:val="62AE4BDA"/>
    <w:rsid w:val="62C97640"/>
    <w:rsid w:val="62D27C48"/>
    <w:rsid w:val="6307315E"/>
    <w:rsid w:val="63184211"/>
    <w:rsid w:val="631B5AD9"/>
    <w:rsid w:val="635514AC"/>
    <w:rsid w:val="635C575B"/>
    <w:rsid w:val="63672302"/>
    <w:rsid w:val="636863CF"/>
    <w:rsid w:val="63715219"/>
    <w:rsid w:val="63752C12"/>
    <w:rsid w:val="638C1080"/>
    <w:rsid w:val="63B413CF"/>
    <w:rsid w:val="63D4721A"/>
    <w:rsid w:val="63FF6C27"/>
    <w:rsid w:val="6405263C"/>
    <w:rsid w:val="642454D9"/>
    <w:rsid w:val="6464336B"/>
    <w:rsid w:val="653C5193"/>
    <w:rsid w:val="655C7828"/>
    <w:rsid w:val="658B4967"/>
    <w:rsid w:val="65CB1350"/>
    <w:rsid w:val="66330E7B"/>
    <w:rsid w:val="66351622"/>
    <w:rsid w:val="665A2304"/>
    <w:rsid w:val="669C6349"/>
    <w:rsid w:val="66A80AC6"/>
    <w:rsid w:val="67144976"/>
    <w:rsid w:val="67202357"/>
    <w:rsid w:val="67603F26"/>
    <w:rsid w:val="67881D7C"/>
    <w:rsid w:val="67D3264E"/>
    <w:rsid w:val="67D63720"/>
    <w:rsid w:val="67EC027D"/>
    <w:rsid w:val="68024DD3"/>
    <w:rsid w:val="680F332B"/>
    <w:rsid w:val="6832253F"/>
    <w:rsid w:val="685C3C4D"/>
    <w:rsid w:val="687102AD"/>
    <w:rsid w:val="68724B40"/>
    <w:rsid w:val="68902798"/>
    <w:rsid w:val="690C7142"/>
    <w:rsid w:val="69412846"/>
    <w:rsid w:val="695907E9"/>
    <w:rsid w:val="6964290E"/>
    <w:rsid w:val="698304CD"/>
    <w:rsid w:val="69932BAE"/>
    <w:rsid w:val="69A16FDB"/>
    <w:rsid w:val="69BA6060"/>
    <w:rsid w:val="69ED5B2B"/>
    <w:rsid w:val="6A223F21"/>
    <w:rsid w:val="6A4771F0"/>
    <w:rsid w:val="6A641277"/>
    <w:rsid w:val="6A985E45"/>
    <w:rsid w:val="6AAD0001"/>
    <w:rsid w:val="6ACC3B62"/>
    <w:rsid w:val="6AE30427"/>
    <w:rsid w:val="6B1B05C6"/>
    <w:rsid w:val="6B35684E"/>
    <w:rsid w:val="6B6C1D6A"/>
    <w:rsid w:val="6B706DFD"/>
    <w:rsid w:val="6B735145"/>
    <w:rsid w:val="6B76701F"/>
    <w:rsid w:val="6BB64940"/>
    <w:rsid w:val="6BBA5ABD"/>
    <w:rsid w:val="6BC04151"/>
    <w:rsid w:val="6BFF6B53"/>
    <w:rsid w:val="6C161EDD"/>
    <w:rsid w:val="6C17534B"/>
    <w:rsid w:val="6C52384A"/>
    <w:rsid w:val="6C5F577B"/>
    <w:rsid w:val="6C5F6B13"/>
    <w:rsid w:val="6C831486"/>
    <w:rsid w:val="6C8C7141"/>
    <w:rsid w:val="6C903E5F"/>
    <w:rsid w:val="6C92595F"/>
    <w:rsid w:val="6CA31D11"/>
    <w:rsid w:val="6CE513BE"/>
    <w:rsid w:val="6CEE595E"/>
    <w:rsid w:val="6CF82160"/>
    <w:rsid w:val="6D094BFA"/>
    <w:rsid w:val="6D1D7324"/>
    <w:rsid w:val="6D283EB3"/>
    <w:rsid w:val="6D476F5C"/>
    <w:rsid w:val="6D524D35"/>
    <w:rsid w:val="6D631E8B"/>
    <w:rsid w:val="6DA45721"/>
    <w:rsid w:val="6DEF5724"/>
    <w:rsid w:val="6E2D7396"/>
    <w:rsid w:val="6E977E1E"/>
    <w:rsid w:val="6E9A083E"/>
    <w:rsid w:val="6F1013D6"/>
    <w:rsid w:val="6F1830F3"/>
    <w:rsid w:val="6F2C4E6B"/>
    <w:rsid w:val="6F7502BE"/>
    <w:rsid w:val="6F8E346E"/>
    <w:rsid w:val="6F922D77"/>
    <w:rsid w:val="6FA85985"/>
    <w:rsid w:val="6FD7718C"/>
    <w:rsid w:val="6FEA2DEF"/>
    <w:rsid w:val="70231C9D"/>
    <w:rsid w:val="70411BFE"/>
    <w:rsid w:val="707B5C7D"/>
    <w:rsid w:val="70876E49"/>
    <w:rsid w:val="708C386D"/>
    <w:rsid w:val="7093353E"/>
    <w:rsid w:val="70A25D2A"/>
    <w:rsid w:val="70EC15F1"/>
    <w:rsid w:val="70F606D1"/>
    <w:rsid w:val="710C3141"/>
    <w:rsid w:val="71104E62"/>
    <w:rsid w:val="711A4857"/>
    <w:rsid w:val="713927A1"/>
    <w:rsid w:val="71426CAF"/>
    <w:rsid w:val="719525E5"/>
    <w:rsid w:val="71C43EDF"/>
    <w:rsid w:val="71D12B7B"/>
    <w:rsid w:val="72047D57"/>
    <w:rsid w:val="7254510E"/>
    <w:rsid w:val="72563FB1"/>
    <w:rsid w:val="726E28BC"/>
    <w:rsid w:val="729701F7"/>
    <w:rsid w:val="72C13435"/>
    <w:rsid w:val="7332304C"/>
    <w:rsid w:val="73460DCF"/>
    <w:rsid w:val="736F51CC"/>
    <w:rsid w:val="73765DF7"/>
    <w:rsid w:val="739C093C"/>
    <w:rsid w:val="739D0315"/>
    <w:rsid w:val="73CE4F10"/>
    <w:rsid w:val="73DE0BF4"/>
    <w:rsid w:val="73EF72A5"/>
    <w:rsid w:val="73F01406"/>
    <w:rsid w:val="740166CA"/>
    <w:rsid w:val="741606DE"/>
    <w:rsid w:val="746B4618"/>
    <w:rsid w:val="746F2FAE"/>
    <w:rsid w:val="748E187D"/>
    <w:rsid w:val="74F727ED"/>
    <w:rsid w:val="75395A4F"/>
    <w:rsid w:val="75A60C51"/>
    <w:rsid w:val="75A62599"/>
    <w:rsid w:val="75C718AC"/>
    <w:rsid w:val="75E5168E"/>
    <w:rsid w:val="75E65018"/>
    <w:rsid w:val="75FD7923"/>
    <w:rsid w:val="764536B8"/>
    <w:rsid w:val="764C1E95"/>
    <w:rsid w:val="765340BE"/>
    <w:rsid w:val="76600B0B"/>
    <w:rsid w:val="76EC025F"/>
    <w:rsid w:val="77012C6A"/>
    <w:rsid w:val="77104195"/>
    <w:rsid w:val="77532B5B"/>
    <w:rsid w:val="77A17320"/>
    <w:rsid w:val="77A72B49"/>
    <w:rsid w:val="77BA48A1"/>
    <w:rsid w:val="77EA45C3"/>
    <w:rsid w:val="77F3515D"/>
    <w:rsid w:val="77F537AF"/>
    <w:rsid w:val="78427D95"/>
    <w:rsid w:val="78CE3373"/>
    <w:rsid w:val="78EA06B1"/>
    <w:rsid w:val="79303653"/>
    <w:rsid w:val="79332894"/>
    <w:rsid w:val="79432FDA"/>
    <w:rsid w:val="794E031B"/>
    <w:rsid w:val="796340FE"/>
    <w:rsid w:val="79F651E3"/>
    <w:rsid w:val="7A4A0DFD"/>
    <w:rsid w:val="7A552236"/>
    <w:rsid w:val="7A735659"/>
    <w:rsid w:val="7A7E0068"/>
    <w:rsid w:val="7AB60141"/>
    <w:rsid w:val="7AB7745D"/>
    <w:rsid w:val="7AC17447"/>
    <w:rsid w:val="7AD70C9B"/>
    <w:rsid w:val="7ADA5B3C"/>
    <w:rsid w:val="7B4531F1"/>
    <w:rsid w:val="7B4D07FD"/>
    <w:rsid w:val="7BAB3DF5"/>
    <w:rsid w:val="7BD26364"/>
    <w:rsid w:val="7BDB29F1"/>
    <w:rsid w:val="7C2F53CB"/>
    <w:rsid w:val="7C3A3603"/>
    <w:rsid w:val="7C461D0D"/>
    <w:rsid w:val="7C485C63"/>
    <w:rsid w:val="7CA834CE"/>
    <w:rsid w:val="7CB9036C"/>
    <w:rsid w:val="7D047631"/>
    <w:rsid w:val="7D3475DB"/>
    <w:rsid w:val="7D771F95"/>
    <w:rsid w:val="7D942460"/>
    <w:rsid w:val="7DDD5D1F"/>
    <w:rsid w:val="7E0B3754"/>
    <w:rsid w:val="7E3C4D54"/>
    <w:rsid w:val="7E563F68"/>
    <w:rsid w:val="7EC40A24"/>
    <w:rsid w:val="7EDE28E1"/>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8"/>
    <w:qFormat/>
    <w:uiPriority w:val="0"/>
    <w:pPr>
      <w:keepNext/>
      <w:jc w:val="center"/>
      <w:outlineLvl w:val="0"/>
    </w:pPr>
    <w:rPr>
      <w:rFonts w:eastAsia="黑体"/>
      <w:b/>
      <w:sz w:val="32"/>
      <w:szCs w:val="20"/>
    </w:rPr>
  </w:style>
  <w:style w:type="paragraph" w:styleId="5">
    <w:name w:val="heading 2"/>
    <w:basedOn w:val="1"/>
    <w:next w:val="1"/>
    <w:link w:val="66"/>
    <w:qFormat/>
    <w:uiPriority w:val="0"/>
    <w:pPr>
      <w:keepNext/>
      <w:outlineLvl w:val="1"/>
    </w:pPr>
    <w:rPr>
      <w:rFonts w:ascii="仿宋_GB2312"/>
      <w:b/>
      <w:sz w:val="28"/>
      <w:szCs w:val="32"/>
    </w:rPr>
  </w:style>
  <w:style w:type="paragraph" w:styleId="6">
    <w:name w:val="heading 3"/>
    <w:basedOn w:val="1"/>
    <w:next w:val="1"/>
    <w:link w:val="151"/>
    <w:qFormat/>
    <w:uiPriority w:val="0"/>
    <w:pPr>
      <w:keepNext/>
      <w:keepLines/>
      <w:spacing w:line="540" w:lineRule="atLeast"/>
      <w:outlineLvl w:val="2"/>
    </w:pPr>
    <w:rPr>
      <w:rFonts w:eastAsia="黑体"/>
      <w:b/>
      <w:sz w:val="28"/>
      <w:szCs w:val="20"/>
    </w:rPr>
  </w:style>
  <w:style w:type="paragraph" w:styleId="2">
    <w:name w:val="heading 4"/>
    <w:basedOn w:val="1"/>
    <w:next w:val="1"/>
    <w:link w:val="148"/>
    <w:qFormat/>
    <w:uiPriority w:val="0"/>
    <w:pPr>
      <w:keepNext/>
      <w:keepLines/>
      <w:spacing w:line="540" w:lineRule="atLeast"/>
      <w:outlineLvl w:val="3"/>
    </w:pPr>
    <w:rPr>
      <w:sz w:val="28"/>
      <w:szCs w:val="28"/>
    </w:rPr>
  </w:style>
  <w:style w:type="paragraph" w:styleId="7">
    <w:name w:val="heading 5"/>
    <w:basedOn w:val="1"/>
    <w:next w:val="1"/>
    <w:link w:val="131"/>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2"/>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69"/>
    <w:qFormat/>
    <w:uiPriority w:val="0"/>
    <w:pPr>
      <w:keepNext/>
      <w:keepLines/>
      <w:spacing w:before="240" w:after="64" w:line="317" w:lineRule="auto"/>
      <w:outlineLvl w:val="6"/>
    </w:pPr>
    <w:rPr>
      <w:b/>
      <w:sz w:val="24"/>
      <w:szCs w:val="20"/>
    </w:rPr>
  </w:style>
  <w:style w:type="paragraph" w:styleId="11">
    <w:name w:val="heading 8"/>
    <w:basedOn w:val="1"/>
    <w:next w:val="9"/>
    <w:link w:val="175"/>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2"/>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3">
    <w:name w:val="macro"/>
    <w:link w:val="1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4"/>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30"/>
    <w:qFormat/>
    <w:uiPriority w:val="0"/>
    <w:pPr>
      <w:shd w:val="clear" w:color="auto" w:fill="000080"/>
    </w:pPr>
  </w:style>
  <w:style w:type="paragraph" w:styleId="18">
    <w:name w:val="annotation text"/>
    <w:basedOn w:val="1"/>
    <w:link w:val="90"/>
    <w:qFormat/>
    <w:uiPriority w:val="0"/>
    <w:pPr>
      <w:jc w:val="left"/>
    </w:pPr>
  </w:style>
  <w:style w:type="paragraph" w:styleId="19">
    <w:name w:val="Salutation"/>
    <w:basedOn w:val="1"/>
    <w:next w:val="1"/>
    <w:link w:val="78"/>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4"/>
    <w:qFormat/>
    <w:uiPriority w:val="0"/>
    <w:pPr>
      <w:autoSpaceDE w:val="0"/>
      <w:autoSpaceDN w:val="0"/>
      <w:adjustRightInd w:val="0"/>
      <w:jc w:val="center"/>
    </w:pPr>
  </w:style>
  <w:style w:type="paragraph" w:styleId="21">
    <w:name w:val="Body Text"/>
    <w:basedOn w:val="1"/>
    <w:next w:val="22"/>
    <w:link w:val="163"/>
    <w:qFormat/>
    <w:uiPriority w:val="0"/>
    <w:pPr>
      <w:spacing w:after="120"/>
    </w:pPr>
    <w:rPr>
      <w:rFonts w:ascii="仿宋_GB2312"/>
      <w:b/>
    </w:rPr>
  </w:style>
  <w:style w:type="paragraph" w:styleId="22">
    <w:name w:val="Body Text First Indent"/>
    <w:basedOn w:val="21"/>
    <w:next w:val="23"/>
    <w:link w:val="195"/>
    <w:qFormat/>
    <w:uiPriority w:val="0"/>
    <w:pPr>
      <w:autoSpaceDE w:val="0"/>
      <w:autoSpaceDN w:val="0"/>
      <w:adjustRightInd w:val="0"/>
      <w:ind w:firstLine="420" w:firstLineChars="100"/>
      <w:jc w:val="left"/>
    </w:pPr>
    <w:rPr>
      <w:rFonts w:ascii="Times New Roman"/>
      <w:b w:val="0"/>
      <w:kern w:val="0"/>
      <w:sz w:val="20"/>
      <w:szCs w:val="20"/>
    </w:rPr>
  </w:style>
  <w:style w:type="paragraph" w:styleId="23">
    <w:name w:val="toc 6"/>
    <w:basedOn w:val="1"/>
    <w:next w:val="1"/>
    <w:qFormat/>
    <w:uiPriority w:val="0"/>
    <w:pPr>
      <w:autoSpaceDE w:val="0"/>
      <w:autoSpaceDN w:val="0"/>
      <w:adjustRightInd w:val="0"/>
      <w:ind w:left="2100" w:leftChars="1000"/>
      <w:jc w:val="left"/>
    </w:pPr>
    <w:rPr>
      <w:kern w:val="0"/>
      <w:sz w:val="20"/>
      <w:szCs w:val="20"/>
    </w:rPr>
  </w:style>
  <w:style w:type="paragraph" w:styleId="24">
    <w:name w:val="Body Text Indent"/>
    <w:basedOn w:val="1"/>
    <w:next w:val="25"/>
    <w:link w:val="143"/>
    <w:qFormat/>
    <w:uiPriority w:val="0"/>
    <w:pPr>
      <w:ind w:left="480" w:hanging="480" w:hangingChars="200"/>
    </w:pPr>
    <w:rPr>
      <w:sz w:val="24"/>
    </w:rPr>
  </w:style>
  <w:style w:type="paragraph" w:styleId="25">
    <w:name w:val="Body Text First Indent 2"/>
    <w:basedOn w:val="24"/>
    <w:qFormat/>
    <w:uiPriority w:val="0"/>
    <w:pPr>
      <w:spacing w:after="120"/>
      <w:ind w:left="420" w:leftChars="200" w:firstLine="420"/>
    </w:pPr>
    <w:rPr>
      <w:rFonts w:cs="宋体"/>
      <w:sz w:val="21"/>
      <w:szCs w:val="21"/>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0"/>
    <w:pPr>
      <w:spacing w:line="520" w:lineRule="exact"/>
      <w:ind w:left="540" w:leftChars="257" w:right="-514"/>
    </w:pPr>
    <w:rPr>
      <w:rFonts w:ascii="宋体" w:hAnsi="宋体"/>
      <w:sz w:val="24"/>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0"/>
    <w:pPr>
      <w:autoSpaceDE w:val="0"/>
      <w:autoSpaceDN w:val="0"/>
      <w:adjustRightInd w:val="0"/>
      <w:ind w:left="1680" w:leftChars="800"/>
      <w:jc w:val="left"/>
    </w:pPr>
    <w:rPr>
      <w:kern w:val="0"/>
      <w:sz w:val="20"/>
      <w:szCs w:val="20"/>
    </w:rPr>
  </w:style>
  <w:style w:type="paragraph" w:styleId="30">
    <w:name w:val="toc 3"/>
    <w:basedOn w:val="1"/>
    <w:next w:val="1"/>
    <w:qFormat/>
    <w:uiPriority w:val="0"/>
    <w:pPr>
      <w:ind w:left="840" w:leftChars="400"/>
    </w:pPr>
  </w:style>
  <w:style w:type="paragraph" w:styleId="31">
    <w:name w:val="Plain Text"/>
    <w:basedOn w:val="1"/>
    <w:link w:val="19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32"/>
    <w:qFormat/>
    <w:uiPriority w:val="0"/>
    <w:pPr>
      <w:ind w:left="100" w:leftChars="2500"/>
    </w:pPr>
  </w:style>
  <w:style w:type="paragraph" w:styleId="35">
    <w:name w:val="Body Text Indent 2"/>
    <w:basedOn w:val="1"/>
    <w:link w:val="177"/>
    <w:qFormat/>
    <w:uiPriority w:val="0"/>
    <w:pPr>
      <w:spacing w:line="500" w:lineRule="exact"/>
      <w:ind w:firstLine="511" w:firstLineChars="213"/>
    </w:pPr>
    <w:rPr>
      <w:sz w:val="24"/>
    </w:rPr>
  </w:style>
  <w:style w:type="paragraph" w:styleId="36">
    <w:name w:val="Balloon Text"/>
    <w:basedOn w:val="1"/>
    <w:link w:val="150"/>
    <w:qFormat/>
    <w:uiPriority w:val="0"/>
    <w:rPr>
      <w:sz w:val="18"/>
      <w:szCs w:val="18"/>
    </w:rPr>
  </w:style>
  <w:style w:type="paragraph" w:styleId="37">
    <w:name w:val="footer"/>
    <w:basedOn w:val="1"/>
    <w:link w:val="119"/>
    <w:qFormat/>
    <w:uiPriority w:val="0"/>
    <w:pPr>
      <w:tabs>
        <w:tab w:val="center" w:pos="4153"/>
        <w:tab w:val="right" w:pos="8306"/>
      </w:tabs>
      <w:snapToGrid w:val="0"/>
      <w:jc w:val="left"/>
    </w:pPr>
    <w:rPr>
      <w:sz w:val="18"/>
      <w:szCs w:val="18"/>
    </w:rPr>
  </w:style>
  <w:style w:type="paragraph" w:styleId="38">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53"/>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33"/>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style>
  <w:style w:type="paragraph" w:styleId="45">
    <w:name w:val="Body Text Indent 3"/>
    <w:basedOn w:val="1"/>
    <w:link w:val="145"/>
    <w:qFormat/>
    <w:uiPriority w:val="0"/>
    <w:pPr>
      <w:spacing w:line="500" w:lineRule="exact"/>
      <w:ind w:left="511" w:hanging="511" w:hangingChars="213"/>
    </w:pPr>
    <w:rPr>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7"/>
    <w:qFormat/>
    <w:uiPriority w:val="0"/>
    <w:pPr>
      <w:autoSpaceDE w:val="0"/>
      <w:autoSpaceDN w:val="0"/>
      <w:adjustRightInd w:val="0"/>
      <w:spacing w:after="120" w:line="480" w:lineRule="auto"/>
      <w:jc w:val="left"/>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0"/>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95"/>
    <w:qFormat/>
    <w:uiPriority w:val="0"/>
    <w:rPr>
      <w:b/>
      <w:bCs/>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rFonts w:ascii="仿宋_GB2312" w:eastAsia="仿宋_GB2312"/>
      <w:bCs/>
      <w:sz w:val="32"/>
      <w:szCs w:val="32"/>
    </w:rPr>
  </w:style>
  <w:style w:type="character" w:styleId="56">
    <w:name w:val="page number"/>
    <w:basedOn w:val="54"/>
    <w:qFormat/>
    <w:uiPriority w:val="0"/>
  </w:style>
  <w:style w:type="character" w:styleId="57">
    <w:name w:val="FollowedHyperlink"/>
    <w:qFormat/>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qFormat/>
    <w:uiPriority w:val="0"/>
  </w:style>
  <w:style w:type="character" w:styleId="60">
    <w:name w:val="Hyperlink"/>
    <w:qFormat/>
    <w:uiPriority w:val="0"/>
    <w:rPr>
      <w:rFonts w:ascii="仿宋_GB2312" w:eastAsia="仿宋_GB2312"/>
      <w:b/>
      <w:color w:val="0000FF"/>
      <w:sz w:val="32"/>
      <w:szCs w:val="32"/>
      <w:u w:val="none"/>
    </w:rPr>
  </w:style>
  <w:style w:type="character" w:styleId="61">
    <w:name w:val="annotation reference"/>
    <w:qFormat/>
    <w:uiPriority w:val="0"/>
    <w:rPr>
      <w:sz w:val="21"/>
      <w:szCs w:val="21"/>
    </w:rPr>
  </w:style>
  <w:style w:type="character" w:styleId="62">
    <w:name w:val="HTML Cite"/>
    <w:qFormat/>
    <w:uiPriority w:val="0"/>
    <w:rPr>
      <w:color w:val="008000"/>
    </w:rPr>
  </w:style>
  <w:style w:type="paragraph" w:customStyle="1" w:styleId="63">
    <w:name w:val="Char3 Char Char Char"/>
    <w:basedOn w:val="1"/>
    <w:qFormat/>
    <w:uiPriority w:val="0"/>
  </w:style>
  <w:style w:type="character" w:customStyle="1" w:styleId="64">
    <w:name w:val="不明显参考1"/>
    <w:qFormat/>
    <w:uiPriority w:val="0"/>
    <w:rPr>
      <w:smallCaps/>
      <w:color w:val="C0504D"/>
      <w:u w:val="single"/>
    </w:rPr>
  </w:style>
  <w:style w:type="character" w:customStyle="1" w:styleId="65">
    <w:name w:val="PI Char1"/>
    <w:qFormat/>
    <w:uiPriority w:val="0"/>
    <w:rPr>
      <w:rFonts w:eastAsia="宋体"/>
      <w:kern w:val="2"/>
      <w:sz w:val="24"/>
      <w:szCs w:val="24"/>
      <w:lang w:val="en-US" w:eastAsia="zh-CN" w:bidi="ar-SA"/>
    </w:rPr>
  </w:style>
  <w:style w:type="character" w:customStyle="1" w:styleId="66">
    <w:name w:val="标题 2 Char"/>
    <w:link w:val="5"/>
    <w:qFormat/>
    <w:uiPriority w:val="0"/>
    <w:rPr>
      <w:rFonts w:ascii="仿宋_GB2312" w:eastAsia="宋体"/>
      <w:b/>
      <w:kern w:val="2"/>
      <w:sz w:val="28"/>
      <w:szCs w:val="32"/>
      <w:lang w:val="en-US" w:eastAsia="zh-CN" w:bidi="ar-SA"/>
    </w:rPr>
  </w:style>
  <w:style w:type="character" w:customStyle="1" w:styleId="67">
    <w:name w:val="pt141"/>
    <w:qFormat/>
    <w:uiPriority w:val="0"/>
    <w:rPr>
      <w:color w:val="330066"/>
      <w:spacing w:val="450"/>
      <w:sz w:val="22"/>
      <w:szCs w:val="22"/>
    </w:rPr>
  </w:style>
  <w:style w:type="character" w:customStyle="1" w:styleId="68">
    <w:name w:val="Char Char27"/>
    <w:qFormat/>
    <w:uiPriority w:val="0"/>
    <w:rPr>
      <w:rFonts w:eastAsia="宋体"/>
      <w:kern w:val="2"/>
      <w:sz w:val="28"/>
      <w:lang w:val="en-US" w:eastAsia="zh-CN" w:bidi="ar-SA"/>
    </w:rPr>
  </w:style>
  <w:style w:type="character" w:customStyle="1" w:styleId="69">
    <w:name w:val="标题 7 Char"/>
    <w:link w:val="10"/>
    <w:qFormat/>
    <w:uiPriority w:val="0"/>
    <w:rPr>
      <w:rFonts w:eastAsia="宋体"/>
      <w:b/>
      <w:kern w:val="2"/>
      <w:sz w:val="24"/>
      <w:lang w:val="en-US" w:eastAsia="zh-CN" w:bidi="ar-SA"/>
    </w:rPr>
  </w:style>
  <w:style w:type="character" w:customStyle="1" w:styleId="70">
    <w:name w:val="明显参考1"/>
    <w:qFormat/>
    <w:uiPriority w:val="0"/>
    <w:rPr>
      <w:b/>
      <w:bCs/>
      <w:smallCaps/>
      <w:color w:val="C0504D"/>
      <w:spacing w:val="5"/>
      <w:u w:val="single"/>
    </w:rPr>
  </w:style>
  <w:style w:type="character" w:customStyle="1" w:styleId="71">
    <w:name w:val="书籍标题1"/>
    <w:qFormat/>
    <w:uiPriority w:val="0"/>
    <w:rPr>
      <w:b/>
      <w:bCs/>
      <w:smallCaps/>
      <w:spacing w:val="5"/>
    </w:rPr>
  </w:style>
  <w:style w:type="character" w:customStyle="1" w:styleId="72">
    <w:name w:val="Char Char61"/>
    <w:qFormat/>
    <w:uiPriority w:val="0"/>
    <w:rPr>
      <w:rFonts w:ascii="Times New Roman" w:hAnsi="Times New Roman" w:eastAsia="宋体" w:cs="Times New Roman"/>
      <w:szCs w:val="24"/>
    </w:rPr>
  </w:style>
  <w:style w:type="character" w:customStyle="1" w:styleId="73">
    <w:name w:val="Char Char24"/>
    <w:qFormat/>
    <w:uiPriority w:val="0"/>
    <w:rPr>
      <w:rFonts w:eastAsia="宋体"/>
      <w:b/>
      <w:kern w:val="2"/>
      <w:sz w:val="28"/>
      <w:lang w:val="en-US" w:eastAsia="zh-CN" w:bidi="ar-SA"/>
    </w:rPr>
  </w:style>
  <w:style w:type="character" w:customStyle="1" w:styleId="74">
    <w:name w:val="Style4"/>
    <w:qFormat/>
    <w:uiPriority w:val="0"/>
    <w:rPr>
      <w:rFonts w:ascii="Calibri" w:hAnsi="宋体" w:eastAsia="宋体" w:cs="Times New Roman"/>
      <w:szCs w:val="22"/>
      <w:lang w:eastAsia="zh-CN"/>
    </w:rPr>
  </w:style>
  <w:style w:type="character" w:customStyle="1" w:styleId="75">
    <w:name w:val="Style1"/>
    <w:qFormat/>
    <w:uiPriority w:val="0"/>
    <w:rPr>
      <w:rFonts w:ascii="Calibri" w:hAnsi="宋体" w:eastAsia="宋体" w:cs="Times New Roman"/>
      <w:sz w:val="22"/>
      <w:szCs w:val="22"/>
      <w:lang w:eastAsia="zh-CN"/>
    </w:rPr>
  </w:style>
  <w:style w:type="character" w:customStyle="1" w:styleId="76">
    <w:name w:val="heading 1 Char1"/>
    <w:qFormat/>
    <w:uiPriority w:val="0"/>
    <w:rPr>
      <w:rFonts w:eastAsia="宋体"/>
      <w:b/>
      <w:bCs/>
      <w:kern w:val="44"/>
      <w:sz w:val="44"/>
      <w:szCs w:val="44"/>
      <w:lang w:val="en-US" w:eastAsia="zh-CN" w:bidi="ar-SA"/>
    </w:rPr>
  </w:style>
  <w:style w:type="character" w:customStyle="1" w:styleId="77">
    <w:name w:val="Style5"/>
    <w:qFormat/>
    <w:uiPriority w:val="0"/>
    <w:rPr>
      <w:rFonts w:ascii="Calibri" w:hAnsi="宋体" w:eastAsia="宋体" w:cs="Times New Roman"/>
      <w:sz w:val="22"/>
      <w:szCs w:val="22"/>
      <w:lang w:eastAsia="zh-CN"/>
    </w:rPr>
  </w:style>
  <w:style w:type="character" w:customStyle="1" w:styleId="78">
    <w:name w:val="称呼 Char"/>
    <w:link w:val="19"/>
    <w:qFormat/>
    <w:uiPriority w:val="0"/>
    <w:rPr>
      <w:rFonts w:ascii="仿宋_GB2312" w:eastAsia="仿宋_GB2312"/>
      <w:b/>
      <w:sz w:val="24"/>
      <w:szCs w:val="32"/>
    </w:rPr>
  </w:style>
  <w:style w:type="character" w:customStyle="1" w:styleId="79">
    <w:name w:val="Ò³Ã¼ Char Char2"/>
    <w:qFormat/>
    <w:uiPriority w:val="0"/>
    <w:rPr>
      <w:kern w:val="2"/>
      <w:sz w:val="18"/>
      <w:szCs w:val="18"/>
    </w:rPr>
  </w:style>
  <w:style w:type="character" w:customStyle="1" w:styleId="80">
    <w:name w:val="明显强调1"/>
    <w:qFormat/>
    <w:uiPriority w:val="0"/>
    <w:rPr>
      <w:b/>
      <w:bCs/>
      <w:i/>
      <w:iCs/>
      <w:color w:val="4F81BD"/>
    </w:rPr>
  </w:style>
  <w:style w:type="character" w:customStyle="1" w:styleId="81">
    <w:name w:val="样式 标题 3 + 黑体 小四 Char Char"/>
    <w:link w:val="82"/>
    <w:qFormat/>
    <w:uiPriority w:val="0"/>
    <w:rPr>
      <w:rFonts w:ascii="黑体" w:hAnsi="Arial" w:eastAsia="黑体"/>
      <w:bCs/>
      <w:sz w:val="24"/>
      <w:szCs w:val="24"/>
      <w:lang w:bidi="ar-SA"/>
    </w:rPr>
  </w:style>
  <w:style w:type="paragraph" w:customStyle="1" w:styleId="82">
    <w:name w:val="样式 标题 3 + 黑体 小四"/>
    <w:basedOn w:val="6"/>
    <w:link w:val="81"/>
    <w:qFormat/>
    <w:uiPriority w:val="0"/>
    <w:pPr>
      <w:spacing w:before="260" w:after="260" w:line="413" w:lineRule="auto"/>
    </w:pPr>
    <w:rPr>
      <w:rFonts w:ascii="黑体" w:hAnsi="Arial"/>
      <w:b w:val="0"/>
      <w:bCs/>
      <w:kern w:val="0"/>
      <w:sz w:val="24"/>
      <w:szCs w:val="24"/>
    </w:rPr>
  </w:style>
  <w:style w:type="character" w:customStyle="1" w:styleId="83">
    <w:name w:val="heading 7 Char1"/>
    <w:qFormat/>
    <w:uiPriority w:val="0"/>
    <w:rPr>
      <w:rFonts w:ascii="Arial" w:hAnsi="Arial" w:eastAsia="黑体"/>
      <w:sz w:val="21"/>
      <w:szCs w:val="21"/>
      <w:lang w:val="en-US" w:eastAsia="zh-CN" w:bidi="ar-SA"/>
    </w:rPr>
  </w:style>
  <w:style w:type="character" w:customStyle="1" w:styleId="84">
    <w:name w:val="Char Char1"/>
    <w:qFormat/>
    <w:uiPriority w:val="0"/>
    <w:rPr>
      <w:rFonts w:eastAsia="宋体"/>
      <w:sz w:val="21"/>
      <w:lang w:val="en-US" w:eastAsia="zh-CN" w:bidi="ar-SA"/>
    </w:rPr>
  </w:style>
  <w:style w:type="character" w:customStyle="1" w:styleId="85">
    <w:name w:val="Char Char12"/>
    <w:qFormat/>
    <w:uiPriority w:val="0"/>
    <w:rPr>
      <w:rFonts w:eastAsia="宋体"/>
      <w:kern w:val="2"/>
      <w:sz w:val="21"/>
      <w:szCs w:val="24"/>
      <w:lang w:val="en-US" w:eastAsia="zh-CN" w:bidi="ar-SA"/>
    </w:rPr>
  </w:style>
  <w:style w:type="character" w:customStyle="1" w:styleId="86">
    <w:name w:val="Char Char18"/>
    <w:qFormat/>
    <w:uiPriority w:val="0"/>
    <w:rPr>
      <w:b/>
      <w:bCs/>
      <w:kern w:val="2"/>
      <w:sz w:val="32"/>
      <w:szCs w:val="32"/>
    </w:rPr>
  </w:style>
  <w:style w:type="character" w:customStyle="1" w:styleId="87">
    <w:name w:val="Char Char4"/>
    <w:qFormat/>
    <w:uiPriority w:val="0"/>
    <w:rPr>
      <w:rFonts w:ascii="Cambria" w:hAnsi="Cambria" w:eastAsia="宋体"/>
      <w:b/>
      <w:bCs/>
      <w:sz w:val="32"/>
      <w:szCs w:val="32"/>
      <w:lang w:bidi="ar-SA"/>
    </w:rPr>
  </w:style>
  <w:style w:type="character" w:customStyle="1" w:styleId="88">
    <w:name w:val="PI Char"/>
    <w:qFormat/>
    <w:uiPriority w:val="0"/>
    <w:rPr>
      <w:rFonts w:ascii="宋体" w:hAnsi="宋体"/>
      <w:sz w:val="24"/>
    </w:rPr>
  </w:style>
  <w:style w:type="character" w:customStyle="1" w:styleId="89">
    <w:name w:val="明显参考2"/>
    <w:qFormat/>
    <w:uiPriority w:val="0"/>
    <w:rPr>
      <w:b/>
      <w:bCs/>
      <w:smallCaps/>
      <w:color w:val="C0504D"/>
      <w:spacing w:val="5"/>
      <w:u w:val="single"/>
    </w:rPr>
  </w:style>
  <w:style w:type="character" w:customStyle="1" w:styleId="90">
    <w:name w:val="批注文字 Char"/>
    <w:link w:val="18"/>
    <w:qFormat/>
    <w:uiPriority w:val="0"/>
    <w:rPr>
      <w:rFonts w:eastAsia="宋体"/>
      <w:kern w:val="2"/>
      <w:sz w:val="21"/>
      <w:szCs w:val="24"/>
      <w:lang w:val="en-US" w:eastAsia="zh-CN" w:bidi="ar-SA"/>
    </w:rPr>
  </w:style>
  <w:style w:type="character" w:customStyle="1" w:styleId="91">
    <w:name w:val="Style2"/>
    <w:qFormat/>
    <w:uiPriority w:val="0"/>
    <w:rPr>
      <w:rFonts w:ascii="Calibri" w:hAnsi="宋体" w:eastAsia="宋体" w:cs="Times New Roman"/>
      <w:sz w:val="22"/>
      <w:szCs w:val="22"/>
      <w:lang w:eastAsia="zh-CN"/>
    </w:rPr>
  </w:style>
  <w:style w:type="character" w:customStyle="1" w:styleId="92">
    <w:name w:val="Footer-Even Char1"/>
    <w:qFormat/>
    <w:uiPriority w:val="0"/>
    <w:rPr>
      <w:rFonts w:eastAsia="宋体"/>
      <w:kern w:val="2"/>
      <w:sz w:val="18"/>
      <w:szCs w:val="18"/>
      <w:lang w:val="en-US" w:eastAsia="zh-CN" w:bidi="ar-SA"/>
    </w:rPr>
  </w:style>
  <w:style w:type="character" w:customStyle="1" w:styleId="93">
    <w:name w:val="heading 4 Char1"/>
    <w:qFormat/>
    <w:uiPriority w:val="0"/>
    <w:rPr>
      <w:rFonts w:ascii="Cambria" w:hAnsi="Cambria" w:eastAsia="宋体"/>
      <w:b/>
      <w:bCs/>
      <w:kern w:val="2"/>
      <w:sz w:val="28"/>
      <w:szCs w:val="28"/>
      <w:lang w:val="en-US" w:eastAsia="zh-CN" w:bidi="ar-SA"/>
    </w:rPr>
  </w:style>
  <w:style w:type="character" w:customStyle="1" w:styleId="94">
    <w:name w:val="正文文本 3 Char"/>
    <w:basedOn w:val="54"/>
    <w:link w:val="20"/>
    <w:qFormat/>
    <w:uiPriority w:val="0"/>
  </w:style>
  <w:style w:type="character" w:customStyle="1" w:styleId="95">
    <w:name w:val="批注主题 Char"/>
    <w:link w:val="51"/>
    <w:qFormat/>
    <w:uiPriority w:val="0"/>
    <w:rPr>
      <w:rFonts w:eastAsia="宋体"/>
      <w:b/>
      <w:bCs/>
      <w:kern w:val="2"/>
      <w:sz w:val="21"/>
      <w:szCs w:val="24"/>
      <w:lang w:val="en-US" w:eastAsia="zh-CN" w:bidi="ar-SA"/>
    </w:rPr>
  </w:style>
  <w:style w:type="character" w:customStyle="1" w:styleId="96">
    <w:name w:val="不明显参考11"/>
    <w:qFormat/>
    <w:uiPriority w:val="0"/>
    <w:rPr>
      <w:smallCaps/>
      <w:color w:val="C0504D"/>
      <w:u w:val="single"/>
    </w:rPr>
  </w:style>
  <w:style w:type="character" w:customStyle="1" w:styleId="97">
    <w:name w:val="Plain Text Char"/>
    <w:qFormat/>
    <w:uiPriority w:val="0"/>
    <w:rPr>
      <w:rFonts w:ascii="宋体" w:hAnsi="Courier New" w:eastAsia="宋体" w:cs="Times New Roman"/>
      <w:sz w:val="21"/>
      <w:szCs w:val="21"/>
    </w:rPr>
  </w:style>
  <w:style w:type="character" w:customStyle="1" w:styleId="98">
    <w:name w:val="Char Char111"/>
    <w:qFormat/>
    <w:uiPriority w:val="0"/>
    <w:rPr>
      <w:rFonts w:ascii="Times New Roman" w:hAnsi="Times New Roman" w:eastAsia="宋体" w:cs="Times New Roman"/>
      <w:sz w:val="18"/>
      <w:szCs w:val="18"/>
    </w:rPr>
  </w:style>
  <w:style w:type="character" w:customStyle="1" w:styleId="99">
    <w:name w:val="无间距字符"/>
    <w:link w:val="100"/>
    <w:qFormat/>
    <w:uiPriority w:val="0"/>
    <w:rPr>
      <w:rFonts w:eastAsia="Times New Roman"/>
      <w:sz w:val="22"/>
      <w:szCs w:val="22"/>
      <w:lang w:val="en-US" w:eastAsia="zh-CN" w:bidi="ar-SA"/>
    </w:rPr>
  </w:style>
  <w:style w:type="paragraph" w:customStyle="1" w:styleId="100">
    <w:name w:val="无间距"/>
    <w:link w:val="99"/>
    <w:qFormat/>
    <w:uiPriority w:val="0"/>
    <w:rPr>
      <w:rFonts w:ascii="Times New Roman" w:hAnsi="Times New Roman" w:eastAsia="Times New Roman" w:cs="Times New Roman"/>
      <w:sz w:val="22"/>
      <w:szCs w:val="22"/>
      <w:lang w:val="en-US" w:eastAsia="zh-CN" w:bidi="ar-SA"/>
    </w:rPr>
  </w:style>
  <w:style w:type="character" w:customStyle="1" w:styleId="101">
    <w:name w:val="heading 5 Char2"/>
    <w:qFormat/>
    <w:uiPriority w:val="0"/>
    <w:rPr>
      <w:b/>
      <w:bCs/>
      <w:kern w:val="2"/>
      <w:sz w:val="28"/>
      <w:szCs w:val="28"/>
    </w:rPr>
  </w:style>
  <w:style w:type="character" w:customStyle="1" w:styleId="102">
    <w:name w:val="样式2 Char Char"/>
    <w:link w:val="103"/>
    <w:qFormat/>
    <w:uiPriority w:val="0"/>
    <w:rPr>
      <w:rFonts w:ascii="宋体" w:hAnsi="宋体" w:eastAsia="宋体"/>
      <w:bCs/>
      <w:kern w:val="2"/>
      <w:sz w:val="28"/>
      <w:szCs w:val="28"/>
      <w:lang w:val="en-US" w:eastAsia="zh-CN" w:bidi="ar-SA"/>
    </w:rPr>
  </w:style>
  <w:style w:type="paragraph" w:customStyle="1" w:styleId="103">
    <w:name w:val="样式2"/>
    <w:basedOn w:val="5"/>
    <w:link w:val="102"/>
    <w:qFormat/>
    <w:uiPriority w:val="0"/>
    <w:pPr>
      <w:keepLines/>
      <w:snapToGrid w:val="0"/>
      <w:spacing w:before="260" w:afterLines="50" w:line="480" w:lineRule="exact"/>
      <w:ind w:firstLine="556"/>
    </w:pPr>
    <w:rPr>
      <w:rFonts w:ascii="宋体" w:hAnsi="宋体"/>
      <w:b w:val="0"/>
      <w:bCs/>
      <w:szCs w:val="28"/>
    </w:rPr>
  </w:style>
  <w:style w:type="character" w:customStyle="1" w:styleId="104">
    <w:name w:val="正文缩进 Char"/>
    <w:link w:val="9"/>
    <w:qFormat/>
    <w:uiPriority w:val="0"/>
    <w:rPr>
      <w:rFonts w:ascii="仿宋_GB2312" w:eastAsia="宋体"/>
      <w:b/>
      <w:sz w:val="21"/>
      <w:szCs w:val="32"/>
      <w:lang w:val="en-US" w:eastAsia="zh-CN" w:bidi="ar-SA"/>
    </w:rPr>
  </w:style>
  <w:style w:type="character" w:customStyle="1" w:styleId="105">
    <w:name w:val="heading 2 Char1"/>
    <w:qFormat/>
    <w:uiPriority w:val="0"/>
    <w:rPr>
      <w:rFonts w:ascii="Cambria" w:hAnsi="Cambria" w:eastAsia="宋体"/>
      <w:b/>
      <w:bCs/>
      <w:kern w:val="2"/>
      <w:sz w:val="32"/>
      <w:szCs w:val="32"/>
      <w:lang w:val="en-US" w:eastAsia="zh-CN" w:bidi="ar-SA"/>
    </w:rPr>
  </w:style>
  <w:style w:type="character" w:customStyle="1" w:styleId="106">
    <w:name w:val="heading 3 Char1"/>
    <w:qFormat/>
    <w:uiPriority w:val="0"/>
    <w:rPr>
      <w:rFonts w:eastAsia="宋体"/>
      <w:b/>
      <w:bCs/>
      <w:kern w:val="2"/>
      <w:sz w:val="32"/>
      <w:szCs w:val="32"/>
      <w:lang w:val="en-US" w:eastAsia="zh-CN" w:bidi="ar-SA"/>
    </w:rPr>
  </w:style>
  <w:style w:type="character" w:customStyle="1" w:styleId="107">
    <w:name w:val="Char Char15"/>
    <w:qFormat/>
    <w:uiPriority w:val="0"/>
    <w:rPr>
      <w:rFonts w:ascii="Arial" w:hAnsi="Arial" w:eastAsia="黑体"/>
      <w:sz w:val="24"/>
      <w:szCs w:val="24"/>
    </w:rPr>
  </w:style>
  <w:style w:type="character" w:customStyle="1" w:styleId="108">
    <w:name w:val="heading 1 Char"/>
    <w:qFormat/>
    <w:uiPriority w:val="0"/>
    <w:rPr>
      <w:rFonts w:ascii="Arial" w:hAnsi="Arial" w:eastAsia="黑体"/>
      <w:b/>
      <w:sz w:val="36"/>
      <w:szCs w:val="36"/>
    </w:rPr>
  </w:style>
  <w:style w:type="character" w:customStyle="1" w:styleId="109">
    <w:name w:val="ändrad Char"/>
    <w:qFormat/>
    <w:uiPriority w:val="0"/>
    <w:rPr>
      <w:rFonts w:eastAsia="宋体"/>
      <w:kern w:val="2"/>
      <w:sz w:val="21"/>
      <w:szCs w:val="24"/>
      <w:lang w:val="en-US" w:eastAsia="zh-CN" w:bidi="ar-SA"/>
    </w:rPr>
  </w:style>
  <w:style w:type="character" w:customStyle="1" w:styleId="110">
    <w:name w:val="标题 Char"/>
    <w:link w:val="50"/>
    <w:qFormat/>
    <w:uiPriority w:val="0"/>
    <w:rPr>
      <w:rFonts w:ascii="Cambria" w:hAnsi="Cambria" w:eastAsia="宋体"/>
      <w:b/>
      <w:bCs/>
      <w:kern w:val="2"/>
      <w:sz w:val="32"/>
      <w:szCs w:val="32"/>
      <w:lang w:val="en-US" w:eastAsia="zh-CN" w:bidi="ar-SA"/>
    </w:rPr>
  </w:style>
  <w:style w:type="character" w:customStyle="1" w:styleId="111">
    <w:name w:val="Char Char22"/>
    <w:qFormat/>
    <w:uiPriority w:val="0"/>
    <w:rPr>
      <w:rFonts w:ascii="Arial" w:hAnsi="Arial" w:eastAsia="黑体"/>
      <w:b/>
      <w:bCs/>
      <w:kern w:val="44"/>
      <w:sz w:val="30"/>
      <w:szCs w:val="44"/>
      <w:lang w:val="en-US" w:eastAsia="zh-CN" w:bidi="ar-SA"/>
    </w:rPr>
  </w:style>
  <w:style w:type="character" w:customStyle="1" w:styleId="112">
    <w:name w:val="blue1"/>
    <w:basedOn w:val="54"/>
    <w:qFormat/>
    <w:uiPriority w:val="0"/>
  </w:style>
  <w:style w:type="character" w:customStyle="1" w:styleId="113">
    <w:name w:val="样式 宋体"/>
    <w:qFormat/>
    <w:uiPriority w:val="0"/>
    <w:rPr>
      <w:rFonts w:ascii="宋体" w:hAnsi="宋体" w:eastAsia="宋体"/>
      <w:sz w:val="24"/>
      <w:szCs w:val="24"/>
    </w:rPr>
  </w:style>
  <w:style w:type="character" w:customStyle="1" w:styleId="114">
    <w:name w:val="dandyren_title1"/>
    <w:qFormat/>
    <w:uiPriority w:val="0"/>
    <w:rPr>
      <w:b/>
      <w:bCs/>
      <w:color w:val="FF6633"/>
      <w:sz w:val="18"/>
      <w:szCs w:val="18"/>
    </w:rPr>
  </w:style>
  <w:style w:type="character" w:customStyle="1" w:styleId="115">
    <w:name w:val="font21"/>
    <w:basedOn w:val="54"/>
    <w:qFormat/>
    <w:uiPriority w:val="0"/>
    <w:rPr>
      <w:rFonts w:ascii="Wingdings 2" w:hAnsi="Wingdings 2" w:eastAsia="Wingdings 2" w:cs="Wingdings 2"/>
      <w:b/>
      <w:color w:val="000000"/>
      <w:sz w:val="20"/>
      <w:szCs w:val="20"/>
      <w:u w:val="none"/>
    </w:rPr>
  </w:style>
  <w:style w:type="character" w:customStyle="1" w:styleId="116">
    <w:name w:val="Ò³Ã¼ Char Char1"/>
    <w:qFormat/>
    <w:uiPriority w:val="0"/>
    <w:rPr>
      <w:rFonts w:eastAsia="宋体"/>
      <w:kern w:val="2"/>
      <w:sz w:val="18"/>
      <w:szCs w:val="18"/>
      <w:lang w:val="en-US" w:eastAsia="zh-CN" w:bidi="ar-SA"/>
    </w:rPr>
  </w:style>
  <w:style w:type="character" w:customStyle="1" w:styleId="117">
    <w:name w:val="宏文本 Char"/>
    <w:link w:val="3"/>
    <w:qFormat/>
    <w:uiPriority w:val="0"/>
    <w:rPr>
      <w:rFonts w:ascii="Courier New" w:hAnsi="Courier New" w:eastAsia="Times New Roman"/>
      <w:kern w:val="2"/>
      <w:sz w:val="24"/>
      <w:szCs w:val="24"/>
      <w:lang w:val="en-US" w:eastAsia="zh-CN" w:bidi="ar-SA"/>
    </w:rPr>
  </w:style>
  <w:style w:type="character" w:customStyle="1" w:styleId="118">
    <w:name w:val="Footer-Even Char"/>
    <w:qFormat/>
    <w:uiPriority w:val="0"/>
    <w:rPr>
      <w:sz w:val="18"/>
      <w:szCs w:val="18"/>
    </w:rPr>
  </w:style>
  <w:style w:type="character" w:customStyle="1" w:styleId="119">
    <w:name w:val="页脚 Char"/>
    <w:link w:val="37"/>
    <w:qFormat/>
    <w:uiPriority w:val="0"/>
    <w:rPr>
      <w:rFonts w:eastAsia="宋体"/>
      <w:kern w:val="2"/>
      <w:sz w:val="18"/>
      <w:szCs w:val="18"/>
      <w:lang w:val="en-US" w:eastAsia="zh-CN" w:bidi="ar-SA"/>
    </w:rPr>
  </w:style>
  <w:style w:type="character" w:customStyle="1" w:styleId="120">
    <w:name w:val="style111"/>
    <w:qFormat/>
    <w:uiPriority w:val="0"/>
    <w:rPr>
      <w:sz w:val="27"/>
      <w:szCs w:val="27"/>
    </w:rPr>
  </w:style>
  <w:style w:type="character" w:customStyle="1" w:styleId="121">
    <w:name w:val="PI Char2"/>
    <w:qFormat/>
    <w:uiPriority w:val="0"/>
    <w:rPr>
      <w:kern w:val="2"/>
      <w:sz w:val="24"/>
      <w:szCs w:val="24"/>
    </w:rPr>
  </w:style>
  <w:style w:type="character" w:customStyle="1" w:styleId="122">
    <w:name w:val="gray6"/>
    <w:basedOn w:val="54"/>
    <w:qFormat/>
    <w:uiPriority w:val="0"/>
  </w:style>
  <w:style w:type="character" w:customStyle="1" w:styleId="123">
    <w:name w:val="Char Char Char1"/>
    <w:qFormat/>
    <w:uiPriority w:val="0"/>
    <w:rPr>
      <w:rFonts w:ascii="宋体" w:hAnsi="Courier New"/>
      <w:sz w:val="21"/>
      <w:szCs w:val="21"/>
    </w:rPr>
  </w:style>
  <w:style w:type="character" w:customStyle="1" w:styleId="124">
    <w:name w:val="Char Char121"/>
    <w:qFormat/>
    <w:uiPriority w:val="0"/>
    <w:rPr>
      <w:rFonts w:eastAsia="宋体"/>
      <w:kern w:val="2"/>
      <w:sz w:val="21"/>
      <w:szCs w:val="24"/>
      <w:lang w:val="en-US" w:eastAsia="zh-CN" w:bidi="ar-SA"/>
    </w:rPr>
  </w:style>
  <w:style w:type="character" w:customStyle="1" w:styleId="125">
    <w:name w:val="Char Char Char Char Char Char Char Char Char"/>
    <w:qFormat/>
    <w:uiPriority w:val="0"/>
    <w:rPr>
      <w:rFonts w:ascii="宋体" w:hAnsi="Courier New" w:eastAsia="宋体"/>
      <w:sz w:val="21"/>
      <w:szCs w:val="21"/>
      <w:lang w:val="en-US" w:eastAsia="zh-CN" w:bidi="ar-SA"/>
    </w:rPr>
  </w:style>
  <w:style w:type="character" w:customStyle="1" w:styleId="126">
    <w:name w:val="heading 4 Char2"/>
    <w:qFormat/>
    <w:uiPriority w:val="0"/>
    <w:rPr>
      <w:rFonts w:ascii="Cambria" w:hAnsi="Cambria"/>
      <w:b/>
      <w:bCs/>
      <w:kern w:val="2"/>
      <w:sz w:val="28"/>
      <w:szCs w:val="28"/>
    </w:rPr>
  </w:style>
  <w:style w:type="character" w:customStyle="1" w:styleId="127">
    <w:name w:val="heading 3 Char"/>
    <w:qFormat/>
    <w:uiPriority w:val="0"/>
    <w:rPr>
      <w:rFonts w:ascii="Arial" w:hAnsi="Arial" w:eastAsia="黑体"/>
      <w:sz w:val="28"/>
      <w:szCs w:val="24"/>
    </w:rPr>
  </w:style>
  <w:style w:type="character" w:customStyle="1" w:styleId="128">
    <w:name w:val="标题 1 Char"/>
    <w:link w:val="4"/>
    <w:qFormat/>
    <w:uiPriority w:val="0"/>
    <w:rPr>
      <w:rFonts w:eastAsia="黑体"/>
      <w:b/>
      <w:kern w:val="2"/>
      <w:sz w:val="32"/>
      <w:lang w:val="en-US" w:eastAsia="zh-CN" w:bidi="ar-SA"/>
    </w:rPr>
  </w:style>
  <w:style w:type="character" w:customStyle="1" w:styleId="129">
    <w:name w:val="Char Char16"/>
    <w:qFormat/>
    <w:uiPriority w:val="0"/>
    <w:rPr>
      <w:b/>
      <w:bCs/>
      <w:kern w:val="2"/>
      <w:sz w:val="28"/>
      <w:szCs w:val="28"/>
    </w:rPr>
  </w:style>
  <w:style w:type="character" w:customStyle="1" w:styleId="130">
    <w:name w:val="文档结构图 Char"/>
    <w:link w:val="17"/>
    <w:qFormat/>
    <w:uiPriority w:val="0"/>
    <w:rPr>
      <w:rFonts w:eastAsia="宋体"/>
      <w:kern w:val="2"/>
      <w:sz w:val="21"/>
      <w:szCs w:val="24"/>
      <w:lang w:val="en-US" w:eastAsia="zh-CN" w:bidi="ar-SA"/>
    </w:rPr>
  </w:style>
  <w:style w:type="character" w:customStyle="1" w:styleId="131">
    <w:name w:val="标题 5 Char"/>
    <w:link w:val="7"/>
    <w:qFormat/>
    <w:uiPriority w:val="0"/>
    <w:rPr>
      <w:rFonts w:eastAsia="宋体"/>
      <w:b/>
      <w:bCs/>
      <w:sz w:val="28"/>
      <w:szCs w:val="28"/>
      <w:lang w:bidi="ar-SA"/>
    </w:rPr>
  </w:style>
  <w:style w:type="character" w:customStyle="1" w:styleId="132">
    <w:name w:val="日期 Char"/>
    <w:link w:val="34"/>
    <w:qFormat/>
    <w:uiPriority w:val="0"/>
    <w:rPr>
      <w:rFonts w:eastAsia="宋体"/>
      <w:kern w:val="2"/>
      <w:sz w:val="21"/>
      <w:szCs w:val="24"/>
      <w:lang w:val="en-US" w:eastAsia="zh-CN" w:bidi="ar-SA"/>
    </w:rPr>
  </w:style>
  <w:style w:type="character" w:customStyle="1" w:styleId="133">
    <w:name w:val="副标题 Char"/>
    <w:link w:val="42"/>
    <w:qFormat/>
    <w:uiPriority w:val="0"/>
    <w:rPr>
      <w:rFonts w:ascii="Cambria" w:hAnsi="Cambria" w:eastAsia="宋体"/>
      <w:b/>
      <w:bCs/>
      <w:kern w:val="28"/>
      <w:sz w:val="32"/>
      <w:szCs w:val="32"/>
      <w:lang w:val="en-US" w:eastAsia="zh-CN" w:bidi="ar-SA"/>
    </w:rPr>
  </w:style>
  <w:style w:type="character" w:customStyle="1" w:styleId="134">
    <w:name w:val="页眉 Char"/>
    <w:link w:val="38"/>
    <w:qFormat/>
    <w:uiPriority w:val="0"/>
    <w:rPr>
      <w:rFonts w:eastAsia="宋体"/>
      <w:kern w:val="2"/>
      <w:sz w:val="18"/>
      <w:szCs w:val="18"/>
      <w:lang w:val="en-US" w:eastAsia="zh-CN" w:bidi="ar-SA"/>
    </w:rPr>
  </w:style>
  <w:style w:type="character" w:customStyle="1" w:styleId="135">
    <w:name w:val="style13"/>
    <w:basedOn w:val="54"/>
    <w:qFormat/>
    <w:uiPriority w:val="0"/>
  </w:style>
  <w:style w:type="character" w:customStyle="1" w:styleId="136">
    <w:name w:val="textcolor1"/>
    <w:qFormat/>
    <w:uiPriority w:val="0"/>
    <w:rPr>
      <w:rFonts w:ascii="仿宋_GB2312" w:eastAsia="仿宋_GB2312"/>
      <w:b/>
      <w:color w:val="FF6600"/>
      <w:sz w:val="32"/>
      <w:szCs w:val="32"/>
    </w:rPr>
  </w:style>
  <w:style w:type="character" w:customStyle="1" w:styleId="137">
    <w:name w:val="Table Text Char Char"/>
    <w:link w:val="138"/>
    <w:qFormat/>
    <w:uiPriority w:val="0"/>
    <w:rPr>
      <w:sz w:val="21"/>
      <w:lang w:val="en-US" w:eastAsia="en-US" w:bidi="ar-SA"/>
    </w:rPr>
  </w:style>
  <w:style w:type="paragraph" w:customStyle="1" w:styleId="138">
    <w:name w:val="Table Text"/>
    <w:basedOn w:val="1"/>
    <w:link w:val="137"/>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qFormat/>
    <w:uiPriority w:val="0"/>
    <w:rPr>
      <w:sz w:val="18"/>
      <w:szCs w:val="18"/>
    </w:rPr>
  </w:style>
  <w:style w:type="character" w:customStyle="1" w:styleId="140">
    <w:name w:val="heading 2 Char2"/>
    <w:qFormat/>
    <w:uiPriority w:val="0"/>
    <w:rPr>
      <w:rFonts w:ascii="Cambria" w:hAnsi="Cambria"/>
      <w:b/>
      <w:bCs/>
      <w:kern w:val="2"/>
      <w:sz w:val="32"/>
      <w:szCs w:val="32"/>
    </w:rPr>
  </w:style>
  <w:style w:type="character" w:customStyle="1" w:styleId="141">
    <w:name w:val="书籍标题11"/>
    <w:qFormat/>
    <w:uiPriority w:val="0"/>
    <w:rPr>
      <w:b/>
      <w:bCs/>
      <w:smallCaps/>
      <w:spacing w:val="5"/>
    </w:rPr>
  </w:style>
  <w:style w:type="character" w:customStyle="1" w:styleId="142">
    <w:name w:val="Char Char21"/>
    <w:qFormat/>
    <w:uiPriority w:val="0"/>
    <w:rPr>
      <w:rFonts w:ascii="Times New Roman" w:hAnsi="Times New Roman" w:eastAsia="宋体" w:cs="Times New Roman"/>
      <w:b/>
      <w:bCs/>
      <w:kern w:val="44"/>
      <w:sz w:val="44"/>
      <w:szCs w:val="44"/>
    </w:rPr>
  </w:style>
  <w:style w:type="character" w:customStyle="1" w:styleId="143">
    <w:name w:val="正文文本缩进 Char"/>
    <w:link w:val="24"/>
    <w:qFormat/>
    <w:uiPriority w:val="0"/>
    <w:rPr>
      <w:rFonts w:eastAsia="宋体"/>
      <w:kern w:val="2"/>
      <w:sz w:val="24"/>
      <w:szCs w:val="24"/>
      <w:lang w:val="en-US" w:eastAsia="zh-CN" w:bidi="ar-SA"/>
    </w:rPr>
  </w:style>
  <w:style w:type="character" w:customStyle="1" w:styleId="144">
    <w:name w:val="不明显强调1"/>
    <w:qFormat/>
    <w:uiPriority w:val="0"/>
    <w:rPr>
      <w:i/>
      <w:iCs/>
      <w:color w:val="808080"/>
    </w:rPr>
  </w:style>
  <w:style w:type="character" w:customStyle="1" w:styleId="145">
    <w:name w:val="正文文本缩进 3 Char"/>
    <w:link w:val="45"/>
    <w:qFormat/>
    <w:uiPriority w:val="0"/>
    <w:rPr>
      <w:rFonts w:eastAsia="宋体"/>
      <w:kern w:val="2"/>
      <w:sz w:val="24"/>
      <w:szCs w:val="24"/>
      <w:lang w:val="en-US" w:eastAsia="zh-CN" w:bidi="ar-SA"/>
    </w:rPr>
  </w:style>
  <w:style w:type="character" w:customStyle="1" w:styleId="146">
    <w:name w:val="heading 5 Char"/>
    <w:qFormat/>
    <w:uiPriority w:val="0"/>
    <w:rPr>
      <w:rFonts w:ascii="Arial" w:hAnsi="Arial" w:eastAsia="黑体"/>
      <w:sz w:val="21"/>
      <w:szCs w:val="21"/>
    </w:rPr>
  </w:style>
  <w:style w:type="character" w:customStyle="1" w:styleId="147">
    <w:name w:val="Style3"/>
    <w:qFormat/>
    <w:uiPriority w:val="0"/>
    <w:rPr>
      <w:rFonts w:ascii="Calibri" w:hAnsi="宋体" w:eastAsia="宋体" w:cs="Times New Roman"/>
      <w:szCs w:val="22"/>
      <w:lang w:eastAsia="zh-CN"/>
    </w:rPr>
  </w:style>
  <w:style w:type="character" w:customStyle="1" w:styleId="148">
    <w:name w:val="标题 4 Char"/>
    <w:link w:val="2"/>
    <w:qFormat/>
    <w:uiPriority w:val="0"/>
    <w:rPr>
      <w:rFonts w:eastAsia="宋体"/>
      <w:kern w:val="2"/>
      <w:sz w:val="28"/>
      <w:szCs w:val="28"/>
      <w:lang w:val="en-US" w:eastAsia="zh-CN" w:bidi="ar-SA"/>
    </w:rPr>
  </w:style>
  <w:style w:type="character" w:customStyle="1" w:styleId="149">
    <w:name w:val="Char Char241"/>
    <w:qFormat/>
    <w:uiPriority w:val="0"/>
    <w:rPr>
      <w:rFonts w:eastAsia="宋体"/>
      <w:b/>
      <w:kern w:val="2"/>
      <w:sz w:val="28"/>
      <w:lang w:val="en-US" w:eastAsia="zh-CN" w:bidi="ar-SA"/>
    </w:rPr>
  </w:style>
  <w:style w:type="character" w:customStyle="1" w:styleId="150">
    <w:name w:val="批注框文本 Char"/>
    <w:link w:val="36"/>
    <w:qFormat/>
    <w:uiPriority w:val="0"/>
    <w:rPr>
      <w:rFonts w:eastAsia="宋体"/>
      <w:kern w:val="2"/>
      <w:sz w:val="18"/>
      <w:szCs w:val="18"/>
      <w:lang w:val="en-US" w:eastAsia="zh-CN" w:bidi="ar-SA"/>
    </w:rPr>
  </w:style>
  <w:style w:type="character" w:customStyle="1" w:styleId="151">
    <w:name w:val="标题 3 Char"/>
    <w:link w:val="6"/>
    <w:qFormat/>
    <w:uiPriority w:val="0"/>
    <w:rPr>
      <w:rFonts w:eastAsia="黑体"/>
      <w:b/>
      <w:kern w:val="2"/>
      <w:sz w:val="28"/>
      <w:lang w:val="en-US" w:eastAsia="zh-CN" w:bidi="ar-SA"/>
    </w:rPr>
  </w:style>
  <w:style w:type="character" w:customStyle="1" w:styleId="152">
    <w:name w:val="明显强调11"/>
    <w:qFormat/>
    <w:uiPriority w:val="0"/>
    <w:rPr>
      <w:b/>
      <w:bCs/>
      <w:i/>
      <w:iCs/>
      <w:color w:val="4F81BD"/>
    </w:rPr>
  </w:style>
  <w:style w:type="character" w:customStyle="1" w:styleId="153">
    <w:name w:val="签名 Char"/>
    <w:link w:val="39"/>
    <w:qFormat/>
    <w:uiPriority w:val="0"/>
    <w:rPr>
      <w:rFonts w:ascii="仿宋_GB2312" w:eastAsia="仿宋_GB2312"/>
      <w:b/>
      <w:sz w:val="24"/>
      <w:szCs w:val="32"/>
    </w:rPr>
  </w:style>
  <w:style w:type="character" w:customStyle="1" w:styleId="154">
    <w:name w:val="heading 3 Char2"/>
    <w:qFormat/>
    <w:uiPriority w:val="0"/>
    <w:rPr>
      <w:b/>
      <w:bCs/>
      <w:kern w:val="2"/>
      <w:sz w:val="32"/>
      <w:szCs w:val="32"/>
    </w:rPr>
  </w:style>
  <w:style w:type="character" w:customStyle="1" w:styleId="155">
    <w:name w:val="style21"/>
    <w:qFormat/>
    <w:uiPriority w:val="0"/>
    <w:rPr>
      <w:sz w:val="15"/>
      <w:szCs w:val="15"/>
    </w:rPr>
  </w:style>
  <w:style w:type="character" w:customStyle="1" w:styleId="156">
    <w:name w:val="Char Char271"/>
    <w:qFormat/>
    <w:uiPriority w:val="0"/>
    <w:rPr>
      <w:rFonts w:eastAsia="宋体"/>
      <w:kern w:val="2"/>
      <w:sz w:val="28"/>
      <w:lang w:val="en-US" w:eastAsia="zh-CN" w:bidi="ar-SA"/>
    </w:rPr>
  </w:style>
  <w:style w:type="character" w:customStyle="1" w:styleId="157">
    <w:name w:val="表格 Char Char"/>
    <w:link w:val="158"/>
    <w:qFormat/>
    <w:uiPriority w:val="0"/>
    <w:rPr>
      <w:rFonts w:ascii="宋体" w:hAnsi="宋体" w:eastAsia="宋体"/>
      <w:lang w:val="en-US" w:eastAsia="zh-CN" w:bidi="ar-SA"/>
    </w:rPr>
  </w:style>
  <w:style w:type="paragraph" w:customStyle="1" w:styleId="158">
    <w:name w:val="表格"/>
    <w:basedOn w:val="1"/>
    <w:link w:val="157"/>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qFormat/>
    <w:uiPriority w:val="0"/>
    <w:rPr>
      <w:rFonts w:ascii="Arial" w:hAnsi="Arial" w:eastAsia="黑体"/>
      <w:kern w:val="2"/>
      <w:sz w:val="24"/>
      <w:szCs w:val="24"/>
      <w:lang w:val="en-US" w:eastAsia="zh-CN" w:bidi="ar-SA"/>
    </w:rPr>
  </w:style>
  <w:style w:type="character" w:customStyle="1" w:styleId="160">
    <w:name w:val="Char Char211"/>
    <w:qFormat/>
    <w:uiPriority w:val="0"/>
    <w:rPr>
      <w:rFonts w:ascii="Times New Roman" w:hAnsi="Times New Roman" w:eastAsia="宋体" w:cs="Times New Roman"/>
      <w:b/>
      <w:bCs/>
      <w:kern w:val="44"/>
      <w:sz w:val="44"/>
      <w:szCs w:val="44"/>
    </w:rPr>
  </w:style>
  <w:style w:type="character" w:customStyle="1" w:styleId="161">
    <w:name w:val="不明显强调11"/>
    <w:qFormat/>
    <w:uiPriority w:val="0"/>
    <w:rPr>
      <w:i/>
      <w:iCs/>
      <w:color w:val="808080"/>
    </w:rPr>
  </w:style>
  <w:style w:type="character" w:customStyle="1" w:styleId="162">
    <w:name w:val="标题 9 Char"/>
    <w:link w:val="12"/>
    <w:qFormat/>
    <w:uiPriority w:val="0"/>
    <w:rPr>
      <w:rFonts w:ascii="Arial" w:hAnsi="Arial" w:eastAsia="黑体"/>
      <w:kern w:val="2"/>
      <w:sz w:val="21"/>
      <w:lang w:val="en-US" w:eastAsia="zh-CN" w:bidi="ar-SA"/>
    </w:rPr>
  </w:style>
  <w:style w:type="character" w:customStyle="1" w:styleId="163">
    <w:name w:val="正文文本 Char"/>
    <w:link w:val="21"/>
    <w:qFormat/>
    <w:uiPriority w:val="0"/>
    <w:rPr>
      <w:rFonts w:ascii="仿宋_GB2312" w:eastAsia="宋体"/>
      <w:b/>
      <w:kern w:val="2"/>
      <w:sz w:val="21"/>
      <w:szCs w:val="24"/>
      <w:lang w:val="en-US" w:eastAsia="zh-CN" w:bidi="ar-SA"/>
    </w:rPr>
  </w:style>
  <w:style w:type="character" w:customStyle="1" w:styleId="164">
    <w:name w:val="明显引用 Char"/>
    <w:link w:val="165"/>
    <w:qFormat/>
    <w:uiPriority w:val="0"/>
    <w:rPr>
      <w:rFonts w:ascii="Calibri" w:hAnsi="Calibri" w:eastAsia="宋体"/>
      <w:b/>
      <w:bCs/>
      <w:i/>
      <w:iCs/>
      <w:color w:val="4F81BD"/>
      <w:lang w:val="en-US" w:eastAsia="zh-CN" w:bidi="ar-SA"/>
    </w:rPr>
  </w:style>
  <w:style w:type="paragraph" w:styleId="165">
    <w:name w:val="Intense Quote"/>
    <w:basedOn w:val="1"/>
    <w:next w:val="1"/>
    <w:link w:val="164"/>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qFormat/>
    <w:uiPriority w:val="0"/>
    <w:rPr>
      <w:rFonts w:eastAsia="宋体"/>
      <w:b/>
      <w:bCs/>
      <w:kern w:val="2"/>
      <w:sz w:val="28"/>
      <w:szCs w:val="28"/>
      <w:lang w:val="en-US" w:eastAsia="zh-CN" w:bidi="ar-SA"/>
    </w:rPr>
  </w:style>
  <w:style w:type="character" w:customStyle="1" w:styleId="167">
    <w:name w:val="Texte Char Char"/>
    <w:qFormat/>
    <w:uiPriority w:val="0"/>
    <w:rPr>
      <w:rFonts w:ascii="宋体" w:hAnsi="Courier New" w:eastAsia="宋体"/>
      <w:sz w:val="21"/>
      <w:szCs w:val="21"/>
      <w:lang w:val="en-US" w:eastAsia="zh-CN" w:bidi="ar-SA"/>
    </w:rPr>
  </w:style>
  <w:style w:type="character" w:customStyle="1" w:styleId="168">
    <w:name w:val="正文1 Char Char"/>
    <w:link w:val="169"/>
    <w:qFormat/>
    <w:uiPriority w:val="0"/>
    <w:rPr>
      <w:rFonts w:ascii="宋体" w:hAnsi="宋体" w:eastAsia="宋体" w:cs="宋体"/>
      <w:sz w:val="21"/>
      <w:lang w:val="en-US" w:eastAsia="zh-CN" w:bidi="ar-SA"/>
    </w:rPr>
  </w:style>
  <w:style w:type="paragraph" w:customStyle="1" w:styleId="169">
    <w:name w:val="正文1"/>
    <w:basedOn w:val="1"/>
    <w:link w:val="168"/>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qFormat/>
    <w:uiPriority w:val="0"/>
    <w:rPr>
      <w:rFonts w:ascii="Arial" w:hAnsi="Arial" w:eastAsia="黑体"/>
      <w:sz w:val="24"/>
      <w:lang w:val="en-US" w:eastAsia="zh-CN" w:bidi="ar-SA"/>
    </w:rPr>
  </w:style>
  <w:style w:type="character" w:customStyle="1" w:styleId="171">
    <w:name w:val="heading 9 Char1"/>
    <w:qFormat/>
    <w:uiPriority w:val="0"/>
    <w:rPr>
      <w:rFonts w:ascii="Arial" w:hAnsi="Arial" w:eastAsia="黑体"/>
      <w:sz w:val="21"/>
      <w:lang w:val="en-US" w:eastAsia="zh-CN" w:bidi="ar-SA"/>
    </w:rPr>
  </w:style>
  <w:style w:type="character" w:customStyle="1" w:styleId="172">
    <w:name w:val="标题 6 Char"/>
    <w:link w:val="8"/>
    <w:qFormat/>
    <w:uiPriority w:val="0"/>
    <w:rPr>
      <w:rFonts w:ascii="Arial" w:hAnsi="Arial" w:eastAsia="黑体"/>
      <w:b/>
      <w:kern w:val="2"/>
      <w:sz w:val="24"/>
      <w:lang w:val="en-US" w:eastAsia="zh-CN" w:bidi="ar-SA"/>
    </w:rPr>
  </w:style>
  <w:style w:type="character" w:customStyle="1" w:styleId="173">
    <w:name w:val="ändrad Char1"/>
    <w:qFormat/>
    <w:uiPriority w:val="0"/>
    <w:rPr>
      <w:rFonts w:ascii="仿宋_GB2312" w:eastAsia="宋体"/>
      <w:b/>
      <w:kern w:val="2"/>
      <w:sz w:val="21"/>
      <w:szCs w:val="24"/>
      <w:lang w:val="en-US" w:eastAsia="zh-CN" w:bidi="ar-SA"/>
    </w:rPr>
  </w:style>
  <w:style w:type="character" w:customStyle="1" w:styleId="174">
    <w:name w:val="Char Char41"/>
    <w:qFormat/>
    <w:uiPriority w:val="0"/>
    <w:rPr>
      <w:rFonts w:ascii="Cambria" w:hAnsi="Cambria" w:eastAsia="宋体"/>
      <w:b/>
      <w:bCs/>
      <w:sz w:val="32"/>
      <w:szCs w:val="32"/>
      <w:lang w:bidi="ar-SA"/>
    </w:rPr>
  </w:style>
  <w:style w:type="character" w:customStyle="1" w:styleId="175">
    <w:name w:val="标题 8 Char"/>
    <w:link w:val="11"/>
    <w:qFormat/>
    <w:uiPriority w:val="0"/>
    <w:rPr>
      <w:rFonts w:ascii="Arial" w:hAnsi="Arial" w:eastAsia="黑体"/>
      <w:kern w:val="2"/>
      <w:sz w:val="24"/>
      <w:lang w:val="en-US" w:eastAsia="zh-CN" w:bidi="ar-SA"/>
    </w:rPr>
  </w:style>
  <w:style w:type="character" w:customStyle="1" w:styleId="176">
    <w:name w:val="Char Char11"/>
    <w:qFormat/>
    <w:uiPriority w:val="0"/>
    <w:rPr>
      <w:rFonts w:ascii="Times New Roman" w:hAnsi="Times New Roman" w:eastAsia="宋体" w:cs="Times New Roman"/>
      <w:sz w:val="18"/>
      <w:szCs w:val="18"/>
    </w:rPr>
  </w:style>
  <w:style w:type="character" w:customStyle="1" w:styleId="177">
    <w:name w:val="正文文本缩进 2 Char"/>
    <w:link w:val="35"/>
    <w:qFormat/>
    <w:uiPriority w:val="0"/>
    <w:rPr>
      <w:rFonts w:eastAsia="宋体"/>
      <w:kern w:val="2"/>
      <w:sz w:val="24"/>
      <w:szCs w:val="24"/>
      <w:lang w:val="en-US" w:eastAsia="zh-CN" w:bidi="ar-SA"/>
    </w:rPr>
  </w:style>
  <w:style w:type="character" w:customStyle="1" w:styleId="178">
    <w:name w:val="Char Char6"/>
    <w:qFormat/>
    <w:uiPriority w:val="0"/>
    <w:rPr>
      <w:rFonts w:ascii="Times New Roman" w:hAnsi="Times New Roman" w:eastAsia="宋体" w:cs="Times New Roman"/>
      <w:szCs w:val="24"/>
    </w:rPr>
  </w:style>
  <w:style w:type="character" w:customStyle="1" w:styleId="179">
    <w:name w:val="Char Char Char"/>
    <w:qFormat/>
    <w:uiPriority w:val="0"/>
    <w:rPr>
      <w:rFonts w:ascii="宋体" w:hAnsi="Courier New" w:eastAsia="宋体"/>
      <w:b/>
      <w:sz w:val="21"/>
      <w:szCs w:val="21"/>
      <w:lang w:val="en-US" w:eastAsia="zh-CN" w:bidi="ar-SA"/>
    </w:rPr>
  </w:style>
  <w:style w:type="character" w:customStyle="1" w:styleId="180">
    <w:name w:val="heading 2 Char"/>
    <w:qFormat/>
    <w:uiPriority w:val="0"/>
    <w:rPr>
      <w:rFonts w:ascii="Arial" w:hAnsi="Arial" w:eastAsia="黑体" w:cs="Times New Roman"/>
      <w:sz w:val="30"/>
      <w:szCs w:val="24"/>
    </w:rPr>
  </w:style>
  <w:style w:type="character" w:customStyle="1" w:styleId="181">
    <w:name w:val="Char Char2"/>
    <w:qFormat/>
    <w:uiPriority w:val="0"/>
    <w:rPr>
      <w:rFonts w:ascii="Arial" w:hAnsi="Arial" w:eastAsia="黑体"/>
      <w:b/>
      <w:bCs/>
      <w:kern w:val="44"/>
      <w:sz w:val="30"/>
      <w:szCs w:val="44"/>
      <w:lang w:val="en-US" w:eastAsia="zh-CN" w:bidi="ar-SA"/>
    </w:rPr>
  </w:style>
  <w:style w:type="character" w:customStyle="1" w:styleId="182">
    <w:name w:val="Footer-Even Char2"/>
    <w:qFormat/>
    <w:uiPriority w:val="0"/>
    <w:rPr>
      <w:kern w:val="2"/>
      <w:sz w:val="18"/>
      <w:szCs w:val="18"/>
    </w:rPr>
  </w:style>
  <w:style w:type="character" w:customStyle="1" w:styleId="183">
    <w:name w:val="Char Char17"/>
    <w:qFormat/>
    <w:uiPriority w:val="0"/>
    <w:rPr>
      <w:rFonts w:ascii="Cambria" w:hAnsi="Cambria"/>
      <w:b/>
      <w:bCs/>
      <w:kern w:val="2"/>
      <w:sz w:val="28"/>
      <w:szCs w:val="28"/>
    </w:rPr>
  </w:style>
  <w:style w:type="character" w:customStyle="1" w:styleId="184">
    <w:name w:val="heading 4 Char"/>
    <w:qFormat/>
    <w:uiPriority w:val="0"/>
    <w:rPr>
      <w:rFonts w:ascii="Arial" w:hAnsi="Arial" w:eastAsia="黑体" w:cs="Times New Roman"/>
      <w:sz w:val="21"/>
      <w:szCs w:val="21"/>
    </w:rPr>
  </w:style>
  <w:style w:type="character" w:customStyle="1" w:styleId="185">
    <w:name w:val="Char Char20"/>
    <w:qFormat/>
    <w:uiPriority w:val="0"/>
    <w:rPr>
      <w:b/>
      <w:bCs/>
      <w:kern w:val="44"/>
      <w:sz w:val="44"/>
      <w:szCs w:val="44"/>
    </w:rPr>
  </w:style>
  <w:style w:type="character" w:customStyle="1" w:styleId="186">
    <w:name w:val="heading 1 Char2"/>
    <w:qFormat/>
    <w:uiPriority w:val="0"/>
    <w:rPr>
      <w:b/>
      <w:bCs/>
      <w:kern w:val="44"/>
      <w:sz w:val="44"/>
      <w:szCs w:val="44"/>
    </w:rPr>
  </w:style>
  <w:style w:type="character" w:customStyle="1" w:styleId="187">
    <w:name w:val="font11"/>
    <w:qFormat/>
    <w:uiPriority w:val="0"/>
    <w:rPr>
      <w:rFonts w:hint="eastAsia" w:ascii="宋体" w:hAnsi="宋体" w:eastAsia="宋体" w:cs="宋体"/>
      <w:b/>
      <w:color w:val="000000"/>
      <w:sz w:val="20"/>
      <w:szCs w:val="20"/>
      <w:u w:val="none"/>
    </w:rPr>
  </w:style>
  <w:style w:type="character" w:customStyle="1" w:styleId="188">
    <w:name w:val="表正文 Char2"/>
    <w:qFormat/>
    <w:uiPriority w:val="0"/>
    <w:rPr>
      <w:rFonts w:ascii="Times New Roman" w:hAnsi="Times New Roman" w:eastAsia="宋体" w:cs="Times New Roman"/>
      <w:szCs w:val="24"/>
    </w:rPr>
  </w:style>
  <w:style w:type="character" w:customStyle="1" w:styleId="189">
    <w:name w:val="引用 Char"/>
    <w:link w:val="190"/>
    <w:qFormat/>
    <w:uiPriority w:val="0"/>
    <w:rPr>
      <w:rFonts w:ascii="Calibri" w:hAnsi="Calibri" w:eastAsia="宋体"/>
      <w:i/>
      <w:iCs/>
      <w:color w:val="000000"/>
      <w:lang w:val="en-US" w:eastAsia="zh-CN" w:bidi="ar-SA"/>
    </w:rPr>
  </w:style>
  <w:style w:type="paragraph" w:styleId="190">
    <w:name w:val="Quote"/>
    <w:basedOn w:val="1"/>
    <w:next w:val="1"/>
    <w:link w:val="189"/>
    <w:qFormat/>
    <w:uiPriority w:val="0"/>
    <w:rPr>
      <w:rFonts w:ascii="Calibri" w:hAnsi="Calibri"/>
      <w:i/>
      <w:iCs/>
      <w:color w:val="000000"/>
      <w:kern w:val="0"/>
      <w:sz w:val="20"/>
      <w:szCs w:val="20"/>
    </w:rPr>
  </w:style>
  <w:style w:type="character" w:customStyle="1" w:styleId="191">
    <w:name w:val="纯文本 Char"/>
    <w:link w:val="31"/>
    <w:qFormat/>
    <w:uiPriority w:val="0"/>
    <w:rPr>
      <w:rFonts w:ascii="宋体" w:hAnsi="Courier New" w:eastAsia="宋体"/>
      <w:b/>
      <w:sz w:val="21"/>
      <w:szCs w:val="21"/>
      <w:lang w:val="en-US" w:eastAsia="zh-CN" w:bidi="ar-SA"/>
    </w:rPr>
  </w:style>
  <w:style w:type="character" w:customStyle="1" w:styleId="192">
    <w:name w:val="Char Char19"/>
    <w:qFormat/>
    <w:uiPriority w:val="0"/>
    <w:rPr>
      <w:rFonts w:ascii="Cambria" w:hAnsi="Cambria"/>
      <w:b/>
      <w:bCs/>
      <w:kern w:val="2"/>
      <w:sz w:val="32"/>
      <w:szCs w:val="32"/>
    </w:rPr>
  </w:style>
  <w:style w:type="character" w:customStyle="1" w:styleId="193">
    <w:name w:val="style41"/>
    <w:qFormat/>
    <w:uiPriority w:val="0"/>
    <w:rPr>
      <w:color w:val="auto"/>
    </w:rPr>
  </w:style>
  <w:style w:type="character" w:customStyle="1" w:styleId="194">
    <w:name w:val="Char Char201"/>
    <w:qFormat/>
    <w:uiPriority w:val="0"/>
    <w:rPr>
      <w:rFonts w:ascii="Cambria" w:hAnsi="Cambria" w:eastAsia="宋体" w:cs="Times New Roman"/>
      <w:b/>
      <w:bCs/>
      <w:sz w:val="32"/>
      <w:szCs w:val="32"/>
    </w:rPr>
  </w:style>
  <w:style w:type="character" w:customStyle="1" w:styleId="195">
    <w:name w:val="正文首行缩进 Char"/>
    <w:link w:val="22"/>
    <w:qFormat/>
    <w:uiPriority w:val="0"/>
    <w:rPr>
      <w:rFonts w:eastAsia="宋体"/>
      <w:lang w:val="en-US" w:eastAsia="zh-CN" w:bidi="ar-SA"/>
    </w:rPr>
  </w:style>
  <w:style w:type="character" w:customStyle="1" w:styleId="196">
    <w:name w:val="smalltxt1"/>
    <w:qFormat/>
    <w:uiPriority w:val="0"/>
    <w:rPr>
      <w:rFonts w:hint="default" w:ascii="ˎ̥" w:hAnsi="ˎ̥"/>
      <w:sz w:val="24"/>
      <w:szCs w:val="24"/>
    </w:rPr>
  </w:style>
  <w:style w:type="character" w:customStyle="1" w:styleId="197">
    <w:name w:val="正文文本 2 Char"/>
    <w:basedOn w:val="54"/>
    <w:link w:val="48"/>
    <w:qFormat/>
    <w:uiPriority w:val="0"/>
  </w:style>
  <w:style w:type="paragraph" w:customStyle="1" w:styleId="19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qFormat/>
    <w:uiPriority w:val="0"/>
    <w:pPr>
      <w:spacing w:line="240" w:lineRule="atLeast"/>
      <w:jc w:val="center"/>
    </w:pPr>
    <w:rPr>
      <w:rFonts w:ascii="Arial" w:hAnsi="Arial" w:cs="Arial"/>
      <w:b/>
      <w:bCs/>
    </w:rPr>
  </w:style>
  <w:style w:type="paragraph" w:customStyle="1" w:styleId="201">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qFormat/>
    <w:uiPriority w:val="0"/>
    <w:rPr>
      <w:rFonts w:ascii="仿宋_GB2312" w:eastAsia="仿宋_GB2312"/>
      <w:b/>
      <w:sz w:val="32"/>
      <w:szCs w:val="32"/>
    </w:rPr>
  </w:style>
  <w:style w:type="paragraph" w:customStyle="1" w:styleId="2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qFormat/>
    <w:uiPriority w:val="0"/>
    <w:pPr>
      <w:ind w:firstLine="420" w:firstLineChars="200"/>
    </w:pPr>
    <w:rPr>
      <w:szCs w:val="20"/>
    </w:rPr>
  </w:style>
  <w:style w:type="paragraph" w:customStyle="1" w:styleId="205">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qFormat/>
    <w:uiPriority w:val="0"/>
    <w:rPr>
      <w:rFonts w:ascii="Tahoma" w:hAnsi="Tahoma"/>
      <w:sz w:val="24"/>
      <w:szCs w:val="20"/>
    </w:rPr>
  </w:style>
  <w:style w:type="paragraph" w:customStyle="1" w:styleId="21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7"/>
    <w:qFormat/>
    <w:uiPriority w:val="0"/>
    <w:rPr>
      <w:rFonts w:ascii="Tahoma" w:hAnsi="Tahoma"/>
      <w:sz w:val="24"/>
    </w:rPr>
  </w:style>
  <w:style w:type="paragraph" w:customStyle="1" w:styleId="217">
    <w:name w:val="正文 首行缩进:  2 字符 Char"/>
    <w:basedOn w:val="1"/>
    <w:qFormat/>
    <w:uiPriority w:val="0"/>
    <w:pPr>
      <w:spacing w:line="360" w:lineRule="auto"/>
      <w:ind w:firstLine="480"/>
    </w:pPr>
    <w:rPr>
      <w:rFonts w:cs="宋体"/>
      <w:sz w:val="24"/>
      <w:szCs w:val="20"/>
    </w:rPr>
  </w:style>
  <w:style w:type="paragraph" w:customStyle="1" w:styleId="218">
    <w:name w:val="样式1"/>
    <w:basedOn w:val="1"/>
    <w:qFormat/>
    <w:uiPriority w:val="0"/>
    <w:pPr>
      <w:autoSpaceDE w:val="0"/>
      <w:autoSpaceDN w:val="0"/>
      <w:adjustRightInd w:val="0"/>
      <w:spacing w:line="400" w:lineRule="exact"/>
    </w:pPr>
    <w:rPr>
      <w:rFonts w:ascii="宋体" w:cs="宋体"/>
      <w:kern w:val="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qFormat/>
    <w:uiPriority w:val="0"/>
    <w:pPr>
      <w:tabs>
        <w:tab w:val="left" w:pos="4309"/>
        <w:tab w:val="clear" w:pos="3889"/>
      </w:tabs>
      <w:ind w:left="4309"/>
      <w:outlineLvl w:val="3"/>
    </w:pPr>
  </w:style>
  <w:style w:type="paragraph" w:customStyle="1" w:styleId="225">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4"/>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qFormat/>
    <w:uiPriority w:val="0"/>
    <w:pPr>
      <w:tabs>
        <w:tab w:val="left" w:pos="8520"/>
      </w:tabs>
      <w:spacing w:line="312" w:lineRule="auto"/>
      <w:ind w:right="-210" w:firstLine="556"/>
    </w:pPr>
    <w:rPr>
      <w:rFonts w:ascii="宋体"/>
      <w:sz w:val="28"/>
      <w:szCs w:val="20"/>
    </w:rPr>
  </w:style>
  <w:style w:type="paragraph" w:customStyle="1" w:styleId="2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qFormat/>
    <w:uiPriority w:val="0"/>
    <w:pPr>
      <w:tabs>
        <w:tab w:val="left" w:pos="4729"/>
        <w:tab w:val="clear" w:pos="4309"/>
      </w:tabs>
      <w:ind w:left="4729"/>
      <w:outlineLvl w:val="4"/>
    </w:pPr>
  </w:style>
  <w:style w:type="paragraph" w:customStyle="1" w:styleId="234">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qFormat/>
    <w:uiPriority w:val="0"/>
  </w:style>
  <w:style w:type="paragraph" w:customStyle="1" w:styleId="23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
    <w:basedOn w:val="1"/>
    <w:qFormat/>
    <w:uiPriority w:val="0"/>
    <w:pPr>
      <w:ind w:firstLine="420" w:firstLineChars="200"/>
    </w:pPr>
    <w:rPr>
      <w:rFonts w:ascii="Calibri" w:hAnsi="Calibri"/>
      <w:szCs w:val="22"/>
    </w:rPr>
  </w:style>
  <w:style w:type="paragraph" w:customStyle="1" w:styleId="242">
    <w:name w:val="五级条标题"/>
    <w:basedOn w:val="243"/>
    <w:next w:val="1"/>
    <w:qFormat/>
    <w:uiPriority w:val="0"/>
    <w:pPr>
      <w:tabs>
        <w:tab w:val="left" w:pos="5149"/>
        <w:tab w:val="left" w:pos="5569"/>
      </w:tabs>
      <w:ind w:left="5569"/>
      <w:outlineLvl w:val="6"/>
    </w:pPr>
  </w:style>
  <w:style w:type="paragraph" w:customStyle="1" w:styleId="243">
    <w:name w:val="四级条标题"/>
    <w:basedOn w:val="233"/>
    <w:next w:val="1"/>
    <w:qFormat/>
    <w:uiPriority w:val="0"/>
    <w:pPr>
      <w:tabs>
        <w:tab w:val="left" w:pos="5149"/>
        <w:tab w:val="clear" w:pos="4729"/>
      </w:tabs>
      <w:ind w:left="5149"/>
      <w:outlineLvl w:val="5"/>
    </w:pPr>
  </w:style>
  <w:style w:type="paragraph" w:customStyle="1" w:styleId="244">
    <w:name w:val="正文-宋体四号"/>
    <w:basedOn w:val="1"/>
    <w:qFormat/>
    <w:uiPriority w:val="0"/>
    <w:pPr>
      <w:spacing w:line="360" w:lineRule="auto"/>
      <w:ind w:firstLine="560" w:firstLineChars="200"/>
    </w:pPr>
    <w:rPr>
      <w:rFonts w:cs="宋体"/>
      <w:sz w:val="28"/>
      <w:szCs w:val="20"/>
    </w:rPr>
  </w:style>
  <w:style w:type="paragraph" w:customStyle="1" w:styleId="245">
    <w:name w:val="纯文本1"/>
    <w:basedOn w:val="1"/>
    <w:qFormat/>
    <w:uiPriority w:val="0"/>
    <w:pPr>
      <w:adjustRightInd w:val="0"/>
      <w:textAlignment w:val="baseline"/>
    </w:pPr>
    <w:rPr>
      <w:rFonts w:ascii="宋体" w:hAnsi="Courier New" w:eastAsia="楷体_GB2312"/>
      <w:sz w:val="28"/>
      <w:szCs w:val="20"/>
    </w:rPr>
  </w:style>
  <w:style w:type="paragraph" w:customStyle="1" w:styleId="246">
    <w:name w:val="Char2"/>
    <w:basedOn w:val="1"/>
    <w:qFormat/>
    <w:uiPriority w:val="0"/>
  </w:style>
  <w:style w:type="paragraph" w:customStyle="1" w:styleId="247">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8">
    <w:name w:val="样式5"/>
    <w:basedOn w:val="9"/>
    <w:qFormat/>
    <w:uiPriority w:val="0"/>
    <w:pPr>
      <w:adjustRightInd/>
      <w:spacing w:line="360" w:lineRule="auto"/>
      <w:ind w:firstLine="200" w:firstLineChars="200"/>
      <w:textAlignment w:val="auto"/>
    </w:pPr>
    <w:rPr>
      <w:sz w:val="28"/>
      <w:szCs w:val="21"/>
    </w:rPr>
  </w:style>
  <w:style w:type="paragraph" w:customStyle="1" w:styleId="24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qFormat/>
    <w:uiPriority w:val="0"/>
  </w:style>
  <w:style w:type="paragraph" w:customStyle="1" w:styleId="251">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qFormat/>
    <w:uiPriority w:val="0"/>
    <w:pPr>
      <w:ind w:left="855" w:hanging="855"/>
    </w:pPr>
    <w:rPr>
      <w:sz w:val="24"/>
      <w:szCs w:val="20"/>
    </w:rPr>
  </w:style>
  <w:style w:type="paragraph" w:customStyle="1" w:styleId="25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qFormat/>
    <w:uiPriority w:val="0"/>
    <w:pPr>
      <w:widowControl/>
      <w:spacing w:line="300" w:lineRule="atLeast"/>
      <w:jc w:val="left"/>
    </w:pPr>
    <w:rPr>
      <w:rFonts w:ascii="宋体" w:hAnsi="宋体" w:cs="宋体"/>
      <w:kern w:val="0"/>
      <w:sz w:val="18"/>
      <w:szCs w:val="18"/>
    </w:rPr>
  </w:style>
  <w:style w:type="paragraph" w:customStyle="1" w:styleId="26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qFormat/>
    <w:uiPriority w:val="0"/>
  </w:style>
  <w:style w:type="paragraph" w:customStyle="1" w:styleId="273">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9"/>
    <w:qFormat/>
    <w:uiPriority w:val="0"/>
    <w:pPr>
      <w:adjustRightInd/>
      <w:spacing w:line="360" w:lineRule="auto"/>
      <w:ind w:firstLine="200" w:firstLineChars="200"/>
      <w:textAlignment w:val="auto"/>
    </w:pPr>
    <w:rPr>
      <w:kern w:val="2"/>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qFormat/>
    <w:uiPriority w:val="0"/>
    <w:rPr>
      <w:rFonts w:ascii="仿宋_GB2312" w:eastAsia="仿宋_GB2312"/>
      <w:b/>
      <w:sz w:val="32"/>
      <w:szCs w:val="32"/>
    </w:rPr>
  </w:style>
  <w:style w:type="paragraph" w:customStyle="1" w:styleId="280">
    <w:name w:val="l正文"/>
    <w:basedOn w:val="1"/>
    <w:qFormat/>
    <w:uiPriority w:val="0"/>
    <w:pPr>
      <w:spacing w:line="360" w:lineRule="auto"/>
      <w:ind w:firstLine="200" w:firstLineChars="200"/>
    </w:pPr>
    <w:rPr>
      <w:rFonts w:ascii="宋体" w:hAnsi="宋体"/>
      <w:sz w:val="24"/>
    </w:rPr>
  </w:style>
  <w:style w:type="paragraph" w:customStyle="1" w:styleId="28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5">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qFormat/>
    <w:uiPriority w:val="0"/>
    <w:rPr>
      <w:rFonts w:ascii="仿宋_GB2312" w:eastAsia="仿宋_GB2312"/>
      <w:b/>
      <w:sz w:val="32"/>
      <w:szCs w:val="32"/>
    </w:rPr>
  </w:style>
  <w:style w:type="paragraph" w:customStyle="1" w:styleId="28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5"/>
    <w:qFormat/>
    <w:uiPriority w:val="0"/>
    <w:pPr>
      <w:tabs>
        <w:tab w:val="left" w:pos="709"/>
      </w:tabs>
    </w:pPr>
    <w:rPr>
      <w:rFonts w:ascii="宋体" w:hAnsi="宋体"/>
      <w:sz w:val="36"/>
      <w:szCs w:val="36"/>
    </w:rPr>
  </w:style>
  <w:style w:type="paragraph" w:customStyle="1" w:styleId="29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qFormat/>
    <w:uiPriority w:val="0"/>
    <w:rPr>
      <w:rFonts w:ascii="仿宋_GB2312" w:eastAsia="仿宋_GB2312"/>
      <w:b/>
      <w:sz w:val="32"/>
      <w:szCs w:val="32"/>
    </w:rPr>
  </w:style>
  <w:style w:type="paragraph" w:customStyle="1" w:styleId="293">
    <w:name w:val="正文字缩2字"/>
    <w:basedOn w:val="1"/>
    <w:qFormat/>
    <w:uiPriority w:val="0"/>
    <w:pPr>
      <w:spacing w:before="60" w:after="60" w:line="360" w:lineRule="auto"/>
      <w:ind w:left="200" w:leftChars="200" w:firstLine="200" w:firstLineChars="200"/>
    </w:pPr>
    <w:rPr>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1"/>
    <w:qFormat/>
    <w:uiPriority w:val="0"/>
    <w:pPr>
      <w:keepNext/>
      <w:spacing w:after="160"/>
    </w:pPr>
    <w:rPr>
      <w:szCs w:val="20"/>
    </w:rPr>
  </w:style>
  <w:style w:type="paragraph" w:customStyle="1" w:styleId="296">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qFormat/>
    <w:uiPriority w:val="0"/>
    <w:rPr>
      <w:rFonts w:ascii="仿宋_GB2312" w:eastAsia="仿宋_GB2312"/>
      <w:b/>
      <w:sz w:val="32"/>
      <w:szCs w:val="32"/>
    </w:rPr>
  </w:style>
  <w:style w:type="paragraph" w:customStyle="1" w:styleId="300">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qFormat/>
    <w:uiPriority w:val="0"/>
    <w:rPr>
      <w:rFonts w:ascii="宋体" w:hAnsi="宋体"/>
      <w:color w:val="000000"/>
      <w:sz w:val="24"/>
    </w:rPr>
  </w:style>
  <w:style w:type="paragraph" w:customStyle="1" w:styleId="304">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6">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qFormat/>
    <w:uiPriority w:val="0"/>
    <w:pPr>
      <w:ind w:firstLine="420" w:firstLineChars="200"/>
    </w:pPr>
  </w:style>
  <w:style w:type="paragraph" w:customStyle="1" w:styleId="32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qFormat/>
    <w:uiPriority w:val="0"/>
    <w:pPr>
      <w:widowControl/>
    </w:pPr>
    <w:rPr>
      <w:kern w:val="0"/>
      <w:szCs w:val="21"/>
    </w:rPr>
  </w:style>
  <w:style w:type="paragraph" w:customStyle="1" w:styleId="32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qFormat/>
    <w:uiPriority w:val="0"/>
    <w:tblPr>
      <w:tblCellMar>
        <w:top w:w="0" w:type="dxa"/>
        <w:left w:w="0" w:type="dxa"/>
        <w:bottom w:w="0" w:type="dxa"/>
        <w:right w:w="0" w:type="dxa"/>
      </w:tblCellMar>
    </w:tblPr>
  </w:style>
  <w:style w:type="paragraph" w:styleId="328">
    <w:name w:val="List Paragraph"/>
    <w:basedOn w:val="1"/>
    <w:qFormat/>
    <w:uiPriority w:val="99"/>
    <w:pPr>
      <w:ind w:firstLine="420" w:firstLineChars="200"/>
    </w:pPr>
  </w:style>
  <w:style w:type="paragraph" w:customStyle="1" w:styleId="329">
    <w:name w:val="正文段"/>
    <w:basedOn w:val="1"/>
    <w:qFormat/>
    <w:uiPriority w:val="0"/>
    <w:pPr>
      <w:widowControl/>
      <w:snapToGrid w:val="0"/>
      <w:spacing w:afterLines="50"/>
      <w:ind w:firstLine="200" w:firstLineChars="200"/>
    </w:pPr>
    <w:rPr>
      <w:sz w:val="24"/>
      <w:szCs w:val="20"/>
    </w:rPr>
  </w:style>
  <w:style w:type="paragraph" w:customStyle="1" w:styleId="330">
    <w:name w:val="_Style 3"/>
    <w:basedOn w:val="1"/>
    <w:next w:val="1"/>
    <w:qFormat/>
    <w:uiPriority w:val="34"/>
    <w:pPr>
      <w:spacing w:line="360" w:lineRule="auto"/>
      <w:ind w:firstLine="420" w:firstLineChars="200"/>
    </w:pPr>
  </w:style>
  <w:style w:type="paragraph" w:customStyle="1" w:styleId="331">
    <w:name w:val="_Style 2"/>
    <w:basedOn w:val="1"/>
    <w:next w:val="1"/>
    <w:qFormat/>
    <w:uiPriority w:val="0"/>
    <w:pPr>
      <w:pBdr>
        <w:bottom w:val="single" w:color="auto" w:sz="6" w:space="1"/>
      </w:pBdr>
      <w:jc w:val="center"/>
    </w:pPr>
    <w:rPr>
      <w:rFonts w:ascii="Arial"/>
      <w:vanish/>
      <w:sz w:val="16"/>
    </w:rPr>
  </w:style>
  <w:style w:type="character" w:customStyle="1" w:styleId="332">
    <w:name w:val="font31"/>
    <w:basedOn w:val="54"/>
    <w:qFormat/>
    <w:uiPriority w:val="0"/>
    <w:rPr>
      <w:rFonts w:hint="eastAsia" w:ascii="宋体" w:hAnsi="宋体" w:eastAsia="宋体" w:cs="宋体"/>
      <w:color w:val="000000"/>
      <w:sz w:val="24"/>
      <w:szCs w:val="24"/>
      <w:u w:val="single"/>
    </w:rPr>
  </w:style>
  <w:style w:type="paragraph" w:customStyle="1" w:styleId="333">
    <w:name w:val="表格文字"/>
    <w:basedOn w:val="1"/>
    <w:next w:val="21"/>
    <w:qFormat/>
    <w:uiPriority w:val="0"/>
    <w:pPr>
      <w:adjustRightInd w:val="0"/>
      <w:spacing w:line="420" w:lineRule="atLeast"/>
      <w:jc w:val="left"/>
      <w:textAlignment w:val="baseline"/>
    </w:pPr>
    <w:rPr>
      <w:kern w:val="0"/>
    </w:rPr>
  </w:style>
  <w:style w:type="character" w:customStyle="1" w:styleId="334">
    <w:name w:val="font01"/>
    <w:basedOn w:val="54"/>
    <w:qFormat/>
    <w:uiPriority w:val="0"/>
    <w:rPr>
      <w:rFonts w:ascii="Arial" w:hAnsi="Arial" w:cs="Arial"/>
      <w:color w:val="000000"/>
      <w:sz w:val="18"/>
      <w:szCs w:val="18"/>
      <w:u w:val="none"/>
    </w:rPr>
  </w:style>
  <w:style w:type="paragraph" w:customStyle="1" w:styleId="335">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7">
    <w:name w:val="font61"/>
    <w:basedOn w:val="54"/>
    <w:qFormat/>
    <w:uiPriority w:val="0"/>
    <w:rPr>
      <w:rFonts w:hint="eastAsia" w:ascii="宋体" w:hAnsi="宋体" w:eastAsia="宋体" w:cs="宋体"/>
      <w:color w:val="000000"/>
      <w:sz w:val="20"/>
      <w:szCs w:val="20"/>
      <w:u w:val="none"/>
    </w:rPr>
  </w:style>
  <w:style w:type="character" w:customStyle="1" w:styleId="338">
    <w:name w:val="font81"/>
    <w:basedOn w:val="54"/>
    <w:qFormat/>
    <w:uiPriority w:val="0"/>
    <w:rPr>
      <w:rFonts w:ascii="Calibri" w:hAnsi="Calibri" w:cs="Calibri"/>
      <w:color w:val="000000"/>
      <w:sz w:val="20"/>
      <w:szCs w:val="20"/>
      <w:u w:val="none"/>
    </w:rPr>
  </w:style>
  <w:style w:type="character" w:customStyle="1" w:styleId="339">
    <w:name w:val="font71"/>
    <w:basedOn w:val="54"/>
    <w:qFormat/>
    <w:uiPriority w:val="0"/>
    <w:rPr>
      <w:rFonts w:hint="eastAsia" w:ascii="宋体" w:hAnsi="宋体" w:eastAsia="宋体" w:cs="宋体"/>
      <w:color w:val="000000"/>
      <w:sz w:val="22"/>
      <w:szCs w:val="22"/>
      <w:u w:val="none"/>
    </w:rPr>
  </w:style>
  <w:style w:type="paragraph" w:customStyle="1" w:styleId="340">
    <w:name w:val="01 正文-首行缩进2字符"/>
    <w:basedOn w:val="1"/>
    <w:qFormat/>
    <w:uiPriority w:val="0"/>
    <w:pPr>
      <w:spacing w:before="50" w:beforeLines="50" w:after="50" w:afterLines="50"/>
      <w:ind w:firstLine="200" w:firstLineChars="200"/>
    </w:pPr>
    <w:rPr>
      <w:rFonts w:ascii="Arial" w:hAnsi="Arial"/>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58</Pages>
  <Words>29767</Words>
  <Characters>31918</Characters>
  <Lines>322</Lines>
  <Paragraphs>90</Paragraphs>
  <TotalTime>0</TotalTime>
  <ScaleCrop>false</ScaleCrop>
  <LinksUpToDate>false</LinksUpToDate>
  <CharactersWithSpaces>34031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历程招标</cp:lastModifiedBy>
  <cp:lastPrinted>2021-03-22T07:00:00Z</cp:lastPrinted>
  <dcterms:modified xsi:type="dcterms:W3CDTF">2023-04-06T08:20:45Z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8A4D96B279F54F318049197AF11FB369_13</vt:lpwstr>
  </property>
</Properties>
</file>