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6"/>
          <w:szCs w:val="36"/>
          <w:lang w:val="en-US" w:eastAsia="zh-CN"/>
        </w:rPr>
        <w:t>附件一、</w:t>
      </w:r>
      <w:r>
        <w:rPr>
          <w:rFonts w:hint="eastAsia"/>
          <w:sz w:val="36"/>
          <w:szCs w:val="36"/>
        </w:rPr>
        <w:t>采购</w:t>
      </w:r>
      <w:r>
        <w:rPr>
          <w:rFonts w:hint="eastAsia"/>
          <w:sz w:val="36"/>
          <w:szCs w:val="36"/>
          <w:lang w:val="en-US" w:eastAsia="zh-CN"/>
        </w:rPr>
        <w:t>内容及要求</w:t>
      </w:r>
    </w:p>
    <w:p>
      <w:pPr>
        <w:spacing w:line="360" w:lineRule="auto"/>
        <w:rPr>
          <w:rFonts w:hint="default" w:ascii="宋体" w:hAnsi="宋体" w:eastAsia="宋体" w:cs="宋体"/>
          <w:b/>
          <w:bCs/>
          <w:sz w:val="24"/>
          <w:u w:val="none"/>
          <w:lang w:val="en-US" w:eastAsia="zh-CN"/>
        </w:rPr>
      </w:pPr>
      <w:r>
        <w:rPr>
          <w:rFonts w:hint="eastAsia" w:ascii="宋体" w:hAnsi="宋体" w:eastAsia="宋体" w:cs="宋体"/>
          <w:b/>
          <w:bCs/>
          <w:sz w:val="24"/>
        </w:rPr>
        <w:t>一、项目名称：</w:t>
      </w:r>
      <w:r>
        <w:rPr>
          <w:rFonts w:hint="eastAsia" w:ascii="宋体" w:hAnsi="宋体" w:eastAsia="宋体" w:cs="宋体"/>
          <w:b/>
          <w:bCs/>
          <w:sz w:val="24"/>
          <w:lang w:val="en-US" w:eastAsia="zh-CN"/>
        </w:rPr>
        <w:t>点钞机采购</w:t>
      </w:r>
    </w:p>
    <w:p>
      <w:pPr>
        <w:pStyle w:val="2"/>
        <w:spacing w:line="360" w:lineRule="auto"/>
        <w:ind w:firstLine="0" w:firstLineChars="0"/>
        <w:rPr>
          <w:rFonts w:hint="eastAsia" w:ascii="宋体" w:hAnsi="宋体" w:eastAsia="宋体" w:cs="宋体"/>
          <w:b/>
          <w:bCs/>
        </w:rPr>
      </w:pPr>
      <w:r>
        <w:rPr>
          <w:rFonts w:hint="eastAsia" w:ascii="宋体" w:hAnsi="宋体" w:eastAsia="宋体" w:cs="宋体"/>
          <w:b/>
          <w:bCs/>
          <w:sz w:val="24"/>
          <w:lang w:val="en-US" w:eastAsia="zh-CN"/>
        </w:rPr>
        <w:t>二</w:t>
      </w:r>
      <w:r>
        <w:rPr>
          <w:rFonts w:hint="eastAsia" w:ascii="宋体" w:hAnsi="宋体" w:eastAsia="宋体" w:cs="宋体"/>
          <w:b/>
          <w:bCs/>
          <w:sz w:val="24"/>
        </w:rPr>
        <w:t>、项目概况及要求</w:t>
      </w:r>
      <w:r>
        <w:rPr>
          <w:rFonts w:hint="eastAsia" w:ascii="宋体" w:hAnsi="宋体" w:eastAsia="宋体" w:cs="宋体"/>
          <w:b/>
          <w:bCs/>
        </w:rPr>
        <w:t>：</w:t>
      </w:r>
    </w:p>
    <w:p>
      <w:pPr>
        <w:pStyle w:val="2"/>
        <w:spacing w:line="360" w:lineRule="auto"/>
        <w:ind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财务科（预算金额：16000元）</w:t>
      </w:r>
    </w:p>
    <w:tbl>
      <w:tblPr>
        <w:tblStyle w:val="9"/>
        <w:tblW w:w="10154"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065"/>
        <w:gridCol w:w="1095"/>
        <w:gridCol w:w="2112"/>
        <w:gridCol w:w="2596"/>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noWrap w:val="0"/>
            <w:vAlign w:val="top"/>
          </w:tcPr>
          <w:p>
            <w:pPr>
              <w:rPr>
                <w:rFonts w:hint="eastAsia" w:eastAsia="宋体"/>
                <w:vertAlign w:val="baseline"/>
                <w:lang w:val="en-US" w:eastAsia="zh-CN"/>
              </w:rPr>
            </w:pPr>
            <w:r>
              <w:rPr>
                <w:rFonts w:hint="eastAsia"/>
                <w:vertAlign w:val="baseline"/>
                <w:lang w:val="en-US" w:eastAsia="zh-CN"/>
              </w:rPr>
              <w:t>品牌</w:t>
            </w:r>
          </w:p>
        </w:tc>
        <w:tc>
          <w:tcPr>
            <w:tcW w:w="1065" w:type="dxa"/>
            <w:noWrap w:val="0"/>
            <w:vAlign w:val="top"/>
          </w:tcPr>
          <w:p>
            <w:pPr>
              <w:rPr>
                <w:rFonts w:hint="eastAsia" w:eastAsia="宋体"/>
                <w:vertAlign w:val="baseline"/>
                <w:lang w:val="en-US" w:eastAsia="zh-CN"/>
              </w:rPr>
            </w:pPr>
            <w:r>
              <w:rPr>
                <w:rFonts w:hint="eastAsia"/>
                <w:vertAlign w:val="baseline"/>
                <w:lang w:val="en-US" w:eastAsia="zh-CN"/>
              </w:rPr>
              <w:t>型号</w:t>
            </w:r>
          </w:p>
        </w:tc>
        <w:tc>
          <w:tcPr>
            <w:tcW w:w="1095" w:type="dxa"/>
            <w:noWrap w:val="0"/>
            <w:vAlign w:val="top"/>
          </w:tcPr>
          <w:p>
            <w:pPr>
              <w:rPr>
                <w:rFonts w:hint="default"/>
                <w:vertAlign w:val="baseline"/>
                <w:lang w:val="en-US" w:eastAsia="zh-CN"/>
              </w:rPr>
            </w:pPr>
            <w:r>
              <w:rPr>
                <w:rFonts w:hint="eastAsia"/>
                <w:vertAlign w:val="baseline"/>
                <w:lang w:val="en-US" w:eastAsia="zh-CN"/>
              </w:rPr>
              <w:t>数量</w:t>
            </w:r>
          </w:p>
        </w:tc>
        <w:tc>
          <w:tcPr>
            <w:tcW w:w="2112" w:type="dxa"/>
            <w:noWrap w:val="0"/>
            <w:vAlign w:val="top"/>
          </w:tcPr>
          <w:p>
            <w:pPr>
              <w:rPr>
                <w:rFonts w:hint="default" w:eastAsia="宋体"/>
                <w:vertAlign w:val="baseline"/>
                <w:lang w:val="en-US" w:eastAsia="zh-CN"/>
              </w:rPr>
            </w:pPr>
            <w:r>
              <w:rPr>
                <w:rFonts w:hint="eastAsia"/>
                <w:vertAlign w:val="baseline"/>
                <w:lang w:val="en-US" w:eastAsia="zh-CN"/>
              </w:rPr>
              <w:t>功能</w:t>
            </w:r>
          </w:p>
        </w:tc>
        <w:tc>
          <w:tcPr>
            <w:tcW w:w="2596" w:type="dxa"/>
            <w:noWrap w:val="0"/>
            <w:vAlign w:val="top"/>
          </w:tcPr>
          <w:p>
            <w:pPr>
              <w:rPr>
                <w:rFonts w:hint="default" w:eastAsia="宋体"/>
                <w:vertAlign w:val="baseline"/>
                <w:lang w:val="en-US" w:eastAsia="zh-CN"/>
              </w:rPr>
            </w:pPr>
            <w:r>
              <w:rPr>
                <w:rFonts w:hint="eastAsia"/>
                <w:vertAlign w:val="baseline"/>
                <w:lang w:val="en-US" w:eastAsia="zh-CN"/>
              </w:rPr>
              <w:t>图像</w:t>
            </w:r>
          </w:p>
        </w:tc>
        <w:tc>
          <w:tcPr>
            <w:tcW w:w="1996" w:type="dxa"/>
            <w:noWrap w:val="0"/>
            <w:vAlign w:val="top"/>
          </w:tcPr>
          <w:p>
            <w:pPr>
              <w:rPr>
                <w:rFonts w:hint="default" w:eastAsia="宋体"/>
                <w:vertAlign w:val="baseline"/>
                <w:lang w:val="en-US" w:eastAsia="zh-CN"/>
              </w:rPr>
            </w:pPr>
            <w:r>
              <w:rPr>
                <w:rFonts w:hint="eastAsia"/>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1290" w:type="dxa"/>
            <w:noWrap w:val="0"/>
            <w:vAlign w:val="top"/>
          </w:tcPr>
          <w:p>
            <w:pPr>
              <w:jc w:val="center"/>
              <w:rPr>
                <w:rFonts w:hint="default" w:eastAsia="宋体"/>
                <w:vertAlign w:val="baseline"/>
                <w:lang w:val="en-US" w:eastAsia="zh-CN"/>
              </w:rPr>
            </w:pPr>
            <w:r>
              <w:rPr>
                <w:rFonts w:hint="eastAsia"/>
                <w:vertAlign w:val="baseline"/>
                <w:lang w:val="en-US" w:eastAsia="zh-CN"/>
              </w:rPr>
              <w:t>融和点钞机</w:t>
            </w:r>
          </w:p>
        </w:tc>
        <w:tc>
          <w:tcPr>
            <w:tcW w:w="1065" w:type="dxa"/>
            <w:noWrap w:val="0"/>
            <w:vAlign w:val="top"/>
          </w:tcPr>
          <w:p>
            <w:pPr>
              <w:jc w:val="center"/>
              <w:rPr>
                <w:rFonts w:hint="default" w:eastAsia="宋体"/>
                <w:vertAlign w:val="baseline"/>
                <w:lang w:val="en-US" w:eastAsia="zh-CN"/>
              </w:rPr>
            </w:pPr>
            <w:r>
              <w:rPr>
                <w:rFonts w:hint="eastAsia"/>
                <w:vertAlign w:val="baseline"/>
                <w:lang w:val="en-US" w:eastAsia="zh-CN"/>
              </w:rPr>
              <w:t>2210B</w:t>
            </w:r>
          </w:p>
        </w:tc>
        <w:tc>
          <w:tcPr>
            <w:tcW w:w="1095" w:type="dxa"/>
            <w:noWrap w:val="0"/>
            <w:vAlign w:val="top"/>
          </w:tcPr>
          <w:p>
            <w:pPr>
              <w:jc w:val="center"/>
              <w:rPr>
                <w:rFonts w:hint="default"/>
                <w:vertAlign w:val="baseline"/>
                <w:lang w:val="en-US" w:eastAsia="zh-CN"/>
              </w:rPr>
            </w:pPr>
            <w:r>
              <w:rPr>
                <w:rFonts w:hint="eastAsia"/>
                <w:vertAlign w:val="baseline"/>
                <w:lang w:val="en-US" w:eastAsia="zh-CN"/>
              </w:rPr>
              <w:t>8台</w:t>
            </w:r>
          </w:p>
        </w:tc>
        <w:tc>
          <w:tcPr>
            <w:tcW w:w="2112" w:type="dxa"/>
            <w:noWrap w:val="0"/>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智能，准确性高、分版、高精度识别假币、合计金额，支持升级、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404040"/>
                <w:spacing w:val="0"/>
                <w:sz w:val="24"/>
                <w:szCs w:val="24"/>
              </w:rPr>
            </w:pPr>
            <w:r>
              <w:rPr>
                <w:rFonts w:hint="eastAsia" w:ascii="宋体" w:hAnsi="宋体" w:eastAsia="宋体" w:cs="宋体"/>
                <w:i w:val="0"/>
                <w:iCs w:val="0"/>
                <w:caps w:val="0"/>
                <w:color w:val="404040"/>
                <w:spacing w:val="0"/>
                <w:sz w:val="24"/>
                <w:szCs w:val="24"/>
                <w:bdr w:val="none" w:color="auto" w:sz="0" w:space="0"/>
                <w:shd w:val="clear" w:fill="FFFFFF"/>
                <w:lang w:val="en-US" w:eastAsia="zh-CN"/>
              </w:rPr>
              <w:t>点钞速度：</w:t>
            </w:r>
            <w:r>
              <w:rPr>
                <w:rFonts w:hint="eastAsia" w:ascii="宋体" w:hAnsi="宋体" w:eastAsia="宋体" w:cs="宋体"/>
                <w:i w:val="0"/>
                <w:iCs w:val="0"/>
                <w:caps w:val="0"/>
                <w:color w:val="404040"/>
                <w:spacing w:val="0"/>
                <w:sz w:val="24"/>
                <w:szCs w:val="24"/>
                <w:bdr w:val="none" w:color="auto" w:sz="0" w:space="0"/>
                <w:shd w:val="clear" w:fill="FFFFFF"/>
              </w:rPr>
              <w:t>&gt; 1000张/分钟</w:t>
            </w:r>
          </w:p>
          <w:p>
            <w:pPr>
              <w:rPr>
                <w:rFonts w:hint="default" w:eastAsia="宋体"/>
                <w:vertAlign w:val="baseline"/>
                <w:lang w:val="en-US" w:eastAsia="zh-CN"/>
              </w:rPr>
            </w:pPr>
          </w:p>
        </w:tc>
        <w:tc>
          <w:tcPr>
            <w:tcW w:w="2596" w:type="dxa"/>
            <w:noWrap w:val="0"/>
            <w:vAlign w:val="top"/>
          </w:tcPr>
          <w:p>
            <w:pPr>
              <w:rPr>
                <w:rFonts w:hint="default" w:eastAsia="宋体"/>
                <w:vertAlign w:val="baseline"/>
                <w:lang w:val="en-US" w:eastAsia="zh-CN"/>
              </w:rPr>
            </w:pPr>
            <w:r>
              <w:rPr>
                <w:rFonts w:hint="default" w:eastAsia="宋体"/>
                <w:vertAlign w:val="baseline"/>
                <w:lang w:val="en-US" w:eastAsia="zh-CN"/>
              </w:rPr>
              <w:drawing>
                <wp:inline distT="0" distB="0" distL="114300" distR="114300">
                  <wp:extent cx="1556385" cy="1391285"/>
                  <wp:effectExtent l="0" t="0" r="5715" b="18415"/>
                  <wp:docPr id="1" name="图片 1" descr="abead3cd7130e180b220510e3d1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ead3cd7130e180b220510e3d12174"/>
                          <pic:cNvPicPr>
                            <a:picLocks noChangeAspect="1"/>
                          </pic:cNvPicPr>
                        </pic:nvPicPr>
                        <pic:blipFill>
                          <a:blip r:embed="rId4"/>
                          <a:stretch>
                            <a:fillRect/>
                          </a:stretch>
                        </pic:blipFill>
                        <pic:spPr>
                          <a:xfrm>
                            <a:off x="0" y="0"/>
                            <a:ext cx="1556385" cy="1391285"/>
                          </a:xfrm>
                          <a:prstGeom prst="rect">
                            <a:avLst/>
                          </a:prstGeom>
                          <a:noFill/>
                          <a:ln>
                            <a:noFill/>
                          </a:ln>
                        </pic:spPr>
                      </pic:pic>
                    </a:graphicData>
                  </a:graphic>
                </wp:inline>
              </w:drawing>
            </w:r>
          </w:p>
        </w:tc>
        <w:tc>
          <w:tcPr>
            <w:tcW w:w="1996" w:type="dxa"/>
            <w:noWrap w:val="0"/>
            <w:vAlign w:val="top"/>
          </w:tcPr>
          <w:p>
            <w:pP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保修三年</w:t>
            </w:r>
          </w:p>
          <w:p>
            <w:pP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三年内假币包赔，机器报修72小时内到达</w:t>
            </w:r>
          </w:p>
        </w:tc>
      </w:tr>
    </w:tbl>
    <w:p>
      <w:pPr>
        <w:pStyle w:val="2"/>
        <w:ind w:firstLine="0" w:firstLineChars="0"/>
        <w:rPr>
          <w:rFonts w:hint="default" w:ascii="宋体" w:hAnsi="宋体" w:eastAsia="宋体" w:cs="宋体"/>
          <w:sz w:val="24"/>
          <w:lang w:val="en-US" w:eastAsia="zh-CN"/>
        </w:rPr>
      </w:pPr>
    </w:p>
    <w:p>
      <w:pPr>
        <w:pStyle w:val="2"/>
        <w:ind w:firstLine="0" w:firstLineChars="0"/>
        <w:rPr>
          <w:rFonts w:hint="default" w:ascii="宋体" w:hAnsi="宋体" w:eastAsia="宋体" w:cs="宋体"/>
          <w:sz w:val="24"/>
          <w:lang w:val="en-US" w:eastAsia="zh-CN"/>
        </w:rPr>
      </w:pPr>
    </w:p>
    <w:p>
      <w:pPr>
        <w:pStyle w:val="2"/>
        <w:numPr>
          <w:ilvl w:val="0"/>
          <w:numId w:val="0"/>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三、付款方式：</w:t>
      </w:r>
    </w:p>
    <w:p>
      <w:pPr>
        <w:pStyle w:val="2"/>
        <w:numPr>
          <w:ilvl w:val="0"/>
          <w:numId w:val="0"/>
        </w:num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增值税发票，甲方在收到发票后60天内向乙方支付全部合同价款。</w:t>
      </w:r>
    </w:p>
    <w:p>
      <w:pPr>
        <w:pStyle w:val="2"/>
        <w:numPr>
          <w:ilvl w:val="0"/>
          <w:numId w:val="0"/>
        </w:numPr>
        <w:spacing w:line="360" w:lineRule="auto"/>
        <w:ind w:firstLine="480" w:firstLineChars="200"/>
        <w:rPr>
          <w:rFonts w:hint="default" w:ascii="宋体" w:hAnsi="宋体" w:eastAsia="宋体" w:cs="宋体"/>
          <w:sz w:val="24"/>
          <w:lang w:val="en-US" w:eastAsia="zh-CN"/>
        </w:rPr>
      </w:pPr>
    </w:p>
    <w:p>
      <w:pPr>
        <w:pStyle w:val="2"/>
        <w:numPr>
          <w:ilvl w:val="0"/>
          <w:numId w:val="0"/>
        </w:numPr>
        <w:spacing w:line="360" w:lineRule="auto"/>
        <w:ind w:left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四、货物质量保证和标准</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本项目所有产品应提供自货物验收合格并交付使用后至少3年的现场免费质保期，如厂商本身承诺的产品质保期高于此要求的则按照厂商承诺执行。在质量保证期内，卖方对由于产品设计、工艺、材料、配套件的缺陷而造成的任何产品质量问题或故障负责。</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2、货物的设计、制造、质量验收标准应符合国家（或国际）最新颁布的有关标准/规范要求或相应的国际标准。</w:t>
      </w:r>
    </w:p>
    <w:p>
      <w:pPr>
        <w:pStyle w:val="2"/>
        <w:numPr>
          <w:ilvl w:val="0"/>
          <w:numId w:val="0"/>
        </w:numPr>
        <w:spacing w:line="360" w:lineRule="auto"/>
        <w:ind w:leftChars="0"/>
        <w:rPr>
          <w:rFonts w:hint="eastAsia" w:ascii="宋体" w:hAnsi="宋体" w:eastAsia="宋体" w:cs="宋体"/>
          <w:b w:val="0"/>
          <w:bCs w:val="0"/>
          <w:sz w:val="24"/>
          <w:lang w:val="en-US" w:eastAsia="zh-CN"/>
        </w:rPr>
      </w:pPr>
    </w:p>
    <w:p>
      <w:pPr>
        <w:pStyle w:val="2"/>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五、质量保证及售后服务</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1、所供应的货物是最新生产的符合国家技术规格和质量标准的出厂原装合格产品。</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六、</w:t>
      </w:r>
      <w:r>
        <w:rPr>
          <w:rFonts w:hint="default"/>
          <w:b/>
          <w:bCs/>
          <w:sz w:val="24"/>
          <w:szCs w:val="24"/>
          <w:lang w:val="en-US" w:eastAsia="zh-CN"/>
        </w:rPr>
        <w:t>货物的到货、安装、调试和验收</w:t>
      </w:r>
    </w:p>
    <w:p>
      <w:pPr>
        <w:pStyle w:val="2"/>
        <w:numPr>
          <w:ilvl w:val="0"/>
          <w:numId w:val="0"/>
        </w:numPr>
        <w:spacing w:line="360" w:lineRule="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到货 </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卖方必须在</w:t>
      </w:r>
      <w:r>
        <w:rPr>
          <w:rFonts w:hint="eastAsia"/>
          <w:sz w:val="24"/>
          <w:szCs w:val="24"/>
          <w:lang w:val="en-US" w:eastAsia="zh-CN"/>
        </w:rPr>
        <w:t>20个工作日内</w:t>
      </w:r>
      <w:r>
        <w:rPr>
          <w:rFonts w:hint="default"/>
          <w:sz w:val="24"/>
          <w:szCs w:val="24"/>
          <w:lang w:val="en-US" w:eastAsia="zh-CN"/>
        </w:rPr>
        <w:t>完成货物的供货。货物到达现场后，卖方必须派员到现场与买方一起开箱并按供货清单验收</w:t>
      </w:r>
      <w:r>
        <w:rPr>
          <w:rFonts w:hint="eastAsia"/>
          <w:sz w:val="24"/>
          <w:szCs w:val="24"/>
          <w:lang w:val="en-US" w:eastAsia="zh-CN"/>
        </w:rPr>
        <w:t>，</w:t>
      </w:r>
      <w:r>
        <w:rPr>
          <w:rFonts w:hint="default"/>
          <w:sz w:val="24"/>
          <w:szCs w:val="24"/>
          <w:lang w:val="en-US" w:eastAsia="zh-CN"/>
        </w:rPr>
        <w:t>若有缺少或损坏，卖方应立即补足或更换全新同规格产品，直至买方满意为止。</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安装</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2.1</w:t>
      </w:r>
      <w:r>
        <w:rPr>
          <w:rFonts w:hint="eastAsia"/>
          <w:sz w:val="24"/>
          <w:szCs w:val="24"/>
          <w:lang w:val="en-US" w:eastAsia="zh-CN"/>
        </w:rPr>
        <w:t xml:space="preserve">  </w:t>
      </w:r>
      <w:r>
        <w:rPr>
          <w:rFonts w:hint="default"/>
          <w:sz w:val="24"/>
          <w:szCs w:val="24"/>
          <w:lang w:val="en-US" w:eastAsia="zh-CN"/>
        </w:rPr>
        <w:t>货物到达买方指定地点后，卖方应按买方规定的日期指派工程技术人员对货物进行安装调试，直至通过验收。货物的安装调试及现场培训应在合同规定的期限内完成。</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2.2  设备的安装必须符合有关标准和规范。安装过程中买方将对货物的安装质量进行监督。</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调试</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4</w:t>
      </w:r>
      <w:r>
        <w:rPr>
          <w:rFonts w:hint="eastAsia"/>
          <w:sz w:val="24"/>
          <w:szCs w:val="24"/>
          <w:lang w:val="en-US" w:eastAsia="zh-CN"/>
        </w:rPr>
        <w:t>、</w:t>
      </w:r>
      <w:r>
        <w:rPr>
          <w:rFonts w:hint="default"/>
          <w:sz w:val="24"/>
          <w:szCs w:val="24"/>
          <w:lang w:val="en-US" w:eastAsia="zh-CN"/>
        </w:rPr>
        <w:t>验收</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货物经过试运行考核无故障（或存在的故障和隐患均已全部排除），并经相关部门检验合格，所有的技术资料和图纸已向买方提交并被接受，验收视为合格，买卖双方签署验收合格证书。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若因卖方产品质量或安装技术问题导致货物二次验收都不合格，买方有权选择退货，并保留向卖方索赔的权利。</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6</w:t>
      </w:r>
      <w:r>
        <w:rPr>
          <w:rFonts w:hint="eastAsia"/>
          <w:sz w:val="24"/>
          <w:szCs w:val="24"/>
          <w:lang w:val="en-US" w:eastAsia="zh-CN"/>
        </w:rPr>
        <w:t>、</w:t>
      </w:r>
      <w:r>
        <w:rPr>
          <w:rFonts w:hint="default"/>
          <w:sz w:val="24"/>
          <w:szCs w:val="24"/>
          <w:lang w:val="en-US" w:eastAsia="zh-CN"/>
        </w:rPr>
        <w:t>卖方在货物到货、安装、调试和验收期间应接受买方的协调和管理，卖方应采取严格的防范措施，承担由于自身原因所造成的事故责任及其发生的一切费用。</w:t>
      </w:r>
    </w:p>
    <w:p>
      <w:pPr>
        <w:pStyle w:val="2"/>
        <w:numPr>
          <w:ilvl w:val="0"/>
          <w:numId w:val="0"/>
        </w:numPr>
        <w:spacing w:line="360" w:lineRule="auto"/>
        <w:rPr>
          <w:rFonts w:hint="default"/>
          <w:sz w:val="24"/>
          <w:szCs w:val="24"/>
          <w:lang w:val="en-US" w:eastAsia="zh-CN"/>
        </w:rPr>
      </w:pPr>
    </w:p>
    <w:p>
      <w:pPr>
        <w:pStyle w:val="2"/>
        <w:numPr>
          <w:ilvl w:val="0"/>
          <w:numId w:val="0"/>
        </w:numPr>
        <w:spacing w:line="360" w:lineRule="auto"/>
        <w:rPr>
          <w:rFonts w:hint="default"/>
          <w:b/>
          <w:bCs/>
          <w:sz w:val="24"/>
          <w:szCs w:val="24"/>
          <w:lang w:val="en-US" w:eastAsia="zh-CN"/>
        </w:rPr>
      </w:pPr>
      <w:r>
        <w:rPr>
          <w:rFonts w:hint="default"/>
          <w:b/>
          <w:bCs/>
          <w:sz w:val="24"/>
          <w:szCs w:val="24"/>
          <w:lang w:val="en-US" w:eastAsia="zh-CN"/>
        </w:rPr>
        <w:t>七</w:t>
      </w:r>
      <w:r>
        <w:rPr>
          <w:rFonts w:hint="eastAsia"/>
          <w:b/>
          <w:bCs/>
          <w:sz w:val="24"/>
          <w:szCs w:val="24"/>
          <w:lang w:val="en-US" w:eastAsia="zh-CN"/>
        </w:rPr>
        <w:t>、</w:t>
      </w:r>
      <w:r>
        <w:rPr>
          <w:rFonts w:hint="default"/>
          <w:b/>
          <w:bCs/>
          <w:sz w:val="24"/>
          <w:szCs w:val="24"/>
          <w:lang w:val="en-US" w:eastAsia="zh-CN"/>
        </w:rPr>
        <w:t>技术服务和人员培训</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维修技术服务。出现质量问题而买方无法自行解决的，卖方在接到买方的维修电话或传真通知后10分钟内作出响应，电话沟通无法解决的，卖方维修人员应在</w:t>
      </w:r>
      <w:r>
        <w:rPr>
          <w:rFonts w:hint="eastAsia"/>
          <w:sz w:val="24"/>
          <w:szCs w:val="24"/>
          <w:lang w:val="en-US" w:eastAsia="zh-CN"/>
        </w:rPr>
        <w:t>72</w:t>
      </w:r>
      <w:r>
        <w:rPr>
          <w:rFonts w:hint="default"/>
          <w:sz w:val="24"/>
          <w:szCs w:val="24"/>
          <w:lang w:val="en-US" w:eastAsia="zh-CN"/>
        </w:rPr>
        <w:t>分钟内到达现场进行维修，排除故障，重大质量问题一时无法解决的，卖方应提出解决问题的应急处理预案。提供7×24小时电话咨询服务。</w:t>
      </w:r>
      <w:bookmarkStart w:id="0" w:name="_GoBack"/>
      <w:bookmarkEnd w:id="0"/>
    </w:p>
    <w:p>
      <w:pPr>
        <w:pStyle w:val="2"/>
        <w:numPr>
          <w:ilvl w:val="0"/>
          <w:numId w:val="0"/>
        </w:numPr>
        <w:spacing w:line="360" w:lineRule="auto"/>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合同规定的期限内，卖方应派遣有经验的工程技术人员在安装调试现场对买方指派人员进行操作和保养培训，使其能独立操作、维护、包养。培训计划方案（培训人数、时间、地点、教材、费用）应在投标文件中详细说明。其费用可单独报价，计入总价，如免费培训需在投标文件中作出说明。</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质保期满后，卖方工程技术、维修人员也须不定期的进行回访，并为买方提供优质、优价的终身维修和产品维护保养。</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N2FlZGQyNmExMDc1YTc1OWIxYmFlNmE1NTFhMTUifQ=="/>
  </w:docVars>
  <w:rsids>
    <w:rsidRoot w:val="00A02A37"/>
    <w:rsid w:val="0007646E"/>
    <w:rsid w:val="002A0406"/>
    <w:rsid w:val="007373BC"/>
    <w:rsid w:val="00A02A37"/>
    <w:rsid w:val="00A457FA"/>
    <w:rsid w:val="00F0269D"/>
    <w:rsid w:val="04684506"/>
    <w:rsid w:val="06043E9E"/>
    <w:rsid w:val="06E15E3C"/>
    <w:rsid w:val="0C300A04"/>
    <w:rsid w:val="10C71F5A"/>
    <w:rsid w:val="1D3C515C"/>
    <w:rsid w:val="226E2973"/>
    <w:rsid w:val="229D2E28"/>
    <w:rsid w:val="272005DA"/>
    <w:rsid w:val="291122AA"/>
    <w:rsid w:val="2C77430D"/>
    <w:rsid w:val="2EBF307B"/>
    <w:rsid w:val="321B0A6F"/>
    <w:rsid w:val="37B235FD"/>
    <w:rsid w:val="387F6D16"/>
    <w:rsid w:val="462A298B"/>
    <w:rsid w:val="47FD3F63"/>
    <w:rsid w:val="48C84ABD"/>
    <w:rsid w:val="4FD147A1"/>
    <w:rsid w:val="536C61AC"/>
    <w:rsid w:val="586D09FC"/>
    <w:rsid w:val="5A0F768E"/>
    <w:rsid w:val="5A3C73F0"/>
    <w:rsid w:val="62BD2580"/>
    <w:rsid w:val="6EAD47D5"/>
    <w:rsid w:val="747B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555"/>
    </w:p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2588</Words>
  <Characters>2765</Characters>
  <Lines>1</Lines>
  <Paragraphs>1</Paragraphs>
  <TotalTime>10</TotalTime>
  <ScaleCrop>false</ScaleCrop>
  <LinksUpToDate>false</LinksUpToDate>
  <CharactersWithSpaces>2823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Administrator</cp:lastModifiedBy>
  <dcterms:modified xsi:type="dcterms:W3CDTF">2023-02-23T06:21:12Z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7C5A16EDF2E647309599E4BF75944C46</vt:lpwstr>
  </property>
</Properties>
</file>