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Arial" w:hAnsi="宋体" w:cs="Arial"/>
          <w:b/>
          <w:bCs/>
          <w:szCs w:val="21"/>
        </w:rPr>
      </w:pPr>
      <w:bookmarkStart w:id="1" w:name="_GoBack"/>
      <w:bookmarkEnd w:id="1"/>
      <w:r>
        <w:rPr>
          <w:rFonts w:hint="eastAsia" w:ascii="Arial" w:hAnsi="宋体" w:cs="Arial"/>
          <w:b/>
          <w:bCs/>
          <w:szCs w:val="21"/>
        </w:rPr>
        <w:t>附件：</w:t>
      </w:r>
    </w:p>
    <w:p>
      <w:pPr>
        <w:spacing w:line="360" w:lineRule="auto"/>
        <w:jc w:val="center"/>
        <w:outlineLvl w:val="3"/>
        <w:rPr>
          <w:rFonts w:ascii="新宋体" w:hAnsi="新宋体" w:eastAsia="新宋体" w:cs="Times New Roman"/>
          <w:b/>
          <w:sz w:val="22"/>
        </w:rPr>
      </w:pPr>
    </w:p>
    <w:p>
      <w:pPr>
        <w:spacing w:line="360" w:lineRule="auto"/>
        <w:jc w:val="center"/>
        <w:outlineLvl w:val="3"/>
        <w:rPr>
          <w:rFonts w:ascii="新宋体" w:hAnsi="新宋体" w:eastAsia="新宋体" w:cs="Times New Roman"/>
          <w:b/>
          <w:sz w:val="22"/>
        </w:rPr>
      </w:pPr>
      <w:r>
        <w:rPr>
          <w:rFonts w:hint="eastAsia" w:ascii="新宋体" w:hAnsi="新宋体" w:eastAsia="新宋体" w:cs="Times New Roman"/>
          <w:b/>
          <w:sz w:val="22"/>
        </w:rPr>
        <w:t>法定代表人授权书</w:t>
      </w:r>
    </w:p>
    <w:p>
      <w:pPr>
        <w:spacing w:line="360" w:lineRule="auto"/>
        <w:rPr>
          <w:rFonts w:ascii="新宋体" w:hAnsi="新宋体" w:eastAsia="新宋体" w:cs="Times New Roman"/>
          <w:sz w:val="22"/>
        </w:rPr>
      </w:pPr>
      <w:r>
        <w:rPr>
          <w:rFonts w:hint="eastAsia" w:ascii="新宋体" w:hAnsi="新宋体" w:eastAsia="新宋体" w:cs="Times New Roman"/>
          <w:sz w:val="22"/>
        </w:rPr>
        <w:t>温州市人民医院：</w:t>
      </w:r>
    </w:p>
    <w:p>
      <w:pPr>
        <w:spacing w:line="360" w:lineRule="auto"/>
        <w:rPr>
          <w:rFonts w:ascii="新宋体" w:hAnsi="新宋体" w:eastAsia="新宋体" w:cs="Times New Roman"/>
          <w:sz w:val="22"/>
          <w:u w:val="single"/>
        </w:rPr>
      </w:pPr>
    </w:p>
    <w:p>
      <w:pPr>
        <w:spacing w:line="360" w:lineRule="auto"/>
        <w:ind w:firstLine="550" w:firstLineChars="250"/>
        <w:rPr>
          <w:rFonts w:ascii="新宋体" w:hAnsi="新宋体" w:eastAsia="新宋体" w:cs="Times New Roman"/>
          <w:sz w:val="22"/>
        </w:rPr>
      </w:pPr>
      <w:r>
        <w:rPr>
          <w:rFonts w:hint="eastAsia" w:ascii="新宋体" w:hAnsi="新宋体" w:eastAsia="新宋体" w:cs="Times New Roman"/>
          <w:sz w:val="22"/>
          <w:u w:val="single"/>
        </w:rPr>
        <w:t xml:space="preserve">             </w:t>
      </w:r>
      <w:r>
        <w:rPr>
          <w:rFonts w:hint="eastAsia" w:ascii="新宋体" w:hAnsi="新宋体" w:eastAsia="新宋体" w:cs="Times New Roman"/>
          <w:sz w:val="22"/>
        </w:rPr>
        <w:t>（比选申请人全称）法定代表人</w:t>
      </w:r>
      <w:r>
        <w:rPr>
          <w:rFonts w:hint="eastAsia" w:ascii="新宋体" w:hAnsi="新宋体" w:eastAsia="新宋体" w:cs="Times New Roman"/>
          <w:sz w:val="22"/>
          <w:u w:val="single"/>
        </w:rPr>
        <w:t xml:space="preserve">          </w:t>
      </w:r>
      <w:r>
        <w:rPr>
          <w:rFonts w:hint="eastAsia" w:ascii="新宋体" w:hAnsi="新宋体" w:eastAsia="新宋体" w:cs="Times New Roman"/>
          <w:sz w:val="22"/>
        </w:rPr>
        <w:t>授权</w:t>
      </w:r>
      <w:r>
        <w:rPr>
          <w:rFonts w:hint="eastAsia" w:ascii="新宋体" w:hAnsi="新宋体" w:eastAsia="新宋体" w:cs="Times New Roman"/>
          <w:sz w:val="22"/>
          <w:u w:val="single"/>
        </w:rPr>
        <w:t xml:space="preserve">        </w:t>
      </w:r>
      <w:r>
        <w:rPr>
          <w:rFonts w:hint="eastAsia" w:ascii="新宋体" w:hAnsi="新宋体" w:eastAsia="新宋体" w:cs="Times New Roman"/>
          <w:sz w:val="22"/>
        </w:rPr>
        <w:t>（全权代表姓名）为全权代表，参加贵处组织的（</w:t>
      </w:r>
      <w:r>
        <w:rPr>
          <w:rFonts w:hint="eastAsia" w:ascii="新宋体" w:hAnsi="新宋体" w:eastAsia="新宋体" w:cs="Times New Roman"/>
          <w:sz w:val="22"/>
          <w:u w:val="single"/>
        </w:rPr>
        <w:t xml:space="preserve">                    </w:t>
      </w:r>
      <w:r>
        <w:rPr>
          <w:rFonts w:hint="eastAsia" w:ascii="新宋体" w:hAnsi="新宋体" w:eastAsia="新宋体" w:cs="Times New Roman"/>
          <w:sz w:val="22"/>
        </w:rPr>
        <w:t>项目名称）的比选活动，全权代表我方处理比价活动中的一切事宜。</w:t>
      </w:r>
    </w:p>
    <w:p>
      <w:pPr>
        <w:spacing w:line="360" w:lineRule="auto"/>
        <w:ind w:firstLine="2955"/>
        <w:rPr>
          <w:rFonts w:ascii="新宋体" w:hAnsi="新宋体" w:eastAsia="新宋体" w:cs="Times New Roman"/>
          <w:sz w:val="22"/>
        </w:rPr>
      </w:pPr>
    </w:p>
    <w:p>
      <w:pPr>
        <w:spacing w:line="360" w:lineRule="auto"/>
        <w:ind w:firstLine="2955"/>
        <w:rPr>
          <w:rFonts w:ascii="新宋体" w:hAnsi="新宋体" w:eastAsia="新宋体" w:cs="Times New Roman"/>
          <w:sz w:val="22"/>
        </w:rPr>
      </w:pPr>
      <w:r>
        <w:rPr>
          <w:rFonts w:hint="eastAsia" w:ascii="新宋体" w:hAnsi="新宋体" w:eastAsia="新宋体" w:cs="Times New Roman"/>
          <w:sz w:val="22"/>
        </w:rPr>
        <w:t xml:space="preserve">          </w:t>
      </w:r>
    </w:p>
    <w:p>
      <w:pPr>
        <w:spacing w:line="360" w:lineRule="auto"/>
        <w:ind w:firstLine="4081" w:firstLineChars="1855"/>
        <w:rPr>
          <w:rFonts w:ascii="新宋体" w:hAnsi="新宋体" w:eastAsia="新宋体" w:cs="Times New Roman"/>
          <w:sz w:val="22"/>
        </w:rPr>
      </w:pPr>
      <w:r>
        <w:rPr>
          <w:rFonts w:hint="eastAsia" w:ascii="新宋体" w:hAnsi="新宋体" w:eastAsia="新宋体" w:cs="Times New Roman"/>
          <w:sz w:val="22"/>
        </w:rPr>
        <w:t>法定代表人  (签字或盖章)：</w:t>
      </w:r>
    </w:p>
    <w:p>
      <w:pPr>
        <w:spacing w:line="360" w:lineRule="auto"/>
        <w:ind w:firstLine="2955"/>
        <w:rPr>
          <w:rFonts w:ascii="新宋体" w:hAnsi="新宋体" w:eastAsia="新宋体" w:cs="Times New Roman"/>
          <w:sz w:val="22"/>
        </w:rPr>
      </w:pPr>
      <w:r>
        <w:rPr>
          <w:rFonts w:hint="eastAsia" w:ascii="新宋体" w:hAnsi="新宋体" w:eastAsia="新宋体" w:cs="Times New Roman"/>
          <w:sz w:val="22"/>
        </w:rPr>
        <w:t xml:space="preserve">          比</w:t>
      </w:r>
      <w:r>
        <w:rPr>
          <w:rFonts w:hint="eastAsia" w:ascii="新宋体" w:hAnsi="新宋体" w:eastAsia="新宋体" w:cs="Times New Roman"/>
          <w:sz w:val="22"/>
          <w:lang w:eastAsia="zh-CN"/>
        </w:rPr>
        <w:t>选</w:t>
      </w:r>
      <w:r>
        <w:rPr>
          <w:rFonts w:hint="eastAsia" w:ascii="新宋体" w:hAnsi="新宋体" w:eastAsia="新宋体" w:cs="Times New Roman"/>
          <w:sz w:val="22"/>
        </w:rPr>
        <w:t>申请人全称（公章）：</w:t>
      </w:r>
    </w:p>
    <w:p>
      <w:pPr>
        <w:spacing w:line="360" w:lineRule="auto"/>
        <w:ind w:firstLine="2955"/>
        <w:rPr>
          <w:rFonts w:ascii="新宋体" w:hAnsi="新宋体" w:eastAsia="新宋体" w:cs="Times New Roman"/>
          <w:sz w:val="22"/>
        </w:rPr>
      </w:pPr>
      <w:r>
        <w:rPr>
          <w:rFonts w:hint="eastAsia" w:ascii="新宋体" w:hAnsi="新宋体" w:eastAsia="新宋体" w:cs="Times New Roman"/>
          <w:sz w:val="22"/>
        </w:rPr>
        <w:t xml:space="preserve">          日   期：  </w:t>
      </w: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hint="eastAsia" w:ascii="新宋体" w:hAnsi="新宋体" w:eastAsia="新宋体" w:cs="Times New Roman"/>
          <w:b/>
          <w:bCs/>
          <w:sz w:val="22"/>
        </w:rPr>
      </w:pPr>
    </w:p>
    <w:p>
      <w:pPr>
        <w:spacing w:line="360" w:lineRule="auto"/>
        <w:ind w:firstLine="541"/>
        <w:rPr>
          <w:rFonts w:ascii="新宋体" w:hAnsi="新宋体" w:eastAsia="新宋体" w:cs="Times New Roman"/>
          <w:b/>
          <w:bCs/>
          <w:sz w:val="22"/>
        </w:rPr>
      </w:pPr>
      <w:r>
        <w:rPr>
          <w:rFonts w:hint="eastAsia" w:ascii="新宋体" w:hAnsi="新宋体" w:eastAsia="新宋体" w:cs="Times New Roman"/>
          <w:b/>
          <w:bCs/>
          <w:sz w:val="22"/>
        </w:rPr>
        <w:t>附：</w:t>
      </w:r>
    </w:p>
    <w:p>
      <w:pPr>
        <w:spacing w:line="360" w:lineRule="auto"/>
        <w:ind w:firstLine="539"/>
        <w:rPr>
          <w:rFonts w:ascii="新宋体" w:hAnsi="新宋体" w:eastAsia="新宋体" w:cs="Times New Roman"/>
          <w:b/>
          <w:bCs/>
          <w:sz w:val="22"/>
        </w:rPr>
      </w:pPr>
      <w:r>
        <w:rPr>
          <w:rFonts w:hint="eastAsia" w:ascii="新宋体" w:hAnsi="新宋体" w:eastAsia="新宋体" w:cs="Times New Roman"/>
          <w:sz w:val="22"/>
        </w:rPr>
        <w:t xml:space="preserve">授权代表姓名：                               </w:t>
      </w:r>
    </w:p>
    <w:p>
      <w:pPr>
        <w:spacing w:line="360" w:lineRule="auto"/>
        <w:ind w:firstLine="539"/>
        <w:rPr>
          <w:rFonts w:ascii="新宋体" w:hAnsi="新宋体" w:eastAsia="新宋体" w:cs="Times New Roman"/>
          <w:b/>
          <w:bCs/>
          <w:sz w:val="22"/>
        </w:rPr>
      </w:pPr>
      <w:r>
        <w:rPr>
          <w:rFonts w:hint="eastAsia" w:ascii="新宋体" w:hAnsi="新宋体" w:eastAsia="新宋体" w:cs="Times New Roman"/>
          <w:sz w:val="22"/>
        </w:rPr>
        <w:t>职务：</w:t>
      </w:r>
    </w:p>
    <w:p>
      <w:pPr>
        <w:spacing w:line="360" w:lineRule="auto"/>
        <w:ind w:firstLine="539"/>
        <w:rPr>
          <w:rFonts w:ascii="新宋体" w:hAnsi="新宋体" w:eastAsia="新宋体" w:cs="Times New Roman"/>
          <w:b/>
          <w:bCs/>
          <w:sz w:val="22"/>
        </w:rPr>
      </w:pPr>
      <w:r>
        <w:rPr>
          <w:rFonts w:hint="eastAsia" w:ascii="新宋体" w:hAnsi="新宋体" w:eastAsia="新宋体" w:cs="Times New Roman"/>
          <w:sz w:val="22"/>
        </w:rPr>
        <w:t>详细通讯地址：</w:t>
      </w:r>
    </w:p>
    <w:p>
      <w:pPr>
        <w:spacing w:line="360" w:lineRule="auto"/>
        <w:ind w:firstLine="539"/>
        <w:rPr>
          <w:rFonts w:ascii="新宋体" w:hAnsi="新宋体" w:eastAsia="新宋体" w:cs="Times New Roman"/>
          <w:b/>
          <w:bCs/>
          <w:sz w:val="22"/>
        </w:rPr>
      </w:pPr>
      <w:r>
        <w:rPr>
          <w:rFonts w:hint="eastAsia" w:ascii="新宋体" w:hAnsi="新宋体" w:eastAsia="新宋体" w:cs="Times New Roman"/>
          <w:sz w:val="22"/>
        </w:rPr>
        <w:t>电话：</w:t>
      </w:r>
    </w:p>
    <w:p>
      <w:pPr>
        <w:spacing w:line="360" w:lineRule="auto"/>
        <w:ind w:firstLine="539"/>
        <w:rPr>
          <w:rFonts w:ascii="新宋体" w:hAnsi="新宋体" w:eastAsia="新宋体" w:cs="Times New Roman"/>
          <w:b/>
          <w:bCs/>
          <w:sz w:val="22"/>
        </w:rPr>
      </w:pPr>
      <w:r>
        <w:rPr>
          <w:rFonts w:hint="eastAsia" w:ascii="新宋体" w:hAnsi="新宋体" w:eastAsia="新宋体" w:cs="Times New Roman"/>
          <w:sz w:val="22"/>
        </w:rPr>
        <w:t>传真：</w:t>
      </w:r>
    </w:p>
    <w:p>
      <w:pPr>
        <w:spacing w:line="360" w:lineRule="auto"/>
        <w:ind w:firstLine="539"/>
        <w:rPr>
          <w:rFonts w:ascii="新宋体" w:hAnsi="新宋体" w:eastAsia="新宋体" w:cs="Times New Roman"/>
          <w:b/>
          <w:bCs/>
          <w:sz w:val="28"/>
          <w:szCs w:val="28"/>
        </w:rPr>
      </w:pPr>
      <w:r>
        <w:rPr>
          <w:rFonts w:hint="eastAsia" w:ascii="新宋体" w:hAnsi="新宋体" w:eastAsia="新宋体" w:cs="Times New Roman"/>
          <w:sz w:val="22"/>
        </w:rPr>
        <w:t>邮政编码:</w:t>
      </w:r>
    </w:p>
    <w:p>
      <w:pPr>
        <w:spacing w:line="360" w:lineRule="auto"/>
        <w:jc w:val="center"/>
        <w:rPr>
          <w:rFonts w:ascii="新宋体" w:hAnsi="新宋体" w:eastAsia="新宋体" w:cs="Times New Roman"/>
          <w:b/>
          <w:bCs/>
          <w:sz w:val="28"/>
          <w:szCs w:val="28"/>
        </w:rPr>
      </w:pPr>
      <w:r>
        <w:rPr>
          <w:rFonts w:hint="eastAsia" w:ascii="新宋体" w:hAnsi="新宋体" w:eastAsia="新宋体" w:cs="Times New Roman"/>
          <w:sz w:val="22"/>
          <w:lang w:val="zh-CN"/>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123825</wp:posOffset>
                </wp:positionV>
                <wp:extent cx="5668010" cy="2129790"/>
                <wp:effectExtent l="4445" t="4445" r="23495" b="18415"/>
                <wp:wrapNone/>
                <wp:docPr id="1" name="文本框 1"/>
                <wp:cNvGraphicFramePr/>
                <a:graphic xmlns:a="http://schemas.openxmlformats.org/drawingml/2006/main">
                  <a:graphicData uri="http://schemas.microsoft.com/office/word/2010/wordprocessingShape">
                    <wps:wsp>
                      <wps:cNvSpPr txBox="1"/>
                      <wps:spPr>
                        <a:xfrm>
                          <a:off x="0" y="0"/>
                          <a:ext cx="5668010" cy="2129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39"/>
                            </w:pPr>
                            <w:r>
                              <w:rPr>
                                <w:rFonts w:hint="eastAsia" w:ascii="新宋体" w:hAnsi="新宋体" w:eastAsia="新宋体"/>
                                <w:sz w:val="22"/>
                              </w:rPr>
                              <w:t xml:space="preserve">  法定代表人身份证（正反面）：</w:t>
                            </w:r>
                          </w:p>
                        </w:txbxContent>
                      </wps:txbx>
                      <wps:bodyPr upright="1"/>
                    </wps:wsp>
                  </a:graphicData>
                </a:graphic>
              </wp:anchor>
            </w:drawing>
          </mc:Choice>
          <mc:Fallback>
            <w:pict>
              <v:shape id="_x0000_s1026" o:spid="_x0000_s1026" o:spt="202" type="#_x0000_t202" style="position:absolute;left:0pt;margin-left:13.1pt;margin-top:9.75pt;height:167.7pt;width:446.3pt;z-index:251659264;mso-width-relative:page;mso-height-relative:page;" fillcolor="#FFFFFF" filled="t" stroked="t" coordsize="21600,21600" o:gfxdata="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BTkOtkAAAAJAQAADwAAAAAAAAABACAA&#10;AAAiAAAAZHJzL2Rvd25yZXYueG1sUEsBAhQAFAAAAAgAh07iQEtgtzsMAgAANwQAAA4AAAAAAAAA&#10;AQAgAAAAKAEAAGRycy9lMm9Eb2MueG1sUEsFBgAAAAAGAAYAWQEAAKYFAAAAAA==&#10;">
                <v:fill on="t" focussize="0,0"/>
                <v:stroke color="#000000" joinstyle="miter"/>
                <v:imagedata o:title=""/>
                <o:lock v:ext="edit" aspectratio="f"/>
                <v:textbox>
                  <w:txbxContent>
                    <w:p>
                      <w:pPr>
                        <w:ind w:firstLine="539"/>
                      </w:pPr>
                      <w:r>
                        <w:rPr>
                          <w:rFonts w:hint="eastAsia" w:ascii="新宋体" w:hAnsi="新宋体" w:eastAsia="新宋体"/>
                          <w:sz w:val="22"/>
                        </w:rPr>
                        <w:t xml:space="preserve">  法定代表人身份证（正反面）：</w:t>
                      </w:r>
                    </w:p>
                  </w:txbxContent>
                </v:textbox>
              </v:shape>
            </w:pict>
          </mc:Fallback>
        </mc:AlternateContent>
      </w:r>
    </w:p>
    <w:p>
      <w:pPr>
        <w:spacing w:line="360" w:lineRule="auto"/>
        <w:jc w:val="center"/>
        <w:rPr>
          <w:rFonts w:ascii="新宋体" w:hAnsi="新宋体" w:eastAsia="新宋体" w:cs="Times New Roman"/>
          <w:b/>
          <w:bCs/>
          <w:sz w:val="28"/>
          <w:szCs w:val="28"/>
        </w:rPr>
      </w:pPr>
    </w:p>
    <w:p>
      <w:pPr>
        <w:spacing w:line="360" w:lineRule="auto"/>
        <w:jc w:val="center"/>
        <w:rPr>
          <w:rFonts w:ascii="新宋体" w:hAnsi="新宋体" w:eastAsia="新宋体" w:cs="Times New Roman"/>
          <w:b/>
          <w:bCs/>
          <w:sz w:val="28"/>
          <w:szCs w:val="28"/>
        </w:rPr>
      </w:pPr>
    </w:p>
    <w:p>
      <w:pPr>
        <w:spacing w:line="360" w:lineRule="auto"/>
        <w:jc w:val="center"/>
        <w:rPr>
          <w:rFonts w:ascii="新宋体" w:hAnsi="新宋体" w:eastAsia="新宋体" w:cs="Times New Roman"/>
          <w:b/>
          <w:bCs/>
          <w:sz w:val="28"/>
          <w:szCs w:val="28"/>
        </w:rPr>
      </w:pPr>
    </w:p>
    <w:p>
      <w:pPr>
        <w:spacing w:line="360" w:lineRule="auto"/>
        <w:jc w:val="center"/>
        <w:rPr>
          <w:rFonts w:ascii="新宋体" w:hAnsi="新宋体" w:eastAsia="新宋体" w:cs="Times New Roman"/>
          <w:b/>
          <w:bCs/>
          <w:sz w:val="28"/>
          <w:szCs w:val="28"/>
        </w:rPr>
      </w:pPr>
    </w:p>
    <w:p>
      <w:pPr>
        <w:spacing w:line="360" w:lineRule="auto"/>
        <w:jc w:val="center"/>
        <w:rPr>
          <w:rFonts w:ascii="新宋体" w:hAnsi="新宋体" w:eastAsia="新宋体" w:cs="Times New Roman"/>
          <w:b/>
          <w:bCs/>
          <w:sz w:val="28"/>
          <w:szCs w:val="28"/>
        </w:rPr>
      </w:pPr>
    </w:p>
    <w:p>
      <w:pPr>
        <w:spacing w:line="360" w:lineRule="auto"/>
        <w:jc w:val="center"/>
        <w:rPr>
          <w:rFonts w:ascii="新宋体" w:hAnsi="新宋体" w:eastAsia="新宋体" w:cs="Times New Roman"/>
          <w:b/>
          <w:bCs/>
          <w:sz w:val="28"/>
          <w:szCs w:val="28"/>
        </w:rPr>
      </w:pPr>
    </w:p>
    <w:p>
      <w:pPr>
        <w:spacing w:line="360" w:lineRule="auto"/>
        <w:jc w:val="center"/>
        <w:rPr>
          <w:rFonts w:ascii="新宋体" w:hAnsi="新宋体" w:eastAsia="新宋体" w:cs="Times New Roman"/>
          <w:b/>
          <w:bCs/>
          <w:sz w:val="28"/>
          <w:szCs w:val="28"/>
        </w:rPr>
      </w:pPr>
      <w:r>
        <w:rPr>
          <w:rFonts w:hint="eastAsia" w:ascii="新宋体" w:hAnsi="新宋体" w:eastAsia="新宋体" w:cs="Times New Roman"/>
          <w:sz w:val="22"/>
          <w:lang w:val="zh-CN"/>
        </w:rPr>
        <mc:AlternateContent>
          <mc:Choice Requires="wps">
            <w:drawing>
              <wp:anchor distT="0" distB="0" distL="114300" distR="114300" simplePos="0" relativeHeight="251660288" behindDoc="0" locked="0" layoutInCell="1" allowOverlap="1">
                <wp:simplePos x="0" y="0"/>
                <wp:positionH relativeFrom="column">
                  <wp:posOffset>193675</wp:posOffset>
                </wp:positionH>
                <wp:positionV relativeFrom="paragraph">
                  <wp:posOffset>111760</wp:posOffset>
                </wp:positionV>
                <wp:extent cx="5673090" cy="2279015"/>
                <wp:effectExtent l="4445" t="4445" r="18415" b="21590"/>
                <wp:wrapNone/>
                <wp:docPr id="2" name="文本框 2"/>
                <wp:cNvGraphicFramePr/>
                <a:graphic xmlns:a="http://schemas.openxmlformats.org/drawingml/2006/main">
                  <a:graphicData uri="http://schemas.microsoft.com/office/word/2010/wordprocessingShape">
                    <wps:wsp>
                      <wps:cNvSpPr txBox="1"/>
                      <wps:spPr>
                        <a:xfrm>
                          <a:off x="0" y="0"/>
                          <a:ext cx="5673090" cy="2279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39"/>
                            </w:pPr>
                            <w:r>
                              <w:rPr>
                                <w:rFonts w:hint="eastAsia" w:ascii="新宋体" w:hAnsi="新宋体" w:eastAsia="新宋体"/>
                                <w:sz w:val="22"/>
                              </w:rPr>
                              <w:t xml:space="preserve">  授权代表身份证（正反面）：</w:t>
                            </w:r>
                          </w:p>
                        </w:txbxContent>
                      </wps:txbx>
                      <wps:bodyPr upright="1"/>
                    </wps:wsp>
                  </a:graphicData>
                </a:graphic>
              </wp:anchor>
            </w:drawing>
          </mc:Choice>
          <mc:Fallback>
            <w:pict>
              <v:shape id="_x0000_s1026" o:spid="_x0000_s1026" o:spt="202" type="#_x0000_t202" style="position:absolute;left:0pt;margin-left:15.25pt;margin-top:8.8pt;height:179.45pt;width:446.7pt;z-index:251660288;mso-width-relative:page;mso-height-relative:page;" fillcolor="#FFFFFF" filled="t" stroked="t" coordsize="21600,21600" o:gfxdata="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BiqLYAAAACQEAAA8AAAAAAAAAAQAgAAAA&#10;IgAAAGRycy9kb3ducmV2LnhtbFBLAQIUABQAAAAIAIdO4kDmqmadCwIAADcEAAAOAAAAAAAAAAEA&#10;IAAAACcBAABkcnMvZTJvRG9jLnhtbFBLBQYAAAAABgAGAFkBAACkBQAAAAA=&#10;">
                <v:fill on="t" focussize="0,0"/>
                <v:stroke color="#000000" joinstyle="miter"/>
                <v:imagedata o:title=""/>
                <o:lock v:ext="edit" aspectratio="f"/>
                <v:textbox>
                  <w:txbxContent>
                    <w:p>
                      <w:pPr>
                        <w:ind w:firstLine="539"/>
                      </w:pPr>
                      <w:r>
                        <w:rPr>
                          <w:rFonts w:hint="eastAsia" w:ascii="新宋体" w:hAnsi="新宋体" w:eastAsia="新宋体"/>
                          <w:sz w:val="22"/>
                        </w:rPr>
                        <w:t xml:space="preserve">  授权代表身份证（正反面）：</w:t>
                      </w:r>
                    </w:p>
                  </w:txbxContent>
                </v:textbox>
              </v:shape>
            </w:pict>
          </mc:Fallback>
        </mc:AlternateContent>
      </w:r>
    </w:p>
    <w:p>
      <w:pPr>
        <w:spacing w:line="360" w:lineRule="auto"/>
        <w:jc w:val="center"/>
        <w:rPr>
          <w:rFonts w:ascii="新宋体" w:hAnsi="新宋体" w:eastAsia="新宋体" w:cs="Times New Roman"/>
          <w:b/>
          <w:bCs/>
          <w:sz w:val="28"/>
          <w:szCs w:val="28"/>
        </w:rPr>
      </w:pPr>
    </w:p>
    <w:p>
      <w:pPr>
        <w:spacing w:line="360" w:lineRule="auto"/>
        <w:rPr>
          <w:rFonts w:ascii="新宋体" w:hAnsi="新宋体" w:eastAsia="新宋体" w:cs="Times New Roman"/>
          <w:b/>
          <w:bCs/>
          <w:sz w:val="28"/>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cols w:space="720" w:num="1"/>
          <w:titlePg/>
          <w:docGrid w:linePitch="312" w:charSpace="0"/>
        </w:sectPr>
      </w:pPr>
    </w:p>
    <w:p>
      <w:pPr>
        <w:spacing w:line="360" w:lineRule="auto"/>
        <w:rPr>
          <w:rFonts w:ascii="Arial" w:hAnsi="宋体" w:cs="Arial"/>
          <w:b/>
          <w:bCs/>
          <w:szCs w:val="21"/>
        </w:rPr>
      </w:pPr>
    </w:p>
    <w:p>
      <w:pPr>
        <w:snapToGrid w:val="0"/>
        <w:spacing w:line="360" w:lineRule="auto"/>
        <w:ind w:firstLine="360" w:firstLineChars="100"/>
        <w:jc w:val="center"/>
        <w:rPr>
          <w:rFonts w:hint="eastAsia" w:ascii="宋体" w:hAnsi="宋体" w:eastAsia="微软雅黑"/>
          <w:b/>
          <w:spacing w:val="-14"/>
          <w:sz w:val="36"/>
          <w:szCs w:val="36"/>
          <w:lang w:eastAsia="zh-CN"/>
        </w:rPr>
      </w:pPr>
      <w:r>
        <w:rPr>
          <w:rFonts w:hint="eastAsia" w:ascii="微软雅黑" w:hAnsi="微软雅黑" w:eastAsia="微软雅黑"/>
          <w:b/>
          <w:bCs/>
          <w:sz w:val="36"/>
          <w:szCs w:val="36"/>
        </w:rPr>
        <w:t>温州市人民医院</w:t>
      </w:r>
      <w:r>
        <w:rPr>
          <w:rFonts w:hint="eastAsia" w:ascii="微软雅黑" w:hAnsi="微软雅黑" w:eastAsia="微软雅黑"/>
          <w:b/>
          <w:bCs/>
          <w:sz w:val="36"/>
          <w:szCs w:val="36"/>
          <w:lang w:eastAsia="zh-CN"/>
        </w:rPr>
        <w:t>共享充电宝合作项目</w:t>
      </w:r>
    </w:p>
    <w:p>
      <w:pPr>
        <w:snapToGrid w:val="0"/>
        <w:spacing w:line="360" w:lineRule="auto"/>
        <w:ind w:firstLine="3938" w:firstLineChars="800"/>
        <w:rPr>
          <w:rFonts w:hint="eastAsia" w:ascii="宋体" w:hAnsi="宋体"/>
          <w:b/>
          <w:spacing w:val="-14"/>
          <w:sz w:val="52"/>
          <w:szCs w:val="52"/>
          <w:lang w:val="en-US" w:eastAsia="zh-CN"/>
        </w:rPr>
      </w:pPr>
      <w:r>
        <w:rPr>
          <w:rFonts w:hint="eastAsia" w:ascii="宋体" w:hAnsi="宋体"/>
          <w:b/>
          <w:spacing w:val="-14"/>
          <w:sz w:val="52"/>
          <w:szCs w:val="52"/>
          <w:lang w:val="en-US" w:eastAsia="zh-CN"/>
        </w:rPr>
        <w:t>商</w:t>
      </w:r>
    </w:p>
    <w:p>
      <w:pPr>
        <w:snapToGrid w:val="0"/>
        <w:spacing w:line="360" w:lineRule="auto"/>
        <w:ind w:firstLine="3938" w:firstLineChars="800"/>
        <w:rPr>
          <w:rFonts w:hint="eastAsia" w:ascii="宋体" w:hAnsi="宋体" w:eastAsiaTheme="minorEastAsia"/>
          <w:b/>
          <w:spacing w:val="-14"/>
          <w:sz w:val="52"/>
          <w:szCs w:val="52"/>
          <w:lang w:val="en-US" w:eastAsia="zh-CN"/>
        </w:rPr>
      </w:pPr>
      <w:r>
        <w:rPr>
          <w:rFonts w:hint="eastAsia" w:ascii="宋体" w:hAnsi="宋体"/>
          <w:b/>
          <w:spacing w:val="-14"/>
          <w:sz w:val="52"/>
          <w:szCs w:val="52"/>
          <w:lang w:val="en-US" w:eastAsia="zh-CN"/>
        </w:rPr>
        <w:t>务</w:t>
      </w:r>
    </w:p>
    <w:p>
      <w:pPr>
        <w:snapToGrid w:val="0"/>
        <w:spacing w:line="360" w:lineRule="auto"/>
        <w:ind w:firstLine="3938" w:firstLineChars="800"/>
        <w:rPr>
          <w:rFonts w:ascii="宋体" w:hAnsi="宋体"/>
          <w:b/>
          <w:spacing w:val="-14"/>
          <w:sz w:val="52"/>
          <w:szCs w:val="52"/>
        </w:rPr>
      </w:pPr>
      <w:r>
        <w:rPr>
          <w:rFonts w:hint="eastAsia" w:ascii="宋体" w:hAnsi="宋体"/>
          <w:b/>
          <w:spacing w:val="-14"/>
          <w:sz w:val="52"/>
          <w:szCs w:val="52"/>
        </w:rPr>
        <w:t>报</w:t>
      </w:r>
    </w:p>
    <w:p>
      <w:pPr>
        <w:snapToGrid w:val="0"/>
        <w:spacing w:line="360" w:lineRule="auto"/>
        <w:ind w:firstLine="3938" w:firstLineChars="800"/>
        <w:rPr>
          <w:rFonts w:ascii="宋体" w:hAnsi="宋体"/>
          <w:b/>
          <w:spacing w:val="-14"/>
          <w:sz w:val="52"/>
          <w:szCs w:val="52"/>
        </w:rPr>
      </w:pPr>
      <w:r>
        <w:rPr>
          <w:rFonts w:hint="eastAsia" w:ascii="宋体" w:hAnsi="宋体"/>
          <w:b/>
          <w:spacing w:val="-14"/>
          <w:sz w:val="52"/>
          <w:szCs w:val="52"/>
        </w:rPr>
        <w:t>价</w:t>
      </w:r>
    </w:p>
    <w:p>
      <w:pPr>
        <w:snapToGrid w:val="0"/>
        <w:spacing w:line="360" w:lineRule="auto"/>
        <w:ind w:firstLine="3938" w:firstLineChars="800"/>
        <w:rPr>
          <w:rFonts w:ascii="宋体" w:hAnsi="宋体"/>
          <w:b/>
          <w:spacing w:val="-14"/>
          <w:sz w:val="52"/>
          <w:szCs w:val="52"/>
        </w:rPr>
      </w:pPr>
      <w:r>
        <w:rPr>
          <w:rFonts w:hint="eastAsia" w:ascii="宋体" w:hAnsi="宋体"/>
          <w:b/>
          <w:spacing w:val="-14"/>
          <w:sz w:val="52"/>
          <w:szCs w:val="52"/>
        </w:rPr>
        <w:t>表</w:t>
      </w:r>
    </w:p>
    <w:p>
      <w:pPr>
        <w:snapToGrid w:val="0"/>
        <w:spacing w:line="360" w:lineRule="auto"/>
        <w:ind w:firstLine="1620" w:firstLineChars="450"/>
        <w:rPr>
          <w:rFonts w:ascii="宋体" w:hAnsi="宋体"/>
          <w:spacing w:val="-14"/>
          <w:sz w:val="30"/>
          <w:szCs w:val="30"/>
          <w:u w:val="single"/>
        </w:rPr>
      </w:pPr>
      <w:r>
        <w:rPr>
          <w:rFonts w:hint="eastAsia" w:ascii="宋体" w:hAnsi="宋体"/>
          <w:spacing w:val="30"/>
          <w:sz w:val="30"/>
          <w:szCs w:val="30"/>
        </w:rPr>
        <w:t>招标人:</w:t>
      </w:r>
      <w:r>
        <w:rPr>
          <w:rFonts w:hint="eastAsia" w:ascii="宋体" w:hAnsi="宋体"/>
          <w:spacing w:val="-14"/>
          <w:sz w:val="30"/>
          <w:szCs w:val="30"/>
        </w:rPr>
        <w:t xml:space="preserve"> </w:t>
      </w:r>
      <w:r>
        <w:rPr>
          <w:rFonts w:hint="eastAsia" w:ascii="宋体" w:hAnsi="宋体"/>
          <w:spacing w:val="-14"/>
          <w:sz w:val="30"/>
          <w:szCs w:val="30"/>
          <w:u w:val="single"/>
        </w:rPr>
        <w:t xml:space="preserve">温州市人民医院        </w:t>
      </w:r>
    </w:p>
    <w:p>
      <w:pPr>
        <w:snapToGrid w:val="0"/>
        <w:spacing w:line="360" w:lineRule="auto"/>
        <w:ind w:firstLine="1632" w:firstLineChars="600"/>
        <w:rPr>
          <w:rFonts w:ascii="宋体" w:hAnsi="宋体"/>
          <w:spacing w:val="-14"/>
          <w:sz w:val="30"/>
          <w:szCs w:val="30"/>
        </w:rPr>
      </w:pPr>
      <w:r>
        <w:rPr>
          <w:rFonts w:hint="eastAsia" w:ascii="宋体" w:hAnsi="宋体"/>
          <w:spacing w:val="-14"/>
          <w:sz w:val="30"/>
          <w:szCs w:val="30"/>
        </w:rPr>
        <w:t>投 标 人：</w:t>
      </w:r>
      <w:r>
        <w:rPr>
          <w:rFonts w:hint="eastAsia" w:ascii="宋体" w:hAnsi="宋体"/>
          <w:spacing w:val="-14"/>
          <w:sz w:val="30"/>
          <w:szCs w:val="30"/>
          <w:u w:val="single"/>
        </w:rPr>
        <w:t xml:space="preserve"> </w:t>
      </w:r>
      <w:r>
        <w:rPr>
          <w:rFonts w:ascii="宋体" w:hAnsi="宋体"/>
          <w:spacing w:val="-14"/>
          <w:sz w:val="30"/>
          <w:szCs w:val="30"/>
          <w:u w:val="single"/>
        </w:rPr>
        <w:t xml:space="preserve">                      </w:t>
      </w:r>
      <w:r>
        <w:rPr>
          <w:rFonts w:hint="eastAsia" w:ascii="宋体" w:hAnsi="宋体"/>
          <w:spacing w:val="-14"/>
          <w:sz w:val="30"/>
          <w:szCs w:val="30"/>
          <w:u w:val="single"/>
        </w:rPr>
        <w:t xml:space="preserve">  </w:t>
      </w:r>
    </w:p>
    <w:p>
      <w:pPr>
        <w:snapToGrid w:val="0"/>
        <w:spacing w:line="360" w:lineRule="auto"/>
        <w:ind w:firstLine="1632" w:firstLineChars="600"/>
        <w:rPr>
          <w:rFonts w:ascii="宋体" w:hAnsi="宋体"/>
          <w:spacing w:val="-14"/>
          <w:sz w:val="30"/>
          <w:szCs w:val="30"/>
        </w:rPr>
      </w:pPr>
      <w:r>
        <w:rPr>
          <w:rFonts w:hint="eastAsia" w:ascii="宋体" w:hAnsi="宋体"/>
          <w:spacing w:val="-14"/>
          <w:sz w:val="30"/>
          <w:szCs w:val="30"/>
        </w:rPr>
        <w:t>投标时间：</w:t>
      </w:r>
      <w:r>
        <w:rPr>
          <w:rFonts w:ascii="宋体" w:hAnsi="宋体"/>
          <w:spacing w:val="-14"/>
          <w:sz w:val="30"/>
          <w:szCs w:val="30"/>
          <w:u w:val="single"/>
        </w:rPr>
        <w:t xml:space="preserve">                    </w:t>
      </w:r>
      <w:r>
        <w:rPr>
          <w:rFonts w:hint="eastAsia" w:ascii="宋体" w:hAnsi="宋体"/>
          <w:spacing w:val="-14"/>
          <w:sz w:val="30"/>
          <w:szCs w:val="30"/>
          <w:u w:val="single"/>
        </w:rPr>
        <w:t xml:space="preserve">     </w:t>
      </w:r>
    </w:p>
    <w:p>
      <w:pPr>
        <w:snapToGrid w:val="0"/>
        <w:spacing w:line="360" w:lineRule="auto"/>
        <w:jc w:val="center"/>
        <w:rPr>
          <w:rFonts w:ascii="宋体" w:hAnsi="宋体"/>
          <w:w w:val="80"/>
          <w:sz w:val="30"/>
          <w:szCs w:val="30"/>
        </w:rPr>
      </w:pPr>
    </w:p>
    <w:p>
      <w:pPr>
        <w:spacing w:line="360" w:lineRule="auto"/>
        <w:ind w:firstLine="3600" w:firstLineChars="1000"/>
        <w:rPr>
          <w:rFonts w:ascii="宋体" w:hAnsi="宋体"/>
          <w:spacing w:val="40"/>
          <w:sz w:val="28"/>
        </w:rPr>
      </w:pPr>
    </w:p>
    <w:p>
      <w:pPr>
        <w:spacing w:line="360" w:lineRule="auto"/>
        <w:jc w:val="center"/>
        <w:rPr>
          <w:rFonts w:ascii="宋体" w:hAnsi="宋体"/>
          <w:spacing w:val="40"/>
          <w:sz w:val="28"/>
        </w:rPr>
      </w:pPr>
      <w:r>
        <w:rPr>
          <w:rFonts w:hint="eastAsia" w:ascii="宋体" w:hAnsi="宋体"/>
          <w:spacing w:val="40"/>
          <w:sz w:val="28"/>
        </w:rPr>
        <w:t>日期</w:t>
      </w:r>
      <w:r>
        <w:rPr>
          <w:rFonts w:ascii="宋体" w:hAnsi="宋体"/>
          <w:spacing w:val="40"/>
          <w:sz w:val="28"/>
        </w:rPr>
        <w:t>：</w:t>
      </w:r>
      <w:r>
        <w:rPr>
          <w:rFonts w:hint="eastAsia" w:ascii="宋体" w:hAnsi="宋体"/>
          <w:spacing w:val="40"/>
          <w:sz w:val="28"/>
          <w:lang w:eastAsia="zh-CN"/>
        </w:rPr>
        <w:t>2024</w:t>
      </w:r>
      <w:r>
        <w:rPr>
          <w:rFonts w:hint="eastAsia" w:ascii="宋体" w:hAnsi="宋体"/>
          <w:spacing w:val="40"/>
          <w:sz w:val="28"/>
        </w:rPr>
        <w:t>年   月   日</w:t>
      </w:r>
    </w:p>
    <w:p>
      <w:pPr>
        <w:spacing w:line="360" w:lineRule="auto"/>
        <w:ind w:firstLine="3600" w:firstLineChars="1000"/>
        <w:rPr>
          <w:rFonts w:ascii="宋体" w:hAnsi="宋体"/>
          <w:spacing w:val="40"/>
          <w:sz w:val="28"/>
        </w:rPr>
      </w:pPr>
    </w:p>
    <w:p>
      <w:pPr>
        <w:spacing w:line="360" w:lineRule="auto"/>
      </w:pPr>
    </w:p>
    <w:p>
      <w:pPr>
        <w:pStyle w:val="3"/>
        <w:numPr>
          <w:ilvl w:val="0"/>
          <w:numId w:val="0"/>
        </w:numPr>
        <w:spacing w:line="360" w:lineRule="auto"/>
        <w:jc w:val="center"/>
        <w:rPr>
          <w:rFonts w:ascii="宋体" w:hAnsi="宋体" w:cs="Arial"/>
          <w:bCs/>
          <w:szCs w:val="28"/>
        </w:rPr>
      </w:pPr>
      <w:r>
        <w:rPr>
          <w:rFonts w:hint="eastAsia" w:ascii="宋体" w:hAnsi="宋体" w:cs="Arial"/>
          <w:bCs/>
          <w:szCs w:val="28"/>
        </w:rPr>
        <w:t>开标一览表</w:t>
      </w:r>
    </w:p>
    <w:p>
      <w:pPr>
        <w:pStyle w:val="3"/>
        <w:numPr>
          <w:ilvl w:val="0"/>
          <w:numId w:val="0"/>
        </w:numPr>
        <w:spacing w:line="360" w:lineRule="auto"/>
        <w:rPr>
          <w:rFonts w:ascii="宋体" w:hAnsi="宋体" w:cs="Arial"/>
          <w:bCs/>
          <w:szCs w:val="28"/>
        </w:rPr>
      </w:pPr>
      <w:r>
        <w:rPr>
          <w:rFonts w:hint="eastAsia" w:ascii="宋体" w:hAnsi="宋体" w:cs="Arial"/>
          <w:bCs/>
          <w:szCs w:val="28"/>
        </w:rPr>
        <w:t>商务评分（权值30%）</w:t>
      </w:r>
    </w:p>
    <w:p>
      <w:pPr>
        <w:spacing w:line="360" w:lineRule="auto"/>
        <w:rPr>
          <w:rFonts w:ascii="宋体" w:hAnsi="宋体"/>
          <w:color w:val="000000"/>
          <w:sz w:val="24"/>
        </w:rPr>
      </w:pPr>
      <w:r>
        <w:rPr>
          <w:rFonts w:hint="eastAsia" w:ascii="宋体" w:hAnsi="宋体"/>
          <w:color w:val="000000"/>
          <w:sz w:val="24"/>
        </w:rPr>
        <w:t>满足比选文件要求且报价最</w:t>
      </w:r>
      <w:r>
        <w:rPr>
          <w:rFonts w:hint="eastAsia" w:ascii="宋体" w:hAnsi="宋体"/>
          <w:color w:val="000000"/>
          <w:sz w:val="24"/>
          <w:lang w:eastAsia="zh-CN"/>
        </w:rPr>
        <w:t>高</w:t>
      </w:r>
      <w:r>
        <w:rPr>
          <w:rFonts w:hint="eastAsia" w:ascii="宋体" w:hAnsi="宋体"/>
          <w:color w:val="000000"/>
          <w:sz w:val="24"/>
        </w:rPr>
        <w:t>的报价为评审基准价，其余比选申请人报价与该基准价对比，计算出商务报价评分值（保留小数2位）：</w:t>
      </w:r>
    </w:p>
    <w:p>
      <w:pPr>
        <w:spacing w:line="360" w:lineRule="auto"/>
        <w:rPr>
          <w:rFonts w:ascii="宋体" w:hAnsi="宋体"/>
          <w:color w:val="000000"/>
          <w:sz w:val="24"/>
        </w:rPr>
      </w:pPr>
      <w:r>
        <w:rPr>
          <w:rFonts w:hint="eastAsia" w:ascii="宋体" w:hAnsi="宋体"/>
          <w:color w:val="000000"/>
          <w:sz w:val="24"/>
        </w:rPr>
        <w:t>1）有效比选申请人的报价等于评审基准价时其报价分为满分30分；</w:t>
      </w:r>
    </w:p>
    <w:p>
      <w:pPr>
        <w:spacing w:line="360" w:lineRule="auto"/>
        <w:rPr>
          <w:rFonts w:ascii="宋体" w:hAnsi="宋体"/>
          <w:color w:val="000000"/>
          <w:sz w:val="24"/>
        </w:rPr>
      </w:pPr>
      <w:r>
        <w:rPr>
          <w:rFonts w:hint="eastAsia" w:ascii="宋体" w:hAnsi="宋体"/>
          <w:color w:val="000000"/>
          <w:sz w:val="24"/>
        </w:rPr>
        <w:t>2）其他比选申请人的价格分按以下公式计算：</w:t>
      </w:r>
    </w:p>
    <w:p>
      <w:pPr>
        <w:spacing w:line="360" w:lineRule="auto"/>
        <w:rPr>
          <w:rFonts w:ascii="宋体" w:hAnsi="宋体"/>
          <w:color w:val="000000"/>
          <w:sz w:val="24"/>
        </w:rPr>
      </w:pPr>
      <w:r>
        <w:rPr>
          <w:rFonts w:hint="eastAsia" w:ascii="宋体" w:hAnsi="宋体"/>
          <w:color w:val="000000"/>
          <w:sz w:val="24"/>
        </w:rPr>
        <w:t>报价得分=（比选申请人报价/评分基准价）× 价格权值 ×100（保留小数2位）</w:t>
      </w:r>
    </w:p>
    <w:p>
      <w:pPr>
        <w:pStyle w:val="5"/>
        <w:spacing w:line="360" w:lineRule="auto"/>
      </w:pPr>
    </w:p>
    <w:p/>
    <w:p/>
    <w:p/>
    <w:p/>
    <w:p/>
    <w:p/>
    <w:p/>
    <w:p/>
    <w:p/>
    <w:p/>
    <w:p/>
    <w:p/>
    <w:p/>
    <w:p>
      <w:pPr>
        <w:spacing w:line="360" w:lineRule="auto"/>
        <w:rPr>
          <w:rFonts w:hint="eastAsia" w:ascii="宋体" w:hAnsi="宋体"/>
          <w:color w:val="000000"/>
          <w:sz w:val="24"/>
        </w:rPr>
      </w:pPr>
    </w:p>
    <w:p>
      <w:pPr>
        <w:spacing w:line="360" w:lineRule="auto"/>
        <w:rPr>
          <w:rFonts w:ascii="宋体" w:hAnsi="宋体"/>
          <w:color w:val="000000"/>
          <w:sz w:val="24"/>
          <w:u w:val="single"/>
        </w:rPr>
      </w:pPr>
      <w:r>
        <w:rPr>
          <w:rFonts w:hint="eastAsia" w:ascii="宋体" w:hAnsi="宋体"/>
          <w:color w:val="000000"/>
          <w:sz w:val="24"/>
        </w:rPr>
        <w:t>项目名称：</w:t>
      </w:r>
      <w:r>
        <w:rPr>
          <w:rFonts w:hint="eastAsia" w:ascii="新宋体" w:hAnsi="新宋体" w:eastAsia="新宋体"/>
          <w:b/>
          <w:bCs/>
          <w:sz w:val="29"/>
          <w:szCs w:val="29"/>
          <w:u w:val="single"/>
        </w:rPr>
        <w:t>温州市人民医院</w:t>
      </w:r>
      <w:r>
        <w:rPr>
          <w:rFonts w:hint="eastAsia" w:ascii="新宋体" w:hAnsi="新宋体" w:eastAsia="新宋体"/>
          <w:b/>
          <w:bCs/>
          <w:sz w:val="29"/>
          <w:szCs w:val="29"/>
          <w:u w:val="single"/>
          <w:lang w:eastAsia="zh-CN"/>
        </w:rPr>
        <w:t>共享充电宝合作项目</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单位：人民币元</w:t>
      </w:r>
    </w:p>
    <w:tbl>
      <w:tblPr>
        <w:tblStyle w:val="14"/>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292"/>
        <w:gridCol w:w="2277"/>
        <w:gridCol w:w="1998"/>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序号</w:t>
            </w:r>
          </w:p>
        </w:tc>
        <w:tc>
          <w:tcPr>
            <w:tcW w:w="2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商品名称</w:t>
            </w:r>
          </w:p>
        </w:tc>
        <w:tc>
          <w:tcPr>
            <w:tcW w:w="22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000000"/>
                <w:sz w:val="24"/>
              </w:rPr>
            </w:pPr>
          </w:p>
          <w:p>
            <w:pPr>
              <w:spacing w:line="360" w:lineRule="auto"/>
              <w:jc w:val="center"/>
              <w:rPr>
                <w:rFonts w:ascii="宋体" w:hAnsi="宋体"/>
                <w:b/>
                <w:color w:val="000000"/>
                <w:sz w:val="24"/>
              </w:rPr>
            </w:pPr>
            <w:r>
              <w:rPr>
                <w:rFonts w:hint="eastAsia" w:ascii="宋体" w:hAnsi="宋体"/>
                <w:b/>
                <w:color w:val="000000"/>
                <w:sz w:val="24"/>
              </w:rPr>
              <w:t>数量</w:t>
            </w: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单价</w:t>
            </w:r>
          </w:p>
        </w:tc>
        <w:tc>
          <w:tcPr>
            <w:tcW w:w="2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2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2277" w:type="dxa"/>
            <w:tcBorders>
              <w:top w:val="single" w:color="auto" w:sz="4" w:space="0"/>
              <w:left w:val="single" w:color="auto" w:sz="4" w:space="0"/>
              <w:bottom w:val="single" w:color="auto" w:sz="4" w:space="0"/>
              <w:right w:val="single" w:color="auto" w:sz="4" w:space="0"/>
            </w:tcBorders>
          </w:tcPr>
          <w:p>
            <w:pPr>
              <w:pStyle w:val="20"/>
              <w:snapToGrid w:val="0"/>
              <w:spacing w:line="360" w:lineRule="auto"/>
              <w:ind w:firstLine="0" w:firstLineChars="0"/>
              <w:rPr>
                <w:rFonts w:ascii="宋体" w:hAnsi="宋体"/>
                <w:color w:val="000000"/>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 w:val="24"/>
              </w:rPr>
            </w:pPr>
            <w:r>
              <w:rPr>
                <w:rFonts w:hint="eastAsia" w:ascii="宋体" w:hAnsi="宋体"/>
                <w:color w:val="000000"/>
                <w:sz w:val="24"/>
              </w:rPr>
              <w:t>大写：</w:t>
            </w:r>
          </w:p>
          <w:p>
            <w:pPr>
              <w:snapToGrid w:val="0"/>
              <w:spacing w:line="360" w:lineRule="auto"/>
              <w:rPr>
                <w:rFonts w:ascii="宋体" w:hAnsi="宋体"/>
                <w:color w:val="000000"/>
                <w:sz w:val="24"/>
              </w:rPr>
            </w:pPr>
          </w:p>
          <w:p>
            <w:pPr>
              <w:snapToGrid w:val="0"/>
              <w:spacing w:line="360" w:lineRule="auto"/>
              <w:rPr>
                <w:rFonts w:ascii="宋体" w:hAnsi="宋体"/>
                <w:color w:val="000000"/>
                <w:sz w:val="24"/>
              </w:rPr>
            </w:pPr>
            <w:r>
              <w:rPr>
                <w:rFonts w:hint="eastAsia" w:ascii="宋体" w:hAnsi="宋体"/>
                <w:color w:val="000000"/>
                <w:sz w:val="24"/>
              </w:rPr>
              <w:t>小写：</w:t>
            </w:r>
          </w:p>
        </w:tc>
        <w:tc>
          <w:tcPr>
            <w:tcW w:w="2313" w:type="dxa"/>
            <w:tcBorders>
              <w:top w:val="single" w:color="auto" w:sz="4" w:space="0"/>
              <w:left w:val="single" w:color="auto" w:sz="4" w:space="0"/>
              <w:right w:val="single" w:color="auto" w:sz="4" w:space="0"/>
            </w:tcBorders>
            <w:vAlign w:val="center"/>
          </w:tcPr>
          <w:p>
            <w:pPr>
              <w:snapToGrid w:val="0"/>
              <w:spacing w:line="360" w:lineRule="auto"/>
              <w:rPr>
                <w:rFonts w:ascii="宋体" w:hAnsi="宋体"/>
                <w:color w:val="000000"/>
                <w:sz w:val="24"/>
              </w:rPr>
            </w:pPr>
            <w:r>
              <w:rPr>
                <w:rFonts w:hint="eastAsia" w:ascii="宋体" w:hAnsi="宋体"/>
                <w:color w:val="000000"/>
                <w:sz w:val="24"/>
              </w:rPr>
              <w:t>大写：</w:t>
            </w:r>
          </w:p>
          <w:p>
            <w:pPr>
              <w:snapToGrid w:val="0"/>
              <w:spacing w:line="360" w:lineRule="auto"/>
              <w:rPr>
                <w:rFonts w:ascii="宋体" w:hAnsi="宋体"/>
                <w:color w:val="000000"/>
                <w:sz w:val="24"/>
              </w:rPr>
            </w:pPr>
          </w:p>
          <w:p>
            <w:pPr>
              <w:snapToGrid w:val="0"/>
              <w:spacing w:line="360" w:lineRule="auto"/>
              <w:rPr>
                <w:rFonts w:ascii="宋体" w:hAnsi="宋体"/>
                <w:color w:val="000000"/>
                <w:sz w:val="24"/>
              </w:rPr>
            </w:pPr>
            <w:r>
              <w:rPr>
                <w:rFonts w:hint="eastAsia" w:ascii="宋体" w:hAnsi="宋体"/>
                <w:color w:val="000000"/>
                <w:sz w:val="24"/>
              </w:rPr>
              <w:t>小写：</w:t>
            </w:r>
          </w:p>
        </w:tc>
      </w:tr>
    </w:tbl>
    <w:p>
      <w:pPr>
        <w:snapToGrid w:val="0"/>
        <w:spacing w:line="360" w:lineRule="auto"/>
        <w:jc w:val="left"/>
        <w:rPr>
          <w:rFonts w:ascii="宋体" w:hAnsi="宋体"/>
          <w:b/>
          <w:bCs/>
          <w:sz w:val="24"/>
        </w:rPr>
      </w:pPr>
      <w:r>
        <w:rPr>
          <w:rFonts w:hint="eastAsia" w:ascii="宋体" w:hAnsi="宋体"/>
          <w:b/>
          <w:bCs/>
          <w:sz w:val="24"/>
        </w:rPr>
        <w:t xml:space="preserve">注: </w:t>
      </w:r>
    </w:p>
    <w:p>
      <w:pPr>
        <w:spacing w:line="360" w:lineRule="auto"/>
        <w:jc w:val="left"/>
        <w:rPr>
          <w:rFonts w:ascii="宋体" w:hAnsi="宋体"/>
          <w:color w:val="000000"/>
          <w:sz w:val="24"/>
        </w:rPr>
      </w:pPr>
      <w:r>
        <w:rPr>
          <w:rFonts w:hint="eastAsia" w:ascii="宋体" w:hAnsi="宋体"/>
          <w:color w:val="000000"/>
          <w:sz w:val="24"/>
        </w:rPr>
        <w:t>1.报价一经涂改，应在涂改处加盖单位公章或者由法定代表人或其委托代理人签字或盖章，否则作无效投标处理。</w:t>
      </w:r>
    </w:p>
    <w:p>
      <w:pPr>
        <w:spacing w:line="360" w:lineRule="auto"/>
        <w:jc w:val="left"/>
        <w:rPr>
          <w:rFonts w:ascii="宋体" w:hAnsi="宋体"/>
          <w:color w:val="000000"/>
          <w:sz w:val="24"/>
        </w:rPr>
      </w:pPr>
      <w:r>
        <w:rPr>
          <w:rFonts w:hint="eastAsia" w:ascii="宋体" w:hAnsi="宋体"/>
          <w:color w:val="000000"/>
          <w:sz w:val="24"/>
        </w:rPr>
        <w:t>2．投标报价不得</w:t>
      </w:r>
      <w:r>
        <w:rPr>
          <w:rFonts w:hint="eastAsia" w:ascii="宋体" w:hAnsi="宋体"/>
          <w:color w:val="000000"/>
          <w:sz w:val="24"/>
          <w:lang w:val="en-US" w:eastAsia="zh-CN"/>
        </w:rPr>
        <w:t>低于</w:t>
      </w:r>
      <w:r>
        <w:rPr>
          <w:rFonts w:hint="eastAsia" w:ascii="宋体" w:hAnsi="宋体"/>
          <w:color w:val="000000"/>
          <w:sz w:val="24"/>
        </w:rPr>
        <w:t>预算价及单价控制价，否则作无效投标处理。</w:t>
      </w:r>
    </w:p>
    <w:p>
      <w:pPr>
        <w:spacing w:line="360" w:lineRule="auto"/>
        <w:jc w:val="left"/>
        <w:rPr>
          <w:rFonts w:ascii="宋体" w:hAnsi="宋体"/>
          <w:color w:val="000000"/>
          <w:sz w:val="24"/>
        </w:rPr>
      </w:pPr>
    </w:p>
    <w:p>
      <w:pPr>
        <w:spacing w:line="360" w:lineRule="auto"/>
        <w:ind w:firstLine="5400" w:firstLineChars="2250"/>
        <w:jc w:val="left"/>
        <w:rPr>
          <w:rFonts w:ascii="宋体" w:hAnsi="宋体"/>
          <w:color w:val="000000"/>
          <w:sz w:val="24"/>
        </w:rPr>
      </w:pPr>
      <w:r>
        <w:rPr>
          <w:rFonts w:hint="eastAsia" w:ascii="宋体" w:hAnsi="宋体"/>
          <w:color w:val="000000"/>
          <w:sz w:val="24"/>
          <w:lang w:eastAsia="zh-CN"/>
        </w:rPr>
        <w:t>投标人</w:t>
      </w:r>
      <w:r>
        <w:rPr>
          <w:rFonts w:hint="eastAsia" w:ascii="宋体" w:hAnsi="宋体"/>
          <w:color w:val="000000"/>
          <w:sz w:val="24"/>
        </w:rPr>
        <w:t>：（盖章）</w:t>
      </w:r>
    </w:p>
    <w:p>
      <w:pPr>
        <w:spacing w:line="360" w:lineRule="auto"/>
        <w:ind w:firstLine="3600" w:firstLineChars="1500"/>
        <w:jc w:val="left"/>
        <w:rPr>
          <w:rFonts w:ascii="宋体" w:hAnsi="宋体"/>
          <w:color w:val="000000"/>
          <w:sz w:val="24"/>
        </w:rPr>
      </w:pPr>
      <w:r>
        <w:rPr>
          <w:rFonts w:hint="eastAsia" w:ascii="宋体" w:hAnsi="宋体"/>
          <w:color w:val="000000"/>
          <w:sz w:val="24"/>
        </w:rPr>
        <w:t>法定代表人或其委托代理人：（签字或盖章）</w:t>
      </w:r>
    </w:p>
    <w:p>
      <w:pPr>
        <w:spacing w:line="360" w:lineRule="auto"/>
        <w:ind w:firstLine="5160" w:firstLineChars="2150"/>
        <w:jc w:val="left"/>
      </w:pPr>
      <w:r>
        <w:rPr>
          <w:rFonts w:hint="eastAsia" w:ascii="宋体" w:hAnsi="宋体"/>
          <w:color w:val="000000"/>
          <w:sz w:val="24"/>
        </w:rPr>
        <w:t>日期：   年    月   日</w:t>
      </w:r>
    </w:p>
    <w:p>
      <w:pPr>
        <w:spacing w:line="360" w:lineRule="auto"/>
      </w:pPr>
    </w:p>
    <w:p>
      <w:pPr>
        <w:pStyle w:val="5"/>
        <w:spacing w:line="360" w:lineRule="auto"/>
        <w:rPr>
          <w:rFonts w:hint="eastAsia"/>
        </w:rPr>
      </w:pPr>
    </w:p>
    <w:p>
      <w:pPr>
        <w:rPr>
          <w:rFonts w:hint="eastAsia"/>
        </w:rPr>
      </w:pPr>
    </w:p>
    <w:p>
      <w:pPr>
        <w:rPr>
          <w:rFonts w:hint="eastAsia"/>
        </w:rPr>
      </w:pPr>
    </w:p>
    <w:p>
      <w:pPr>
        <w:rPr>
          <w:rFonts w:hint="eastAsia"/>
        </w:rPr>
      </w:pPr>
    </w:p>
    <w:p>
      <w:pPr>
        <w:snapToGrid w:val="0"/>
        <w:spacing w:line="360" w:lineRule="auto"/>
        <w:ind w:firstLine="360" w:firstLineChars="100"/>
        <w:jc w:val="center"/>
        <w:rPr>
          <w:rFonts w:hint="eastAsia" w:ascii="微软雅黑" w:hAnsi="微软雅黑" w:eastAsia="微软雅黑"/>
          <w:b/>
          <w:bCs/>
          <w:sz w:val="36"/>
          <w:szCs w:val="36"/>
        </w:rPr>
      </w:pPr>
    </w:p>
    <w:p>
      <w:pPr>
        <w:snapToGrid w:val="0"/>
        <w:spacing w:line="360" w:lineRule="auto"/>
        <w:ind w:firstLine="360" w:firstLineChars="100"/>
        <w:jc w:val="center"/>
        <w:rPr>
          <w:rFonts w:hint="eastAsia" w:ascii="宋体" w:hAnsi="宋体" w:eastAsia="微软雅黑"/>
          <w:b/>
          <w:spacing w:val="-14"/>
          <w:sz w:val="36"/>
          <w:szCs w:val="36"/>
          <w:lang w:eastAsia="zh-CN"/>
        </w:rPr>
      </w:pPr>
      <w:r>
        <w:rPr>
          <w:rFonts w:hint="eastAsia" w:ascii="微软雅黑" w:hAnsi="微软雅黑" w:eastAsia="微软雅黑"/>
          <w:b/>
          <w:bCs/>
          <w:sz w:val="36"/>
          <w:szCs w:val="36"/>
        </w:rPr>
        <w:t>温州市人民医院</w:t>
      </w:r>
      <w:r>
        <w:rPr>
          <w:rFonts w:hint="eastAsia" w:ascii="微软雅黑" w:hAnsi="微软雅黑" w:eastAsia="微软雅黑"/>
          <w:b/>
          <w:bCs/>
          <w:sz w:val="36"/>
          <w:szCs w:val="36"/>
          <w:lang w:eastAsia="zh-CN"/>
        </w:rPr>
        <w:t>共享充电宝合作项目</w:t>
      </w:r>
    </w:p>
    <w:p>
      <w:pPr>
        <w:snapToGrid w:val="0"/>
        <w:spacing w:line="360" w:lineRule="auto"/>
        <w:ind w:firstLine="3938" w:firstLineChars="800"/>
        <w:rPr>
          <w:rFonts w:ascii="宋体" w:hAnsi="宋体"/>
          <w:b/>
          <w:spacing w:val="-14"/>
          <w:sz w:val="52"/>
          <w:szCs w:val="52"/>
        </w:rPr>
      </w:pPr>
      <w:r>
        <w:rPr>
          <w:rFonts w:hint="eastAsia" w:ascii="宋体" w:hAnsi="宋体"/>
          <w:b/>
          <w:spacing w:val="-14"/>
          <w:sz w:val="52"/>
          <w:szCs w:val="52"/>
        </w:rPr>
        <w:t>技</w:t>
      </w:r>
    </w:p>
    <w:p>
      <w:pPr>
        <w:snapToGrid w:val="0"/>
        <w:spacing w:line="360" w:lineRule="auto"/>
        <w:ind w:firstLine="3938" w:firstLineChars="800"/>
        <w:rPr>
          <w:rFonts w:ascii="宋体" w:hAnsi="宋体"/>
          <w:b/>
          <w:spacing w:val="-14"/>
          <w:sz w:val="52"/>
          <w:szCs w:val="52"/>
        </w:rPr>
      </w:pPr>
      <w:r>
        <w:rPr>
          <w:rFonts w:hint="eastAsia" w:ascii="宋体" w:hAnsi="宋体"/>
          <w:b/>
          <w:spacing w:val="-14"/>
          <w:sz w:val="52"/>
          <w:szCs w:val="52"/>
        </w:rPr>
        <w:t>术</w:t>
      </w:r>
    </w:p>
    <w:p>
      <w:pPr>
        <w:snapToGrid w:val="0"/>
        <w:spacing w:line="360" w:lineRule="auto"/>
        <w:ind w:firstLine="3938" w:firstLineChars="800"/>
        <w:rPr>
          <w:rFonts w:ascii="宋体" w:hAnsi="宋体"/>
          <w:b/>
          <w:spacing w:val="-14"/>
          <w:sz w:val="52"/>
          <w:szCs w:val="52"/>
        </w:rPr>
      </w:pPr>
      <w:r>
        <w:rPr>
          <w:rFonts w:hint="eastAsia" w:ascii="宋体" w:hAnsi="宋体"/>
          <w:b/>
          <w:spacing w:val="-14"/>
          <w:sz w:val="52"/>
          <w:szCs w:val="52"/>
        </w:rPr>
        <w:t>评</w:t>
      </w:r>
    </w:p>
    <w:p>
      <w:pPr>
        <w:snapToGrid w:val="0"/>
        <w:spacing w:line="360" w:lineRule="auto"/>
        <w:ind w:firstLine="3938" w:firstLineChars="800"/>
      </w:pPr>
      <w:r>
        <w:rPr>
          <w:rFonts w:hint="eastAsia" w:ascii="宋体" w:hAnsi="宋体"/>
          <w:b/>
          <w:spacing w:val="-14"/>
          <w:sz w:val="52"/>
          <w:szCs w:val="52"/>
        </w:rPr>
        <w:t>定</w:t>
      </w:r>
    </w:p>
    <w:p>
      <w:pPr>
        <w:snapToGrid w:val="0"/>
        <w:spacing w:line="360" w:lineRule="auto"/>
        <w:ind w:firstLine="3938" w:firstLineChars="800"/>
        <w:rPr>
          <w:rFonts w:ascii="宋体" w:hAnsi="宋体"/>
          <w:b/>
          <w:spacing w:val="-14"/>
          <w:sz w:val="52"/>
          <w:szCs w:val="52"/>
        </w:rPr>
      </w:pPr>
      <w:r>
        <w:rPr>
          <w:rFonts w:hint="eastAsia" w:ascii="宋体" w:hAnsi="宋体"/>
          <w:b/>
          <w:spacing w:val="-14"/>
          <w:sz w:val="52"/>
          <w:szCs w:val="52"/>
        </w:rPr>
        <w:t>表</w:t>
      </w:r>
    </w:p>
    <w:p>
      <w:pPr>
        <w:snapToGrid w:val="0"/>
        <w:spacing w:line="360" w:lineRule="auto"/>
        <w:ind w:firstLine="1620" w:firstLineChars="450"/>
        <w:rPr>
          <w:rFonts w:ascii="宋体" w:hAnsi="宋体"/>
          <w:spacing w:val="-14"/>
          <w:sz w:val="30"/>
          <w:szCs w:val="30"/>
          <w:u w:val="single"/>
        </w:rPr>
      </w:pPr>
      <w:r>
        <w:rPr>
          <w:rFonts w:hint="eastAsia" w:ascii="宋体" w:hAnsi="宋体"/>
          <w:spacing w:val="30"/>
          <w:sz w:val="30"/>
          <w:szCs w:val="30"/>
        </w:rPr>
        <w:t>招标人:</w:t>
      </w:r>
      <w:r>
        <w:rPr>
          <w:rFonts w:hint="eastAsia" w:ascii="宋体" w:hAnsi="宋体"/>
          <w:spacing w:val="-14"/>
          <w:sz w:val="30"/>
          <w:szCs w:val="30"/>
        </w:rPr>
        <w:t xml:space="preserve"> </w:t>
      </w:r>
      <w:r>
        <w:rPr>
          <w:rFonts w:hint="eastAsia" w:ascii="宋体" w:hAnsi="宋体"/>
          <w:spacing w:val="-14"/>
          <w:sz w:val="30"/>
          <w:szCs w:val="30"/>
          <w:u w:val="single"/>
        </w:rPr>
        <w:t xml:space="preserve">温州市人民医院        </w:t>
      </w:r>
    </w:p>
    <w:p>
      <w:pPr>
        <w:snapToGrid w:val="0"/>
        <w:spacing w:line="360" w:lineRule="auto"/>
        <w:ind w:firstLine="1632" w:firstLineChars="600"/>
        <w:rPr>
          <w:rFonts w:ascii="宋体" w:hAnsi="宋体"/>
          <w:spacing w:val="-14"/>
          <w:sz w:val="30"/>
          <w:szCs w:val="30"/>
        </w:rPr>
      </w:pPr>
      <w:r>
        <w:rPr>
          <w:rFonts w:hint="eastAsia" w:ascii="宋体" w:hAnsi="宋体"/>
          <w:spacing w:val="-14"/>
          <w:sz w:val="30"/>
          <w:szCs w:val="30"/>
        </w:rPr>
        <w:t>投 标 人：</w:t>
      </w:r>
      <w:r>
        <w:rPr>
          <w:rFonts w:hint="eastAsia" w:ascii="宋体" w:hAnsi="宋体"/>
          <w:spacing w:val="-14"/>
          <w:sz w:val="30"/>
          <w:szCs w:val="30"/>
          <w:u w:val="single"/>
        </w:rPr>
        <w:t xml:space="preserve"> </w:t>
      </w:r>
      <w:r>
        <w:rPr>
          <w:rFonts w:ascii="宋体" w:hAnsi="宋体"/>
          <w:spacing w:val="-14"/>
          <w:sz w:val="30"/>
          <w:szCs w:val="30"/>
          <w:u w:val="single"/>
        </w:rPr>
        <w:t xml:space="preserve">                      </w:t>
      </w:r>
      <w:r>
        <w:rPr>
          <w:rFonts w:hint="eastAsia" w:ascii="宋体" w:hAnsi="宋体"/>
          <w:spacing w:val="-14"/>
          <w:sz w:val="30"/>
          <w:szCs w:val="30"/>
          <w:u w:val="single"/>
        </w:rPr>
        <w:t xml:space="preserve">  </w:t>
      </w:r>
    </w:p>
    <w:p>
      <w:pPr>
        <w:snapToGrid w:val="0"/>
        <w:spacing w:line="360" w:lineRule="auto"/>
        <w:ind w:firstLine="1632" w:firstLineChars="600"/>
        <w:rPr>
          <w:rFonts w:ascii="宋体" w:hAnsi="宋体"/>
          <w:spacing w:val="-14"/>
          <w:sz w:val="30"/>
          <w:szCs w:val="30"/>
        </w:rPr>
      </w:pPr>
      <w:r>
        <w:rPr>
          <w:rFonts w:hint="eastAsia" w:ascii="宋体" w:hAnsi="宋体"/>
          <w:spacing w:val="-14"/>
          <w:sz w:val="30"/>
          <w:szCs w:val="30"/>
        </w:rPr>
        <w:t>投标时间：</w:t>
      </w:r>
      <w:r>
        <w:rPr>
          <w:rFonts w:ascii="宋体" w:hAnsi="宋体"/>
          <w:spacing w:val="-14"/>
          <w:sz w:val="30"/>
          <w:szCs w:val="30"/>
          <w:u w:val="single"/>
        </w:rPr>
        <w:t xml:space="preserve">                    </w:t>
      </w:r>
      <w:r>
        <w:rPr>
          <w:rFonts w:hint="eastAsia" w:ascii="宋体" w:hAnsi="宋体"/>
          <w:spacing w:val="-14"/>
          <w:sz w:val="30"/>
          <w:szCs w:val="30"/>
          <w:u w:val="single"/>
        </w:rPr>
        <w:t xml:space="preserve">     </w:t>
      </w:r>
    </w:p>
    <w:p>
      <w:pPr>
        <w:snapToGrid w:val="0"/>
        <w:spacing w:line="360" w:lineRule="auto"/>
        <w:jc w:val="center"/>
        <w:rPr>
          <w:rFonts w:ascii="宋体" w:hAnsi="宋体"/>
          <w:w w:val="80"/>
          <w:sz w:val="30"/>
          <w:szCs w:val="30"/>
        </w:rPr>
      </w:pPr>
    </w:p>
    <w:p>
      <w:pPr>
        <w:spacing w:line="360" w:lineRule="auto"/>
        <w:ind w:firstLine="3600" w:firstLineChars="1000"/>
        <w:rPr>
          <w:rFonts w:ascii="宋体" w:hAnsi="宋体"/>
          <w:spacing w:val="40"/>
          <w:sz w:val="28"/>
        </w:rPr>
      </w:pPr>
    </w:p>
    <w:p>
      <w:pPr>
        <w:spacing w:line="360" w:lineRule="auto"/>
        <w:jc w:val="center"/>
        <w:rPr>
          <w:rFonts w:ascii="宋体" w:hAnsi="宋体"/>
          <w:spacing w:val="40"/>
          <w:sz w:val="28"/>
        </w:rPr>
      </w:pPr>
      <w:r>
        <w:rPr>
          <w:rFonts w:hint="eastAsia" w:ascii="宋体" w:hAnsi="宋体"/>
          <w:spacing w:val="40"/>
          <w:sz w:val="28"/>
        </w:rPr>
        <w:t>日期</w:t>
      </w:r>
      <w:r>
        <w:rPr>
          <w:rFonts w:ascii="宋体" w:hAnsi="宋体"/>
          <w:spacing w:val="40"/>
          <w:sz w:val="28"/>
        </w:rPr>
        <w:t>：</w:t>
      </w:r>
      <w:r>
        <w:rPr>
          <w:rFonts w:hint="eastAsia" w:ascii="宋体" w:hAnsi="宋体"/>
          <w:spacing w:val="40"/>
          <w:sz w:val="28"/>
          <w:lang w:eastAsia="zh-CN"/>
        </w:rPr>
        <w:t>2024</w:t>
      </w:r>
      <w:r>
        <w:rPr>
          <w:rFonts w:hint="eastAsia" w:ascii="宋体" w:hAnsi="宋体"/>
          <w:spacing w:val="40"/>
          <w:sz w:val="28"/>
        </w:rPr>
        <w:t>年   月   日</w:t>
      </w:r>
    </w:p>
    <w:p>
      <w:pPr>
        <w:pStyle w:val="8"/>
        <w:spacing w:line="360" w:lineRule="auto"/>
        <w:ind w:left="0"/>
      </w:pPr>
    </w:p>
    <w:p>
      <w:pPr>
        <w:pStyle w:val="3"/>
        <w:numPr>
          <w:ilvl w:val="0"/>
          <w:numId w:val="0"/>
        </w:numPr>
        <w:spacing w:line="360" w:lineRule="auto"/>
        <w:rPr>
          <w:rFonts w:ascii="宋体" w:hAnsi="宋体" w:cs="Arial"/>
          <w:bCs/>
          <w:szCs w:val="28"/>
        </w:rPr>
      </w:pPr>
      <w:r>
        <w:rPr>
          <w:rFonts w:hint="eastAsia" w:ascii="宋体" w:hAnsi="宋体" w:cs="Arial"/>
          <w:bCs/>
          <w:szCs w:val="28"/>
        </w:rPr>
        <w:t>技术分的评定：技术标70分（权值70%）</w:t>
      </w:r>
    </w:p>
    <w:p>
      <w:pPr>
        <w:spacing w:line="360" w:lineRule="auto"/>
        <w:ind w:firstLine="480" w:firstLineChars="200"/>
        <w:jc w:val="left"/>
        <w:rPr>
          <w:rFonts w:ascii="宋体" w:hAnsi="宋体"/>
          <w:color w:val="000000"/>
          <w:sz w:val="24"/>
        </w:rPr>
      </w:pPr>
      <w:r>
        <w:rPr>
          <w:rFonts w:hint="eastAsia" w:ascii="宋体" w:hAnsi="宋体"/>
          <w:color w:val="000000"/>
          <w:sz w:val="24"/>
        </w:rPr>
        <w:t>各评委成员按下列评分项目进行评判，每人一张评分计算票，并记名。比选申请文件各项评分内容由比选评审小组成员各自评分，如某张票的一个因素项目超过规定的范围，则该张票无效。各比选评审小组成员对各比选申请人的各项评分内容评分的算术平均值为各比选申请人技术分得分（小数点后按四舍五入保留2位）</w:t>
      </w:r>
    </w:p>
    <w:tbl>
      <w:tblPr>
        <w:tblStyle w:val="1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713"/>
        <w:gridCol w:w="1115"/>
        <w:gridCol w:w="486"/>
        <w:gridCol w:w="4842"/>
        <w:gridCol w:w="9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6" w:type="pct"/>
            <w:vAlign w:val="center"/>
          </w:tcPr>
          <w:p>
            <w:pPr>
              <w:adjustRightInd w:val="0"/>
              <w:snapToGrid w:val="0"/>
              <w:spacing w:line="360" w:lineRule="auto"/>
              <w:jc w:val="center"/>
              <w:rPr>
                <w:rFonts w:ascii="宋体" w:hAnsi="宋体" w:eastAsia="宋体" w:cs="宋体"/>
                <w:b/>
                <w:sz w:val="22"/>
              </w:rPr>
            </w:pPr>
            <w:bookmarkStart w:id="0" w:name="_Hlk55402422"/>
            <w:r>
              <w:rPr>
                <w:rFonts w:hint="eastAsia" w:ascii="宋体" w:hAnsi="宋体" w:eastAsia="宋体" w:cs="宋体"/>
                <w:b/>
                <w:sz w:val="22"/>
              </w:rPr>
              <w:t>序号</w:t>
            </w:r>
          </w:p>
        </w:tc>
        <w:tc>
          <w:tcPr>
            <w:tcW w:w="419" w:type="pct"/>
            <w:vAlign w:val="center"/>
          </w:tcPr>
          <w:p>
            <w:pPr>
              <w:adjustRightInd w:val="0"/>
              <w:snapToGrid w:val="0"/>
              <w:spacing w:line="360" w:lineRule="auto"/>
              <w:jc w:val="center"/>
              <w:rPr>
                <w:rFonts w:hint="eastAsia" w:ascii="宋体" w:hAnsi="宋体" w:eastAsia="宋体" w:cs="宋体"/>
                <w:b/>
                <w:sz w:val="22"/>
                <w:lang w:val="en-US" w:eastAsia="zh-CN"/>
              </w:rPr>
            </w:pPr>
            <w:r>
              <w:rPr>
                <w:rFonts w:hint="eastAsia" w:ascii="宋体" w:hAnsi="宋体" w:eastAsia="宋体" w:cs="宋体"/>
                <w:b/>
                <w:sz w:val="22"/>
                <w:lang w:val="en-US" w:eastAsia="zh-CN"/>
              </w:rPr>
              <w:t>评审项目</w:t>
            </w:r>
          </w:p>
        </w:tc>
        <w:tc>
          <w:tcPr>
            <w:tcW w:w="654" w:type="pct"/>
            <w:vAlign w:val="center"/>
          </w:tcPr>
          <w:p>
            <w:pPr>
              <w:adjustRightInd w:val="0"/>
              <w:snapToGrid w:val="0"/>
              <w:spacing w:line="360" w:lineRule="auto"/>
              <w:jc w:val="center"/>
              <w:rPr>
                <w:rFonts w:ascii="宋体" w:hAnsi="宋体" w:eastAsia="宋体" w:cs="宋体"/>
                <w:b/>
                <w:sz w:val="22"/>
              </w:rPr>
            </w:pPr>
            <w:r>
              <w:rPr>
                <w:rFonts w:hint="eastAsia" w:ascii="宋体" w:hAnsi="宋体" w:eastAsia="宋体" w:cs="宋体"/>
                <w:b/>
                <w:sz w:val="22"/>
              </w:rPr>
              <w:t>评审内容</w:t>
            </w:r>
          </w:p>
        </w:tc>
        <w:tc>
          <w:tcPr>
            <w:tcW w:w="285" w:type="pct"/>
            <w:vAlign w:val="center"/>
          </w:tcPr>
          <w:p>
            <w:pPr>
              <w:adjustRightInd w:val="0"/>
              <w:snapToGrid w:val="0"/>
              <w:spacing w:line="360" w:lineRule="auto"/>
              <w:jc w:val="center"/>
              <w:rPr>
                <w:rFonts w:ascii="宋体" w:hAnsi="宋体" w:eastAsia="宋体" w:cs="宋体"/>
                <w:b/>
                <w:sz w:val="22"/>
              </w:rPr>
            </w:pPr>
            <w:r>
              <w:rPr>
                <w:rFonts w:hint="eastAsia" w:ascii="宋体" w:hAnsi="宋体" w:eastAsia="宋体" w:cs="宋体"/>
                <w:b/>
                <w:sz w:val="22"/>
              </w:rPr>
              <w:t>分值</w:t>
            </w:r>
          </w:p>
        </w:tc>
        <w:tc>
          <w:tcPr>
            <w:tcW w:w="2840" w:type="pct"/>
            <w:vAlign w:val="center"/>
          </w:tcPr>
          <w:p>
            <w:pPr>
              <w:adjustRightInd w:val="0"/>
              <w:snapToGrid w:val="0"/>
              <w:spacing w:line="360" w:lineRule="auto"/>
              <w:jc w:val="center"/>
              <w:rPr>
                <w:rFonts w:ascii="宋体" w:hAnsi="宋体" w:eastAsia="宋体" w:cs="宋体"/>
                <w:b/>
                <w:sz w:val="22"/>
              </w:rPr>
            </w:pPr>
            <w:r>
              <w:rPr>
                <w:rFonts w:hint="eastAsia" w:ascii="宋体" w:hAnsi="宋体" w:eastAsia="宋体" w:cs="宋体"/>
                <w:b/>
                <w:sz w:val="22"/>
              </w:rPr>
              <w:t>评审标准</w:t>
            </w:r>
          </w:p>
        </w:tc>
        <w:tc>
          <w:tcPr>
            <w:tcW w:w="543" w:type="pct"/>
            <w:vAlign w:val="center"/>
          </w:tcPr>
          <w:p>
            <w:pPr>
              <w:adjustRightInd w:val="0"/>
              <w:snapToGrid w:val="0"/>
              <w:spacing w:line="360" w:lineRule="auto"/>
              <w:jc w:val="center"/>
              <w:rPr>
                <w:rFonts w:ascii="宋体" w:hAnsi="宋体" w:eastAsia="宋体" w:cs="宋体"/>
                <w:b/>
                <w:sz w:val="22"/>
              </w:rPr>
            </w:pPr>
            <w:r>
              <w:rPr>
                <w:rFonts w:hint="eastAsia" w:ascii="宋体" w:hAnsi="宋体" w:eastAsia="宋体" w:cs="宋体"/>
                <w:b/>
                <w:sz w:val="22"/>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6" w:type="pct"/>
            <w:vAlign w:val="center"/>
          </w:tcPr>
          <w:p>
            <w:pPr>
              <w:adjustRightInd w:val="0"/>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1</w:t>
            </w:r>
          </w:p>
        </w:tc>
        <w:tc>
          <w:tcPr>
            <w:tcW w:w="419" w:type="pct"/>
            <w:vMerge w:val="restart"/>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资质</w:t>
            </w:r>
          </w:p>
        </w:tc>
        <w:tc>
          <w:tcPr>
            <w:tcW w:w="654" w:type="pct"/>
            <w:vAlign w:val="center"/>
          </w:tcPr>
          <w:p>
            <w:pPr>
              <w:adjustRightInd w:val="0"/>
              <w:snapToGrid w:val="0"/>
              <w:spacing w:line="240" w:lineRule="auto"/>
              <w:jc w:val="center"/>
              <w:rPr>
                <w:rFonts w:hint="eastAsia" w:ascii="宋体" w:hAnsi="宋体" w:eastAsia="宋体" w:cs="宋体"/>
                <w:b/>
                <w:sz w:val="21"/>
                <w:szCs w:val="21"/>
                <w:lang w:eastAsia="zh-CN"/>
              </w:rPr>
            </w:pPr>
            <w:r>
              <w:rPr>
                <w:rFonts w:hint="eastAsia" w:ascii="宋体" w:hAnsi="宋体" w:eastAsia="宋体" w:cs="宋体"/>
                <w:sz w:val="21"/>
                <w:szCs w:val="21"/>
              </w:rPr>
              <w:t>企业资质</w:t>
            </w:r>
          </w:p>
        </w:tc>
        <w:tc>
          <w:tcPr>
            <w:tcW w:w="285" w:type="pct"/>
            <w:vAlign w:val="center"/>
          </w:tcPr>
          <w:p>
            <w:pPr>
              <w:adjustRightInd w:val="0"/>
              <w:snapToGrid w:val="0"/>
              <w:spacing w:line="240" w:lineRule="auto"/>
              <w:jc w:val="center"/>
              <w:rPr>
                <w:rFonts w:hint="eastAsia" w:ascii="宋体" w:hAnsi="宋体" w:eastAsia="宋体" w:cs="宋体"/>
                <w:b/>
                <w:sz w:val="21"/>
                <w:szCs w:val="21"/>
                <w:lang w:eastAsia="zh-CN"/>
              </w:rPr>
            </w:pPr>
            <w:r>
              <w:rPr>
                <w:rFonts w:hint="eastAsia" w:ascii="宋体" w:hAnsi="宋体" w:eastAsia="宋体" w:cs="宋体"/>
                <w:sz w:val="21"/>
                <w:szCs w:val="21"/>
                <w:lang w:val="en-US" w:eastAsia="zh-CN"/>
              </w:rPr>
              <w:t>2</w:t>
            </w:r>
          </w:p>
        </w:tc>
        <w:tc>
          <w:tcPr>
            <w:tcW w:w="2840" w:type="pct"/>
            <w:vAlign w:val="center"/>
          </w:tcPr>
          <w:p>
            <w:pPr>
              <w:numPr>
                <w:ilvl w:val="0"/>
                <w:numId w:val="0"/>
              </w:numPr>
              <w:adjustRightInd w:val="0"/>
              <w:snapToGrid w:val="0"/>
              <w:spacing w:line="240" w:lineRule="auto"/>
              <w:ind w:leftChars="0"/>
              <w:jc w:val="left"/>
              <w:rPr>
                <w:rFonts w:hint="eastAsia" w:ascii="宋体" w:hAnsi="宋体" w:eastAsia="宋体" w:cs="宋体"/>
                <w:b/>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投标人有所投标的品牌代理认证或自产证明，得</w:t>
            </w:r>
            <w:r>
              <w:rPr>
                <w:rFonts w:hint="eastAsia" w:ascii="宋体" w:hAnsi="宋体" w:eastAsia="宋体" w:cs="宋体"/>
                <w:sz w:val="21"/>
                <w:szCs w:val="21"/>
                <w:lang w:val="en-US" w:eastAsia="zh-CN"/>
              </w:rPr>
              <w:t>2分；</w:t>
            </w:r>
          </w:p>
        </w:tc>
        <w:tc>
          <w:tcPr>
            <w:tcW w:w="543" w:type="pct"/>
            <w:vAlign w:val="center"/>
          </w:tcPr>
          <w:p>
            <w:pPr>
              <w:adjustRightInd w:val="0"/>
              <w:snapToGrid w:val="0"/>
              <w:spacing w:line="360" w:lineRule="auto"/>
              <w:jc w:val="left"/>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6" w:type="pct"/>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419" w:type="pct"/>
            <w:vMerge w:val="continue"/>
            <w:vAlign w:val="center"/>
          </w:tcPr>
          <w:p>
            <w:pPr>
              <w:adjustRightInd w:val="0"/>
              <w:snapToGrid w:val="0"/>
              <w:spacing w:line="240" w:lineRule="auto"/>
              <w:jc w:val="center"/>
              <w:rPr>
                <w:rFonts w:hint="eastAsia" w:ascii="宋体" w:hAnsi="宋体" w:eastAsia="宋体" w:cs="宋体"/>
                <w:sz w:val="21"/>
                <w:szCs w:val="21"/>
              </w:rPr>
            </w:pPr>
          </w:p>
        </w:tc>
        <w:tc>
          <w:tcPr>
            <w:tcW w:w="654" w:type="pct"/>
            <w:vAlign w:val="center"/>
          </w:tcPr>
          <w:p>
            <w:pPr>
              <w:adjustRightInd w:val="0"/>
              <w:snapToGrid w:val="0"/>
              <w:spacing w:line="240" w:lineRule="auto"/>
              <w:jc w:val="center"/>
              <w:rPr>
                <w:rFonts w:hint="eastAsia" w:ascii="宋体" w:hAnsi="宋体" w:eastAsia="宋体" w:cs="宋体"/>
                <w:b/>
                <w:sz w:val="21"/>
                <w:szCs w:val="21"/>
                <w:lang w:eastAsia="zh-CN"/>
              </w:rPr>
            </w:pPr>
            <w:r>
              <w:rPr>
                <w:rFonts w:hint="eastAsia" w:ascii="宋体" w:hAnsi="宋体" w:eastAsia="宋体" w:cs="宋体"/>
                <w:sz w:val="21"/>
                <w:szCs w:val="21"/>
                <w:lang w:eastAsia="zh-CN"/>
              </w:rPr>
              <w:t>产品资质</w:t>
            </w:r>
          </w:p>
        </w:tc>
        <w:tc>
          <w:tcPr>
            <w:tcW w:w="285" w:type="pct"/>
            <w:vAlign w:val="center"/>
          </w:tcPr>
          <w:p>
            <w:pPr>
              <w:adjustRightInd w:val="0"/>
              <w:snapToGrid w:val="0"/>
              <w:spacing w:line="240" w:lineRule="auto"/>
              <w:jc w:val="center"/>
              <w:rPr>
                <w:rFonts w:hint="eastAsia" w:ascii="宋体" w:hAnsi="宋体" w:eastAsia="宋体" w:cs="宋体"/>
                <w:b/>
                <w:sz w:val="21"/>
                <w:szCs w:val="21"/>
                <w:lang w:eastAsia="zh-CN"/>
              </w:rPr>
            </w:pPr>
            <w:r>
              <w:rPr>
                <w:rFonts w:hint="eastAsia" w:ascii="宋体" w:hAnsi="宋体" w:eastAsia="宋体" w:cs="宋体"/>
                <w:sz w:val="21"/>
                <w:szCs w:val="21"/>
                <w:lang w:val="en-US" w:eastAsia="zh-CN"/>
              </w:rPr>
              <w:t>4</w:t>
            </w:r>
          </w:p>
        </w:tc>
        <w:tc>
          <w:tcPr>
            <w:tcW w:w="2840" w:type="pct"/>
            <w:vAlign w:val="center"/>
          </w:tcPr>
          <w:p>
            <w:pPr>
              <w:numPr>
                <w:ilvl w:val="0"/>
                <w:numId w:val="0"/>
              </w:numPr>
              <w:adjustRightInd w:val="0"/>
              <w:snapToGrid w:val="0"/>
              <w:spacing w:line="240" w:lineRule="auto"/>
              <w:ind w:lef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1、提供产品3C认证，得2分；</w:t>
            </w:r>
          </w:p>
          <w:p>
            <w:pPr>
              <w:numPr>
                <w:ilvl w:val="0"/>
                <w:numId w:val="0"/>
              </w:numPr>
              <w:adjustRightInd w:val="0"/>
              <w:snapToGrid w:val="0"/>
              <w:spacing w:line="240" w:lineRule="auto"/>
              <w:ind w:leftChars="0"/>
              <w:jc w:val="left"/>
              <w:rPr>
                <w:rFonts w:hint="eastAsia" w:ascii="宋体" w:hAnsi="宋体" w:eastAsia="宋体" w:cs="宋体"/>
                <w:b/>
                <w:sz w:val="21"/>
                <w:szCs w:val="21"/>
              </w:rPr>
            </w:pPr>
            <w:r>
              <w:rPr>
                <w:rFonts w:hint="eastAsia" w:ascii="宋体" w:hAnsi="宋体" w:eastAsia="宋体" w:cs="宋体"/>
                <w:sz w:val="21"/>
                <w:szCs w:val="21"/>
                <w:highlight w:val="none"/>
                <w:lang w:val="en-US" w:eastAsia="zh-CN"/>
              </w:rPr>
              <w:t>2、国家强制性产品认证，得2分</w:t>
            </w:r>
            <w:r>
              <w:rPr>
                <w:rFonts w:hint="eastAsia" w:ascii="宋体" w:hAnsi="宋体" w:eastAsia="宋体" w:cs="宋体"/>
                <w:sz w:val="21"/>
                <w:szCs w:val="21"/>
              </w:rPr>
              <w:t>。</w:t>
            </w:r>
          </w:p>
        </w:tc>
        <w:tc>
          <w:tcPr>
            <w:tcW w:w="543" w:type="pct"/>
            <w:vAlign w:val="center"/>
          </w:tcPr>
          <w:p>
            <w:pPr>
              <w:adjustRightInd w:val="0"/>
              <w:snapToGrid w:val="0"/>
              <w:spacing w:line="360" w:lineRule="auto"/>
              <w:jc w:val="left"/>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56" w:type="pct"/>
            <w:vAlign w:val="center"/>
          </w:tcPr>
          <w:p>
            <w:pPr>
              <w:adjustRightInd w:val="0"/>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19" w:type="pct"/>
            <w:vMerge w:val="continue"/>
            <w:vAlign w:val="center"/>
          </w:tcPr>
          <w:p>
            <w:pPr>
              <w:adjustRightInd w:val="0"/>
              <w:snapToGrid w:val="0"/>
              <w:spacing w:line="240" w:lineRule="auto"/>
              <w:jc w:val="center"/>
              <w:rPr>
                <w:rFonts w:hint="eastAsia" w:ascii="宋体" w:hAnsi="宋体" w:eastAsia="宋体" w:cs="宋体"/>
                <w:sz w:val="21"/>
                <w:szCs w:val="21"/>
                <w:lang w:eastAsia="zh-CN"/>
              </w:rPr>
            </w:pPr>
          </w:p>
        </w:tc>
        <w:tc>
          <w:tcPr>
            <w:tcW w:w="654" w:type="pct"/>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同类业绩</w:t>
            </w:r>
          </w:p>
        </w:tc>
        <w:tc>
          <w:tcPr>
            <w:tcW w:w="285" w:type="pct"/>
            <w:vAlign w:val="center"/>
          </w:tcPr>
          <w:p>
            <w:pPr>
              <w:adjustRightInd w:val="0"/>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840" w:type="pct"/>
            <w:vAlign w:val="center"/>
          </w:tcPr>
          <w:p>
            <w:pPr>
              <w:widowControl/>
              <w:tabs>
                <w:tab w:val="left" w:pos="5220"/>
              </w:tabs>
              <w:adjustRightInd w:val="0"/>
              <w:snapToGrid w:val="0"/>
              <w:spacing w:line="240" w:lineRule="auto"/>
              <w:textAlignment w:val="baseline"/>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1、据投标人提供的2022年1月1日以来的温州当地同类业绩项目进行评议。</w:t>
            </w:r>
          </w:p>
          <w:p>
            <w:pPr>
              <w:widowControl/>
              <w:tabs>
                <w:tab w:val="left" w:pos="5220"/>
              </w:tabs>
              <w:adjustRightInd w:val="0"/>
              <w:snapToGrid w:val="0"/>
              <w:spacing w:line="240" w:lineRule="auto"/>
              <w:textAlignment w:val="baseline"/>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每提供1份业绩证明材料得1分，满分5分。</w:t>
            </w:r>
          </w:p>
          <w:p>
            <w:pPr>
              <w:widowControl/>
              <w:tabs>
                <w:tab w:val="left" w:pos="5220"/>
              </w:tabs>
              <w:adjustRightInd w:val="0"/>
              <w:snapToGrid w:val="0"/>
              <w:spacing w:line="240" w:lineRule="auto"/>
              <w:textAlignment w:val="baseline"/>
              <w:rPr>
                <w:rFonts w:hint="eastAsia" w:ascii="宋体" w:hAnsi="宋体" w:eastAsia="宋体" w:cs="宋体"/>
                <w:bCs/>
                <w:sz w:val="21"/>
                <w:szCs w:val="21"/>
                <w:highlight w:val="none"/>
                <w:lang w:val="en-US" w:eastAsia="zh-CN"/>
              </w:rPr>
            </w:pPr>
            <w:r>
              <w:rPr>
                <w:rFonts w:hint="eastAsia" w:ascii="宋体" w:hAnsi="宋体" w:eastAsia="宋体" w:cs="宋体"/>
                <w:b/>
                <w:bCs w:val="0"/>
                <w:sz w:val="21"/>
                <w:szCs w:val="21"/>
                <w:highlight w:val="none"/>
                <w:lang w:val="en-US" w:eastAsia="zh-CN"/>
              </w:rPr>
              <w:t>注：响应文件中需提供合同复印件并加盖公章，否则不得分</w:t>
            </w:r>
          </w:p>
        </w:tc>
        <w:tc>
          <w:tcPr>
            <w:tcW w:w="543" w:type="pct"/>
            <w:vAlign w:val="center"/>
          </w:tcPr>
          <w:p>
            <w:pPr>
              <w:adjustRightInd w:val="0"/>
              <w:snapToGrid w:val="0"/>
              <w:spacing w:line="360" w:lineRule="auto"/>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56" w:type="pct"/>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419" w:type="pct"/>
            <w:vMerge w:val="continue"/>
            <w:vAlign w:val="center"/>
          </w:tcPr>
          <w:p>
            <w:pPr>
              <w:adjustRightInd w:val="0"/>
              <w:snapToGrid w:val="0"/>
              <w:spacing w:line="240" w:lineRule="auto"/>
              <w:jc w:val="center"/>
              <w:rPr>
                <w:rFonts w:hint="eastAsia" w:ascii="宋体" w:hAnsi="宋体" w:eastAsia="宋体" w:cs="宋体"/>
                <w:sz w:val="21"/>
                <w:szCs w:val="21"/>
                <w:lang w:eastAsia="zh-CN"/>
              </w:rPr>
            </w:pPr>
          </w:p>
        </w:tc>
        <w:tc>
          <w:tcPr>
            <w:tcW w:w="654" w:type="pct"/>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品牌覆盖</w:t>
            </w:r>
          </w:p>
        </w:tc>
        <w:tc>
          <w:tcPr>
            <w:tcW w:w="285" w:type="pct"/>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840" w:type="pct"/>
            <w:vAlign w:val="center"/>
          </w:tcPr>
          <w:p>
            <w:pPr>
              <w:widowControl/>
              <w:numPr>
                <w:ilvl w:val="0"/>
                <w:numId w:val="0"/>
              </w:numPr>
              <w:tabs>
                <w:tab w:val="left" w:pos="5220"/>
              </w:tabs>
              <w:adjustRightInd w:val="0"/>
              <w:snapToGrid w:val="0"/>
              <w:spacing w:line="240" w:lineRule="auto"/>
              <w:textAlignment w:val="baseline"/>
              <w:rPr>
                <w:rFonts w:hint="eastAsia" w:ascii="宋体" w:hAnsi="宋体" w:eastAsia="宋体" w:cs="宋体"/>
                <w:sz w:val="21"/>
                <w:szCs w:val="21"/>
                <w:lang w:val="en-US" w:eastAsia="zh-CN"/>
              </w:rPr>
            </w:pPr>
            <w:r>
              <w:rPr>
                <w:rFonts w:hint="eastAsia" w:ascii="宋体" w:hAnsi="宋体" w:eastAsia="宋体" w:cs="宋体"/>
                <w:bCs/>
                <w:sz w:val="21"/>
                <w:szCs w:val="21"/>
                <w:highlight w:val="none"/>
                <w:lang w:val="en-US" w:eastAsia="zh-CN"/>
              </w:rPr>
              <w:t>1、根据投标人提供所投标的品牌在温州市场使用率，如数量、点位、重要场所等情况横向打分，0-5分。</w:t>
            </w:r>
          </w:p>
        </w:tc>
        <w:tc>
          <w:tcPr>
            <w:tcW w:w="543" w:type="pct"/>
            <w:vAlign w:val="center"/>
          </w:tcPr>
          <w:p>
            <w:pPr>
              <w:adjustRightInd w:val="0"/>
              <w:snapToGrid w:val="0"/>
              <w:spacing w:line="360" w:lineRule="auto"/>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56" w:type="pct"/>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419" w:type="pct"/>
            <w:vMerge w:val="restart"/>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安全</w:t>
            </w:r>
          </w:p>
        </w:tc>
        <w:tc>
          <w:tcPr>
            <w:tcW w:w="654" w:type="pct"/>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产品安全</w:t>
            </w:r>
          </w:p>
        </w:tc>
        <w:tc>
          <w:tcPr>
            <w:tcW w:w="285" w:type="pct"/>
            <w:vAlign w:val="center"/>
          </w:tcPr>
          <w:p>
            <w:pPr>
              <w:adjustRightInd w:val="0"/>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840" w:type="pct"/>
            <w:vAlign w:val="center"/>
          </w:tcPr>
          <w:p>
            <w:pPr>
              <w:pStyle w:val="7"/>
              <w:numPr>
                <w:ilvl w:val="0"/>
                <w:numId w:val="0"/>
              </w:numPr>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防火等级资质：充电柜防火等级</w:t>
            </w:r>
            <w:r>
              <w:rPr>
                <w:rFonts w:hint="eastAsia" w:ascii="宋体" w:hAnsi="宋体" w:eastAsia="宋体" w:cs="宋体"/>
                <w:sz w:val="21"/>
                <w:szCs w:val="21"/>
                <w:lang w:val="en-US" w:eastAsia="zh-CN"/>
              </w:rPr>
              <w:t>2分</w:t>
            </w:r>
            <w:r>
              <w:rPr>
                <w:rFonts w:hint="eastAsia" w:ascii="宋体" w:hAnsi="宋体" w:eastAsia="宋体" w:cs="宋体"/>
                <w:sz w:val="21"/>
                <w:szCs w:val="21"/>
                <w:lang w:eastAsia="zh-CN"/>
              </w:rPr>
              <w:t>、充电宝防火等级</w:t>
            </w:r>
            <w:r>
              <w:rPr>
                <w:rFonts w:hint="eastAsia" w:ascii="宋体" w:hAnsi="宋体" w:eastAsia="宋体" w:cs="宋体"/>
                <w:sz w:val="21"/>
                <w:szCs w:val="21"/>
                <w:lang w:val="en-US" w:eastAsia="zh-CN"/>
              </w:rPr>
              <w:t>2分；</w:t>
            </w:r>
          </w:p>
          <w:p>
            <w:pPr>
              <w:pStyle w:val="7"/>
              <w:numPr>
                <w:ilvl w:val="0"/>
                <w:numId w:val="0"/>
              </w:numPr>
              <w:spacing w:line="240" w:lineRule="auto"/>
              <w:ind w:leftChars="0"/>
              <w:rPr>
                <w:rFonts w:hint="eastAsia" w:ascii="宋体" w:hAnsi="宋体" w:eastAsia="宋体" w:cs="宋体"/>
                <w:sz w:val="21"/>
                <w:szCs w:val="21"/>
                <w:lang w:val="en-US"/>
              </w:rPr>
            </w:pPr>
            <w:r>
              <w:rPr>
                <w:rFonts w:hint="eastAsia" w:ascii="宋体" w:hAnsi="宋体" w:eastAsia="宋体" w:cs="宋体"/>
                <w:sz w:val="21"/>
                <w:szCs w:val="21"/>
                <w:highlight w:val="none"/>
                <w:lang w:val="en-US" w:eastAsia="zh-CN"/>
              </w:rPr>
              <w:t>2、产品责任险保单：充电宝保险保单，2分；充电柜保险保单，2分。</w:t>
            </w:r>
          </w:p>
        </w:tc>
        <w:tc>
          <w:tcPr>
            <w:tcW w:w="543" w:type="pct"/>
            <w:vAlign w:val="center"/>
          </w:tcPr>
          <w:p>
            <w:pPr>
              <w:pStyle w:val="7"/>
              <w:spacing w:line="360" w:lineRule="auto"/>
              <w:ind w:firstLine="220"/>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56" w:type="pct"/>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19" w:type="pct"/>
            <w:vMerge w:val="continue"/>
            <w:vAlign w:val="center"/>
          </w:tcPr>
          <w:p>
            <w:pPr>
              <w:adjustRightInd w:val="0"/>
              <w:snapToGrid w:val="0"/>
              <w:spacing w:line="240" w:lineRule="auto"/>
              <w:jc w:val="center"/>
              <w:rPr>
                <w:rFonts w:hint="eastAsia" w:ascii="宋体" w:hAnsi="宋体" w:eastAsia="宋体" w:cs="宋体"/>
                <w:sz w:val="21"/>
                <w:szCs w:val="21"/>
              </w:rPr>
            </w:pPr>
          </w:p>
        </w:tc>
        <w:tc>
          <w:tcPr>
            <w:tcW w:w="654" w:type="pct"/>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网络安全</w:t>
            </w:r>
          </w:p>
        </w:tc>
        <w:tc>
          <w:tcPr>
            <w:tcW w:w="285" w:type="pct"/>
            <w:vAlign w:val="center"/>
          </w:tcPr>
          <w:p>
            <w:pPr>
              <w:adjustRightInd w:val="0"/>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840" w:type="pct"/>
            <w:vAlign w:val="center"/>
          </w:tcPr>
          <w:p>
            <w:pPr>
              <w:numPr>
                <w:ilvl w:val="0"/>
                <w:numId w:val="0"/>
              </w:numPr>
              <w:adjustRightInd w:val="0"/>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1、扫码租借过程无强制性弹出广告；</w:t>
            </w:r>
          </w:p>
          <w:p>
            <w:pPr>
              <w:numPr>
                <w:ilvl w:val="0"/>
                <w:numId w:val="0"/>
              </w:numPr>
              <w:adjustRightInd w:val="0"/>
              <w:snapToGrid w:val="0"/>
              <w:spacing w:line="240" w:lineRule="auto"/>
              <w:rPr>
                <w:rFonts w:hint="eastAsia"/>
                <w:lang w:val="en-US" w:eastAsia="zh-CN"/>
              </w:rPr>
            </w:pPr>
            <w:r>
              <w:rPr>
                <w:rFonts w:hint="eastAsia" w:ascii="宋体" w:hAnsi="宋体" w:eastAsia="宋体" w:cs="宋体"/>
                <w:sz w:val="21"/>
                <w:szCs w:val="21"/>
                <w:lang w:val="en-US" w:eastAsia="zh-CN"/>
              </w:rPr>
              <w:t>2、扫码租借过程无强制性自动绑定其他功能，如自动扣款、免密支付等。</w:t>
            </w:r>
          </w:p>
          <w:p>
            <w:pPr>
              <w:numPr>
                <w:ilvl w:val="0"/>
                <w:numId w:val="0"/>
              </w:numPr>
              <w:adjustRightInd w:val="0"/>
              <w:snapToGrid w:val="0"/>
              <w:spacing w:line="240" w:lineRule="auto"/>
              <w:rPr>
                <w:rFonts w:hint="eastAsia" w:ascii="宋体" w:hAnsi="宋体" w:eastAsia="宋体" w:cs="宋体"/>
                <w:b w:val="0"/>
                <w:bCs w:val="0"/>
                <w:sz w:val="21"/>
                <w:szCs w:val="21"/>
                <w:lang w:val="en-US" w:eastAsia="zh-CN"/>
              </w:rPr>
            </w:pPr>
            <w:r>
              <w:rPr>
                <w:rFonts w:hint="eastAsia" w:ascii="宋体" w:hAnsi="宋体" w:eastAsia="宋体" w:cs="宋体"/>
                <w:bCs/>
                <w:sz w:val="21"/>
                <w:szCs w:val="21"/>
                <w:highlight w:val="none"/>
                <w:lang w:val="en-US" w:eastAsia="zh-CN"/>
              </w:rPr>
              <w:t>横向打分：</w:t>
            </w:r>
            <w:r>
              <w:rPr>
                <w:rFonts w:hint="eastAsia" w:ascii="宋体" w:hAnsi="宋体" w:eastAsia="宋体" w:cs="宋体"/>
                <w:b w:val="0"/>
                <w:bCs w:val="0"/>
                <w:sz w:val="21"/>
                <w:szCs w:val="21"/>
                <w:lang w:val="en-US" w:eastAsia="zh-CN"/>
              </w:rPr>
              <w:t>0-5分</w:t>
            </w:r>
          </w:p>
          <w:p>
            <w:pPr>
              <w:numPr>
                <w:ilvl w:val="0"/>
                <w:numId w:val="0"/>
              </w:numPr>
              <w:adjustRightInd w:val="0"/>
              <w:snapToGrid w:val="0"/>
              <w:spacing w:line="240" w:lineRule="auto"/>
              <w:rPr>
                <w:rFonts w:hint="eastAsia"/>
                <w:b w:val="0"/>
                <w:bCs w:val="0"/>
                <w:lang w:val="en-US" w:eastAsia="zh-CN"/>
              </w:rPr>
            </w:pPr>
            <w:r>
              <w:rPr>
                <w:rFonts w:hint="eastAsia" w:ascii="宋体" w:hAnsi="宋体" w:eastAsia="宋体" w:cs="宋体"/>
                <w:b/>
                <w:bCs/>
                <w:sz w:val="21"/>
                <w:szCs w:val="21"/>
                <w:lang w:val="en-US" w:eastAsia="zh-CN"/>
              </w:rPr>
              <w:t>注：有网贷金融诈骗医疗类广告做废标处理，若中标履行合同中发现，将强制性终止合同并保留法律追究权力。</w:t>
            </w:r>
          </w:p>
        </w:tc>
        <w:tc>
          <w:tcPr>
            <w:tcW w:w="543" w:type="pct"/>
            <w:vAlign w:val="center"/>
          </w:tcPr>
          <w:p>
            <w:pPr>
              <w:adjustRightInd w:val="0"/>
              <w:snapToGrid w:val="0"/>
              <w:spacing w:line="360" w:lineRule="auto"/>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56" w:type="pct"/>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419" w:type="pct"/>
            <w:vMerge w:val="continue"/>
            <w:vAlign w:val="center"/>
          </w:tcPr>
          <w:p>
            <w:pPr>
              <w:spacing w:line="240" w:lineRule="auto"/>
              <w:rPr>
                <w:rFonts w:hint="eastAsia" w:ascii="宋体" w:hAnsi="宋体" w:eastAsia="宋体" w:cs="宋体"/>
                <w:sz w:val="21"/>
                <w:szCs w:val="21"/>
              </w:rPr>
            </w:pPr>
          </w:p>
        </w:tc>
        <w:tc>
          <w:tcPr>
            <w:tcW w:w="654" w:type="pct"/>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应急方案</w:t>
            </w:r>
          </w:p>
        </w:tc>
        <w:tc>
          <w:tcPr>
            <w:tcW w:w="285" w:type="pct"/>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840" w:type="pct"/>
          </w:tcPr>
          <w:p>
            <w:pPr>
              <w:spacing w:line="240" w:lineRule="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根据</w:t>
            </w:r>
            <w:r>
              <w:rPr>
                <w:rFonts w:hint="eastAsia" w:ascii="宋体" w:hAnsi="宋体" w:eastAsia="宋体" w:cs="宋体"/>
                <w:sz w:val="21"/>
                <w:szCs w:val="21"/>
                <w:lang w:val="en-US" w:eastAsia="zh-CN"/>
              </w:rPr>
              <w:t>供应商</w:t>
            </w:r>
            <w:r>
              <w:rPr>
                <w:rFonts w:hint="default" w:ascii="宋体" w:hAnsi="宋体" w:eastAsia="宋体" w:cs="宋体"/>
                <w:sz w:val="21"/>
                <w:szCs w:val="21"/>
                <w:lang w:val="en-US" w:eastAsia="zh-CN"/>
              </w:rPr>
              <w:t>提供的本项目的安全保障制度（不限于用电、消防、院感、生产安全）及相应的应急方案等打分</w:t>
            </w:r>
            <w:r>
              <w:rPr>
                <w:rFonts w:hint="eastAsia" w:ascii="宋体" w:hAnsi="宋体" w:eastAsia="宋体" w:cs="宋体"/>
                <w:sz w:val="21"/>
                <w:szCs w:val="21"/>
                <w:lang w:val="en-US" w:eastAsia="zh-CN"/>
              </w:rPr>
              <w:t>。</w:t>
            </w:r>
            <w:r>
              <w:rPr>
                <w:rFonts w:hint="eastAsia" w:ascii="宋体" w:hAnsi="宋体" w:eastAsia="宋体" w:cs="宋体"/>
                <w:bCs/>
                <w:sz w:val="21"/>
                <w:szCs w:val="21"/>
                <w:highlight w:val="none"/>
                <w:lang w:val="en-US" w:eastAsia="zh-CN"/>
              </w:rPr>
              <w:t>横向打分：</w:t>
            </w:r>
            <w:r>
              <w:rPr>
                <w:rFonts w:hint="eastAsia" w:ascii="宋体" w:hAnsi="宋体" w:eastAsia="宋体" w:cs="宋体"/>
                <w:b w:val="0"/>
                <w:bCs w:val="0"/>
                <w:sz w:val="21"/>
                <w:szCs w:val="21"/>
                <w:lang w:val="en-US" w:eastAsia="zh-CN"/>
              </w:rPr>
              <w:t>0-5</w:t>
            </w:r>
            <w:r>
              <w:rPr>
                <w:rFonts w:hint="default" w:ascii="宋体" w:hAnsi="宋体" w:eastAsia="宋体" w:cs="宋体"/>
                <w:sz w:val="21"/>
                <w:szCs w:val="21"/>
                <w:lang w:val="en-US" w:eastAsia="zh-CN"/>
              </w:rPr>
              <w:t>分</w:t>
            </w:r>
            <w:r>
              <w:rPr>
                <w:rFonts w:hint="eastAsia" w:ascii="宋体" w:hAnsi="宋体" w:eastAsia="宋体" w:cs="宋体"/>
                <w:sz w:val="21"/>
                <w:szCs w:val="21"/>
                <w:lang w:val="en-US" w:eastAsia="zh-CN"/>
              </w:rPr>
              <w:t>。</w:t>
            </w:r>
          </w:p>
          <w:p>
            <w:pPr>
              <w:spacing w:line="240" w:lineRule="auto"/>
              <w:rPr>
                <w:rFonts w:hint="eastAsia"/>
              </w:rPr>
            </w:pPr>
          </w:p>
        </w:tc>
        <w:tc>
          <w:tcPr>
            <w:tcW w:w="543" w:type="pct"/>
          </w:tcPr>
          <w:p>
            <w:pPr>
              <w:spacing w:line="360" w:lineRule="auto"/>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56" w:type="pct"/>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419" w:type="pct"/>
            <w:vMerge w:val="restart"/>
            <w:vAlign w:val="center"/>
          </w:tcPr>
          <w:p>
            <w:pPr>
              <w:numPr>
                <w:ilvl w:val="0"/>
                <w:numId w:val="0"/>
              </w:numPr>
              <w:adjustRightInd w:val="0"/>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用户体验</w:t>
            </w:r>
          </w:p>
        </w:tc>
        <w:tc>
          <w:tcPr>
            <w:tcW w:w="654" w:type="pct"/>
            <w:vAlign w:val="center"/>
          </w:tcPr>
          <w:p>
            <w:pPr>
              <w:numPr>
                <w:ilvl w:val="0"/>
                <w:numId w:val="0"/>
              </w:numPr>
              <w:adjustRightInd w:val="0"/>
              <w:snapToGrid w:val="0"/>
              <w:spacing w:line="240" w:lineRule="auto"/>
              <w:ind w:left="0" w:leftChars="0" w:firstLine="0" w:firstLineChars="0"/>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租借</w:t>
            </w:r>
            <w:r>
              <w:rPr>
                <w:rFonts w:hint="eastAsia" w:ascii="宋体" w:hAnsi="宋体" w:eastAsia="宋体" w:cs="宋体"/>
                <w:sz w:val="21"/>
                <w:szCs w:val="21"/>
                <w:lang w:val="en-US" w:eastAsia="zh-CN"/>
              </w:rPr>
              <w:t>收费</w:t>
            </w:r>
            <w:r>
              <w:rPr>
                <w:rFonts w:hint="default" w:ascii="宋体" w:hAnsi="宋体" w:eastAsia="宋体" w:cs="宋体"/>
                <w:sz w:val="21"/>
                <w:szCs w:val="21"/>
                <w:lang w:val="en-US" w:eastAsia="zh-CN"/>
              </w:rPr>
              <w:t>标准</w:t>
            </w:r>
          </w:p>
        </w:tc>
        <w:tc>
          <w:tcPr>
            <w:tcW w:w="285" w:type="pct"/>
            <w:vAlign w:val="center"/>
          </w:tcPr>
          <w:p>
            <w:pPr>
              <w:numPr>
                <w:ilvl w:val="0"/>
                <w:numId w:val="0"/>
              </w:numPr>
              <w:adjustRightInd w:val="0"/>
              <w:snapToGrid w:val="0"/>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840" w:type="pct"/>
          </w:tcPr>
          <w:p>
            <w:pPr>
              <w:numPr>
                <w:ilvl w:val="0"/>
                <w:numId w:val="0"/>
              </w:numPr>
              <w:adjustRightInd w:val="0"/>
              <w:snapToGrid w:val="0"/>
              <w:spacing w:line="240" w:lineRule="auto"/>
              <w:ind w:left="0" w:leftChars="0" w:firstLine="0" w:firstLineChars="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根据</w:t>
            </w:r>
            <w:r>
              <w:rPr>
                <w:rFonts w:hint="eastAsia" w:ascii="宋体" w:hAnsi="宋体" w:eastAsia="宋体" w:cs="宋体"/>
                <w:sz w:val="21"/>
                <w:szCs w:val="21"/>
                <w:lang w:val="en-US" w:eastAsia="zh-CN"/>
              </w:rPr>
              <w:t>供应商</w:t>
            </w:r>
            <w:r>
              <w:rPr>
                <w:rFonts w:hint="default" w:ascii="宋体" w:hAnsi="宋体" w:eastAsia="宋体" w:cs="宋体"/>
                <w:sz w:val="21"/>
                <w:szCs w:val="21"/>
                <w:lang w:val="en-US" w:eastAsia="zh-CN"/>
              </w:rPr>
              <w:t>提供收费标准、</w:t>
            </w:r>
            <w:r>
              <w:rPr>
                <w:rFonts w:hint="eastAsia" w:ascii="宋体" w:hAnsi="宋体" w:eastAsia="宋体" w:cs="宋体"/>
                <w:sz w:val="21"/>
                <w:szCs w:val="21"/>
                <w:lang w:val="en-US" w:eastAsia="zh-CN"/>
              </w:rPr>
              <w:t>单笔每小时或半小时单价进行打分，</w:t>
            </w:r>
            <w:r>
              <w:rPr>
                <w:rFonts w:hint="default" w:ascii="宋体" w:hAnsi="宋体" w:eastAsia="宋体" w:cs="宋体"/>
                <w:sz w:val="21"/>
                <w:szCs w:val="21"/>
                <w:lang w:val="en-US" w:eastAsia="zh-CN"/>
              </w:rPr>
              <w:t>分值在0-</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分；</w:t>
            </w:r>
          </w:p>
          <w:p>
            <w:pPr>
              <w:numPr>
                <w:ilvl w:val="0"/>
                <w:numId w:val="0"/>
              </w:numPr>
              <w:adjustRightInd w:val="0"/>
              <w:snapToGrid w:val="0"/>
              <w:spacing w:line="240"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注：高于1元/半小时，做废标处理。</w:t>
            </w:r>
          </w:p>
        </w:tc>
        <w:tc>
          <w:tcPr>
            <w:tcW w:w="543" w:type="pct"/>
          </w:tcPr>
          <w:p>
            <w:pPr>
              <w:spacing w:line="360" w:lineRule="auto"/>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56" w:type="pct"/>
            <w:vAlign w:val="center"/>
          </w:tcPr>
          <w:p>
            <w:pPr>
              <w:adjustRightInd w:val="0"/>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19" w:type="pct"/>
            <w:vMerge w:val="continue"/>
            <w:vAlign w:val="center"/>
          </w:tcPr>
          <w:p>
            <w:pPr>
              <w:spacing w:line="240" w:lineRule="auto"/>
              <w:rPr>
                <w:rFonts w:hint="eastAsia" w:ascii="宋体" w:hAnsi="宋体" w:eastAsia="宋体" w:cs="宋体"/>
                <w:sz w:val="21"/>
                <w:szCs w:val="21"/>
              </w:rPr>
            </w:pPr>
          </w:p>
        </w:tc>
        <w:tc>
          <w:tcPr>
            <w:tcW w:w="654" w:type="pct"/>
            <w:vAlign w:val="center"/>
          </w:tcPr>
          <w:p>
            <w:pPr>
              <w:numPr>
                <w:ilvl w:val="0"/>
                <w:numId w:val="0"/>
              </w:numPr>
              <w:adjustRightInd w:val="0"/>
              <w:snapToGrid w:val="0"/>
              <w:spacing w:line="240" w:lineRule="auto"/>
              <w:ind w:left="0" w:leftChars="0" w:firstLine="0" w:firstLineChars="0"/>
              <w:rPr>
                <w:rFonts w:hint="default" w:ascii="宋体" w:hAnsi="宋体" w:eastAsia="宋体" w:cs="宋体"/>
                <w:kern w:val="2"/>
                <w:sz w:val="21"/>
                <w:szCs w:val="21"/>
                <w:lang w:val="en-US" w:eastAsia="zh-CN" w:bidi="ar-SA"/>
              </w:rPr>
            </w:pPr>
            <w:r>
              <w:rPr>
                <w:rFonts w:hint="default" w:ascii="宋体" w:hAnsi="宋体" w:eastAsia="宋体" w:cs="宋体"/>
                <w:sz w:val="21"/>
                <w:szCs w:val="21"/>
                <w:lang w:val="en-US" w:eastAsia="zh-CN"/>
              </w:rPr>
              <w:t>租借免押金标准</w:t>
            </w:r>
          </w:p>
        </w:tc>
        <w:tc>
          <w:tcPr>
            <w:tcW w:w="285" w:type="pct"/>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2840" w:type="pct"/>
            <w:vAlign w:val="top"/>
          </w:tcPr>
          <w:p>
            <w:pPr>
              <w:numPr>
                <w:ilvl w:val="0"/>
                <w:numId w:val="0"/>
              </w:numPr>
              <w:adjustRightInd w:val="0"/>
              <w:snapToGrid w:val="0"/>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 xml:space="preserve">支持微信信用免押得1分；支持支付宝信用免押得1分； </w:t>
            </w:r>
          </w:p>
          <w:p>
            <w:pPr>
              <w:numPr>
                <w:ilvl w:val="0"/>
                <w:numId w:val="0"/>
              </w:numPr>
              <w:adjustRightInd w:val="0"/>
              <w:snapToGrid w:val="0"/>
              <w:spacing w:line="240" w:lineRule="auto"/>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根据租借押金的多少打分，退还押金及时性等打分，分值在0-2分。</w:t>
            </w:r>
          </w:p>
        </w:tc>
        <w:tc>
          <w:tcPr>
            <w:tcW w:w="543" w:type="pct"/>
          </w:tcPr>
          <w:p>
            <w:pPr>
              <w:spacing w:line="360" w:lineRule="auto"/>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56" w:type="pct"/>
            <w:vAlign w:val="center"/>
          </w:tcPr>
          <w:p>
            <w:pPr>
              <w:adjustRightInd w:val="0"/>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19" w:type="pct"/>
            <w:vMerge w:val="continue"/>
            <w:vAlign w:val="center"/>
          </w:tcPr>
          <w:p>
            <w:pPr>
              <w:spacing w:line="240" w:lineRule="auto"/>
              <w:rPr>
                <w:rFonts w:hint="eastAsia" w:ascii="宋体" w:hAnsi="宋体" w:eastAsia="宋体" w:cs="宋体"/>
                <w:sz w:val="21"/>
                <w:szCs w:val="21"/>
              </w:rPr>
            </w:pPr>
          </w:p>
        </w:tc>
        <w:tc>
          <w:tcPr>
            <w:tcW w:w="654" w:type="pct"/>
            <w:vAlign w:val="center"/>
          </w:tcPr>
          <w:p>
            <w:pPr>
              <w:numPr>
                <w:ilvl w:val="0"/>
                <w:numId w:val="0"/>
              </w:numPr>
              <w:adjustRightInd w:val="0"/>
              <w:snapToGrid w:val="0"/>
              <w:spacing w:line="240" w:lineRule="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共享充电服务免费使用时限</w:t>
            </w:r>
          </w:p>
        </w:tc>
        <w:tc>
          <w:tcPr>
            <w:tcW w:w="285" w:type="pct"/>
            <w:vAlign w:val="center"/>
          </w:tcPr>
          <w:p>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840" w:type="pct"/>
          </w:tcPr>
          <w:p>
            <w:pPr>
              <w:numPr>
                <w:ilvl w:val="0"/>
                <w:numId w:val="0"/>
              </w:numPr>
              <w:adjustRightInd w:val="0"/>
              <w:snapToGrid w:val="0"/>
              <w:spacing w:line="240" w:lineRule="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根据</w:t>
            </w:r>
            <w:r>
              <w:rPr>
                <w:rFonts w:hint="eastAsia" w:ascii="宋体" w:hAnsi="宋体" w:eastAsia="宋体" w:cs="宋体"/>
                <w:sz w:val="21"/>
                <w:szCs w:val="21"/>
                <w:lang w:val="en-US" w:eastAsia="zh-CN"/>
              </w:rPr>
              <w:t>供应商</w:t>
            </w:r>
            <w:r>
              <w:rPr>
                <w:rFonts w:hint="default" w:ascii="宋体" w:hAnsi="宋体" w:eastAsia="宋体" w:cs="宋体"/>
                <w:sz w:val="21"/>
                <w:szCs w:val="21"/>
                <w:lang w:val="en-US" w:eastAsia="zh-CN"/>
              </w:rPr>
              <w:t>提供免费使用时限长短等打分，分值在0-</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分。</w:t>
            </w:r>
          </w:p>
          <w:p>
            <w:pPr>
              <w:numPr>
                <w:ilvl w:val="0"/>
                <w:numId w:val="0"/>
              </w:numPr>
              <w:adjustRightInd w:val="0"/>
              <w:snapToGrid w:val="0"/>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注：少于5分钟/次，作废标处理。</w:t>
            </w:r>
          </w:p>
        </w:tc>
        <w:tc>
          <w:tcPr>
            <w:tcW w:w="543" w:type="pct"/>
          </w:tcPr>
          <w:p>
            <w:pPr>
              <w:spacing w:line="360" w:lineRule="auto"/>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56" w:type="pct"/>
            <w:vAlign w:val="center"/>
          </w:tcPr>
          <w:p>
            <w:pPr>
              <w:adjustRightInd w:val="0"/>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19" w:type="pct"/>
            <w:vMerge w:val="continue"/>
            <w:vAlign w:val="center"/>
          </w:tcPr>
          <w:p>
            <w:pPr>
              <w:spacing w:line="240" w:lineRule="auto"/>
              <w:rPr>
                <w:rFonts w:hint="eastAsia" w:ascii="宋体" w:hAnsi="宋体" w:eastAsia="宋体" w:cs="宋体"/>
                <w:sz w:val="21"/>
                <w:szCs w:val="21"/>
              </w:rPr>
            </w:pPr>
          </w:p>
        </w:tc>
        <w:tc>
          <w:tcPr>
            <w:tcW w:w="654" w:type="pct"/>
            <w:vAlign w:val="center"/>
          </w:tcPr>
          <w:p>
            <w:pPr>
              <w:numPr>
                <w:ilvl w:val="0"/>
                <w:numId w:val="0"/>
              </w:numPr>
              <w:adjustRightInd w:val="0"/>
              <w:snapToGrid w:val="0"/>
              <w:spacing w:line="240" w:lineRule="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共享充电收费标准</w:t>
            </w:r>
          </w:p>
        </w:tc>
        <w:tc>
          <w:tcPr>
            <w:tcW w:w="285" w:type="pct"/>
            <w:vAlign w:val="center"/>
          </w:tcPr>
          <w:p>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840" w:type="pct"/>
          </w:tcPr>
          <w:p>
            <w:pPr>
              <w:numPr>
                <w:ilvl w:val="0"/>
                <w:numId w:val="0"/>
              </w:numPr>
              <w:adjustRightInd w:val="0"/>
              <w:snapToGrid w:val="0"/>
              <w:spacing w:line="240" w:lineRule="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根据</w:t>
            </w:r>
            <w:r>
              <w:rPr>
                <w:rFonts w:hint="eastAsia" w:ascii="宋体" w:hAnsi="宋体" w:eastAsia="宋体" w:cs="宋体"/>
                <w:sz w:val="21"/>
                <w:szCs w:val="21"/>
                <w:lang w:val="en-US" w:eastAsia="zh-CN"/>
              </w:rPr>
              <w:t>供应商</w:t>
            </w:r>
            <w:r>
              <w:rPr>
                <w:rFonts w:hint="default" w:ascii="宋体" w:hAnsi="宋体" w:eastAsia="宋体" w:cs="宋体"/>
                <w:sz w:val="21"/>
                <w:szCs w:val="21"/>
                <w:lang w:val="en-US" w:eastAsia="zh-CN"/>
              </w:rPr>
              <w:t>提供收费标准、</w:t>
            </w:r>
            <w:r>
              <w:rPr>
                <w:rFonts w:hint="eastAsia" w:ascii="宋体" w:hAnsi="宋体" w:eastAsia="宋体" w:cs="宋体"/>
                <w:sz w:val="21"/>
                <w:szCs w:val="21"/>
                <w:lang w:val="en-US" w:eastAsia="zh-CN"/>
              </w:rPr>
              <w:t>单笔每小时单价，</w:t>
            </w:r>
            <w:r>
              <w:rPr>
                <w:rFonts w:hint="default" w:ascii="宋体" w:hAnsi="宋体" w:eastAsia="宋体" w:cs="宋体"/>
                <w:sz w:val="21"/>
                <w:szCs w:val="21"/>
                <w:lang w:val="en-US" w:eastAsia="zh-CN"/>
              </w:rPr>
              <w:t>每天收费最高限额</w:t>
            </w:r>
            <w:r>
              <w:rPr>
                <w:rFonts w:hint="eastAsia" w:ascii="宋体" w:hAnsi="宋体" w:eastAsia="宋体" w:cs="宋体"/>
                <w:sz w:val="21"/>
                <w:szCs w:val="21"/>
                <w:lang w:val="en-US" w:eastAsia="zh-CN"/>
              </w:rPr>
              <w:t>进行打分，</w:t>
            </w:r>
            <w:r>
              <w:rPr>
                <w:rFonts w:hint="default" w:ascii="宋体" w:hAnsi="宋体" w:eastAsia="宋体" w:cs="宋体"/>
                <w:sz w:val="21"/>
                <w:szCs w:val="21"/>
                <w:lang w:val="en-US" w:eastAsia="zh-CN"/>
              </w:rPr>
              <w:t>分值在0-</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分</w:t>
            </w:r>
            <w:r>
              <w:rPr>
                <w:rFonts w:hint="eastAsia" w:ascii="宋体" w:hAnsi="宋体" w:eastAsia="宋体" w:cs="宋体"/>
                <w:sz w:val="21"/>
                <w:szCs w:val="21"/>
                <w:lang w:val="en-US" w:eastAsia="zh-CN"/>
              </w:rPr>
              <w:t>。</w:t>
            </w:r>
          </w:p>
          <w:p>
            <w:pPr>
              <w:numPr>
                <w:ilvl w:val="0"/>
                <w:numId w:val="0"/>
              </w:numPr>
              <w:adjustRightInd w:val="0"/>
              <w:snapToGrid w:val="0"/>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注：高于30元/日，作废标处理。</w:t>
            </w:r>
          </w:p>
        </w:tc>
        <w:tc>
          <w:tcPr>
            <w:tcW w:w="543" w:type="pct"/>
          </w:tcPr>
          <w:p>
            <w:pPr>
              <w:spacing w:line="360" w:lineRule="auto"/>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56" w:type="pct"/>
            <w:vAlign w:val="center"/>
          </w:tcPr>
          <w:p>
            <w:pPr>
              <w:adjustRightInd w:val="0"/>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419" w:type="pct"/>
            <w:vMerge w:val="continue"/>
            <w:vAlign w:val="center"/>
          </w:tcPr>
          <w:p>
            <w:pPr>
              <w:spacing w:line="240" w:lineRule="auto"/>
              <w:rPr>
                <w:rFonts w:hint="eastAsia" w:ascii="宋体" w:hAnsi="宋体" w:eastAsia="宋体" w:cs="宋体"/>
                <w:sz w:val="21"/>
                <w:szCs w:val="21"/>
              </w:rPr>
            </w:pPr>
          </w:p>
        </w:tc>
        <w:tc>
          <w:tcPr>
            <w:tcW w:w="654" w:type="pct"/>
            <w:vAlign w:val="center"/>
          </w:tcPr>
          <w:p>
            <w:pPr>
              <w:numPr>
                <w:ilvl w:val="0"/>
                <w:numId w:val="0"/>
              </w:numPr>
              <w:adjustRightInd w:val="0"/>
              <w:snapToGrid w:val="0"/>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充电宝故障、遗失处理方案</w:t>
            </w:r>
          </w:p>
        </w:tc>
        <w:tc>
          <w:tcPr>
            <w:tcW w:w="285" w:type="pct"/>
            <w:vAlign w:val="center"/>
          </w:tcPr>
          <w:p>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840" w:type="pct"/>
          </w:tcPr>
          <w:p>
            <w:pPr>
              <w:numPr>
                <w:ilvl w:val="0"/>
                <w:numId w:val="0"/>
              </w:numPr>
              <w:adjustRightInd w:val="0"/>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充电柜充电宝如遇故障，如借宝已计时但未弹出宝、归还未正常识别等情况；用户借宝遗忘多天后归还、借宝遗失等情况。据投标人解决方案进行打分，</w:t>
            </w:r>
            <w:r>
              <w:rPr>
                <w:rFonts w:hint="default" w:ascii="宋体" w:hAnsi="宋体" w:eastAsia="宋体" w:cs="宋体"/>
                <w:sz w:val="21"/>
                <w:szCs w:val="21"/>
                <w:lang w:val="en-US" w:eastAsia="zh-CN"/>
              </w:rPr>
              <w:t>分值在0-</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分</w:t>
            </w:r>
            <w:r>
              <w:rPr>
                <w:rFonts w:hint="eastAsia" w:ascii="宋体" w:hAnsi="宋体" w:eastAsia="宋体" w:cs="宋体"/>
                <w:sz w:val="21"/>
                <w:szCs w:val="21"/>
                <w:lang w:val="en-US" w:eastAsia="zh-CN"/>
              </w:rPr>
              <w:t>。</w:t>
            </w:r>
          </w:p>
        </w:tc>
        <w:tc>
          <w:tcPr>
            <w:tcW w:w="543" w:type="pct"/>
          </w:tcPr>
          <w:p>
            <w:pPr>
              <w:spacing w:line="360" w:lineRule="auto"/>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56" w:type="pct"/>
            <w:vAlign w:val="center"/>
          </w:tcPr>
          <w:p>
            <w:pPr>
              <w:adjustRightInd w:val="0"/>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419" w:type="pct"/>
            <w:vMerge w:val="continue"/>
            <w:vAlign w:val="center"/>
          </w:tcPr>
          <w:p>
            <w:pPr>
              <w:spacing w:line="240" w:lineRule="auto"/>
              <w:rPr>
                <w:rFonts w:hint="eastAsia" w:ascii="宋体" w:hAnsi="宋体" w:eastAsia="宋体" w:cs="宋体"/>
                <w:sz w:val="21"/>
                <w:szCs w:val="21"/>
              </w:rPr>
            </w:pPr>
          </w:p>
        </w:tc>
        <w:tc>
          <w:tcPr>
            <w:tcW w:w="654" w:type="pct"/>
            <w:vAlign w:val="center"/>
          </w:tcPr>
          <w:p>
            <w:pPr>
              <w:numPr>
                <w:ilvl w:val="0"/>
                <w:numId w:val="0"/>
              </w:numPr>
              <w:adjustRightInd w:val="0"/>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充电宝通还范围</w:t>
            </w:r>
          </w:p>
        </w:tc>
        <w:tc>
          <w:tcPr>
            <w:tcW w:w="285" w:type="pct"/>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840" w:type="pct"/>
          </w:tcPr>
          <w:p>
            <w:pPr>
              <w:numPr>
                <w:ilvl w:val="0"/>
                <w:numId w:val="0"/>
              </w:numPr>
              <w:adjustRightInd w:val="0"/>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投标人所投标的归还点可不限于医院，据可通还区域范围进行打分，</w:t>
            </w:r>
            <w:r>
              <w:rPr>
                <w:rFonts w:hint="default" w:ascii="宋体" w:hAnsi="宋体" w:eastAsia="宋体" w:cs="宋体"/>
                <w:sz w:val="21"/>
                <w:szCs w:val="21"/>
                <w:lang w:val="en-US" w:eastAsia="zh-CN"/>
              </w:rPr>
              <w:t>分值在0-</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分</w:t>
            </w:r>
            <w:r>
              <w:rPr>
                <w:rFonts w:hint="eastAsia" w:ascii="宋体" w:hAnsi="宋体" w:eastAsia="宋体" w:cs="宋体"/>
                <w:sz w:val="21"/>
                <w:szCs w:val="21"/>
                <w:lang w:val="en-US" w:eastAsia="zh-CN"/>
              </w:rPr>
              <w:t>。</w:t>
            </w:r>
          </w:p>
        </w:tc>
        <w:tc>
          <w:tcPr>
            <w:tcW w:w="543" w:type="pct"/>
          </w:tcPr>
          <w:p>
            <w:pPr>
              <w:spacing w:line="360" w:lineRule="auto"/>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56" w:type="pct"/>
            <w:vAlign w:val="center"/>
          </w:tcPr>
          <w:p>
            <w:pPr>
              <w:adjustRightInd w:val="0"/>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419" w:type="pct"/>
            <w:vMerge w:val="restart"/>
            <w:vAlign w:val="center"/>
          </w:tcPr>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售后服务</w:t>
            </w:r>
          </w:p>
        </w:tc>
        <w:tc>
          <w:tcPr>
            <w:tcW w:w="654" w:type="pct"/>
            <w:vAlign w:val="center"/>
          </w:tcPr>
          <w:p>
            <w:pPr>
              <w:numPr>
                <w:ilvl w:val="0"/>
                <w:numId w:val="0"/>
              </w:numPr>
              <w:adjustRightInd w:val="0"/>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w:t>
            </w:r>
            <w:r>
              <w:rPr>
                <w:rFonts w:hint="default" w:ascii="宋体" w:hAnsi="宋体" w:eastAsia="宋体" w:cs="宋体"/>
                <w:sz w:val="21"/>
                <w:szCs w:val="21"/>
                <w:lang w:val="en-US" w:eastAsia="zh-CN"/>
              </w:rPr>
              <w:t>方案</w:t>
            </w:r>
          </w:p>
        </w:tc>
        <w:tc>
          <w:tcPr>
            <w:tcW w:w="285" w:type="pct"/>
            <w:vAlign w:val="center"/>
          </w:tcPr>
          <w:p>
            <w:pPr>
              <w:numPr>
                <w:ilvl w:val="0"/>
                <w:numId w:val="0"/>
              </w:numPr>
              <w:adjustRightInd w:val="0"/>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840" w:type="pct"/>
          </w:tcPr>
          <w:p>
            <w:pPr>
              <w:numPr>
                <w:ilvl w:val="0"/>
                <w:numId w:val="0"/>
              </w:numPr>
              <w:adjustRightInd w:val="0"/>
              <w:snapToGrid w:val="0"/>
              <w:spacing w:line="240" w:lineRule="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根据</w:t>
            </w:r>
            <w:r>
              <w:rPr>
                <w:rFonts w:hint="eastAsia" w:ascii="宋体" w:hAnsi="宋体" w:eastAsia="宋体" w:cs="宋体"/>
                <w:sz w:val="21"/>
                <w:szCs w:val="21"/>
                <w:lang w:val="en-US" w:eastAsia="zh-CN"/>
              </w:rPr>
              <w:t>供应商</w:t>
            </w:r>
            <w:r>
              <w:rPr>
                <w:rFonts w:hint="default" w:ascii="宋体" w:hAnsi="宋体" w:eastAsia="宋体" w:cs="宋体"/>
                <w:sz w:val="21"/>
                <w:szCs w:val="21"/>
                <w:lang w:val="en-US" w:eastAsia="zh-CN"/>
              </w:rPr>
              <w:t>提供服务方案及人员保障计划的完整性、</w:t>
            </w:r>
            <w:r>
              <w:rPr>
                <w:rFonts w:hint="eastAsia" w:ascii="宋体" w:hAnsi="宋体" w:eastAsia="宋体" w:cs="宋体"/>
                <w:sz w:val="21"/>
                <w:szCs w:val="21"/>
                <w:lang w:val="en-US" w:eastAsia="zh-CN"/>
              </w:rPr>
              <w:t>日常维护（包含考勤签到）设备消毒</w:t>
            </w:r>
            <w:r>
              <w:rPr>
                <w:rFonts w:hint="default" w:ascii="宋体" w:hAnsi="宋体" w:eastAsia="宋体" w:cs="宋体"/>
                <w:sz w:val="21"/>
                <w:szCs w:val="21"/>
                <w:lang w:val="en-US" w:eastAsia="zh-CN"/>
              </w:rPr>
              <w:t>，分值在</w:t>
            </w:r>
            <w:r>
              <w:rPr>
                <w:rFonts w:hint="eastAsia" w:ascii="宋体" w:hAnsi="宋体" w:eastAsia="宋体" w:cs="宋体"/>
                <w:sz w:val="21"/>
                <w:szCs w:val="21"/>
                <w:lang w:val="en-US" w:eastAsia="zh-CN"/>
              </w:rPr>
              <w:t>0</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分</w:t>
            </w:r>
          </w:p>
        </w:tc>
        <w:tc>
          <w:tcPr>
            <w:tcW w:w="543" w:type="pct"/>
          </w:tcPr>
          <w:p>
            <w:pPr>
              <w:spacing w:line="360" w:lineRule="auto"/>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56" w:type="pct"/>
            <w:vAlign w:val="center"/>
          </w:tcPr>
          <w:p>
            <w:pPr>
              <w:adjustRightInd w:val="0"/>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419" w:type="pct"/>
            <w:vMerge w:val="continue"/>
            <w:vAlign w:val="center"/>
          </w:tcPr>
          <w:p>
            <w:pPr>
              <w:spacing w:line="240" w:lineRule="auto"/>
              <w:rPr>
                <w:rFonts w:hint="eastAsia" w:ascii="宋体" w:hAnsi="宋体" w:eastAsia="宋体" w:cs="宋体"/>
                <w:sz w:val="21"/>
                <w:szCs w:val="21"/>
              </w:rPr>
            </w:pPr>
          </w:p>
        </w:tc>
        <w:tc>
          <w:tcPr>
            <w:tcW w:w="654" w:type="pct"/>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服务人员</w:t>
            </w:r>
          </w:p>
        </w:tc>
        <w:tc>
          <w:tcPr>
            <w:tcW w:w="285" w:type="pct"/>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840" w:type="pct"/>
          </w:tcPr>
          <w:p>
            <w:pPr>
              <w:spacing w:line="240" w:lineRule="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公司</w:t>
            </w:r>
            <w:r>
              <w:rPr>
                <w:rFonts w:hint="eastAsia" w:ascii="宋体" w:hAnsi="宋体" w:eastAsia="宋体" w:cs="宋体"/>
                <w:sz w:val="21"/>
                <w:szCs w:val="21"/>
                <w:lang w:val="en-US" w:eastAsia="zh-CN"/>
              </w:rPr>
              <w:t>在温州市辖区设有专业维修售后点</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维修售后人员</w:t>
            </w:r>
            <w:r>
              <w:rPr>
                <w:rFonts w:hint="default" w:ascii="宋体" w:hAnsi="宋体" w:eastAsia="宋体" w:cs="宋体"/>
                <w:sz w:val="21"/>
                <w:szCs w:val="21"/>
                <w:lang w:val="en-US" w:eastAsia="zh-CN"/>
              </w:rPr>
              <w:t>提供设备售后保障</w:t>
            </w:r>
            <w:r>
              <w:rPr>
                <w:rFonts w:hint="eastAsia" w:ascii="宋体" w:hAnsi="宋体" w:eastAsia="宋体" w:cs="宋体"/>
                <w:sz w:val="21"/>
                <w:szCs w:val="21"/>
                <w:lang w:val="en-US" w:eastAsia="zh-CN"/>
              </w:rPr>
              <w:t>，根据维修点位置、维修人员数量打分，</w:t>
            </w:r>
            <w:r>
              <w:rPr>
                <w:rFonts w:hint="default" w:ascii="宋体" w:hAnsi="宋体" w:eastAsia="宋体" w:cs="宋体"/>
                <w:sz w:val="21"/>
                <w:szCs w:val="21"/>
                <w:lang w:val="en-US" w:eastAsia="zh-CN"/>
              </w:rPr>
              <w:t>分值在0-</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分</w:t>
            </w:r>
            <w:r>
              <w:rPr>
                <w:rFonts w:hint="eastAsia" w:ascii="宋体" w:hAnsi="宋体" w:eastAsia="宋体" w:cs="宋体"/>
                <w:sz w:val="21"/>
                <w:szCs w:val="21"/>
                <w:lang w:val="en-US" w:eastAsia="zh-CN"/>
              </w:rPr>
              <w:t>。</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在本项目设有专职人员，并在设备是贴有专职人员联系方式，得2分。</w:t>
            </w:r>
          </w:p>
          <w:p>
            <w:pPr>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注：提供维保人员社保证明</w:t>
            </w:r>
          </w:p>
        </w:tc>
        <w:tc>
          <w:tcPr>
            <w:tcW w:w="543" w:type="pct"/>
          </w:tcPr>
          <w:p>
            <w:pPr>
              <w:spacing w:line="360" w:lineRule="auto"/>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256" w:type="pct"/>
            <w:vAlign w:val="center"/>
          </w:tcPr>
          <w:p>
            <w:pPr>
              <w:adjustRightInd w:val="0"/>
              <w:snapToGrid w:val="0"/>
              <w:spacing w:line="24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419" w:type="pct"/>
            <w:vMerge w:val="continue"/>
            <w:vAlign w:val="center"/>
          </w:tcPr>
          <w:p>
            <w:pPr>
              <w:spacing w:line="240" w:lineRule="auto"/>
              <w:rPr>
                <w:rFonts w:hint="eastAsia" w:ascii="宋体" w:hAnsi="宋体" w:eastAsia="宋体" w:cs="宋体"/>
                <w:kern w:val="2"/>
                <w:sz w:val="21"/>
                <w:szCs w:val="21"/>
                <w:lang w:val="en-US" w:eastAsia="zh-CN" w:bidi="ar-SA"/>
              </w:rPr>
            </w:pPr>
          </w:p>
        </w:tc>
        <w:tc>
          <w:tcPr>
            <w:tcW w:w="654" w:type="pct"/>
            <w:vAlign w:val="center"/>
          </w:tcPr>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紧急服务承诺</w:t>
            </w:r>
          </w:p>
        </w:tc>
        <w:tc>
          <w:tcPr>
            <w:tcW w:w="285" w:type="pct"/>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p>
        </w:tc>
        <w:tc>
          <w:tcPr>
            <w:tcW w:w="2840" w:type="pct"/>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在接到临时紧急通知后能按要求时间送到的承诺：承诺30分钟到达的得</w:t>
            </w:r>
            <w:r>
              <w:rPr>
                <w:rFonts w:hint="eastAsia" w:ascii="宋体" w:hAnsi="宋体" w:eastAsia="宋体" w:cs="宋体"/>
                <w:sz w:val="21"/>
                <w:szCs w:val="21"/>
                <w:lang w:val="en-US" w:eastAsia="zh-CN"/>
              </w:rPr>
              <w:t>3</w:t>
            </w:r>
            <w:r>
              <w:rPr>
                <w:rFonts w:hint="eastAsia" w:ascii="宋体" w:hAnsi="宋体" w:eastAsia="宋体" w:cs="宋体"/>
                <w:sz w:val="21"/>
                <w:szCs w:val="21"/>
              </w:rPr>
              <w:t>分，承诺</w:t>
            </w:r>
            <w:r>
              <w:rPr>
                <w:rFonts w:hint="eastAsia" w:ascii="宋体" w:hAnsi="宋体" w:eastAsia="宋体" w:cs="宋体"/>
                <w:sz w:val="21"/>
                <w:szCs w:val="21"/>
                <w:lang w:val="en-US" w:eastAsia="zh-CN"/>
              </w:rPr>
              <w:t>4</w:t>
            </w:r>
            <w:r>
              <w:rPr>
                <w:rFonts w:hint="eastAsia" w:ascii="宋体" w:hAnsi="宋体" w:eastAsia="宋体" w:cs="宋体"/>
                <w:sz w:val="21"/>
                <w:szCs w:val="21"/>
              </w:rPr>
              <w:t>0分的得</w:t>
            </w:r>
            <w:r>
              <w:rPr>
                <w:rFonts w:hint="eastAsia" w:ascii="宋体" w:hAnsi="宋体" w:eastAsia="宋体" w:cs="宋体"/>
                <w:sz w:val="21"/>
                <w:szCs w:val="21"/>
                <w:lang w:val="en-US" w:eastAsia="zh-CN"/>
              </w:rPr>
              <w:t>2</w:t>
            </w:r>
            <w:r>
              <w:rPr>
                <w:rFonts w:hint="eastAsia" w:ascii="宋体" w:hAnsi="宋体" w:eastAsia="宋体" w:cs="宋体"/>
                <w:sz w:val="21"/>
                <w:szCs w:val="21"/>
              </w:rPr>
              <w:t>分，承诺</w:t>
            </w:r>
            <w:r>
              <w:rPr>
                <w:rFonts w:hint="eastAsia" w:ascii="宋体" w:hAnsi="宋体" w:eastAsia="宋体" w:cs="宋体"/>
                <w:sz w:val="21"/>
                <w:szCs w:val="21"/>
                <w:lang w:val="en-US" w:eastAsia="zh-CN"/>
              </w:rPr>
              <w:t>5</w:t>
            </w:r>
            <w:r>
              <w:rPr>
                <w:rFonts w:hint="eastAsia" w:ascii="宋体" w:hAnsi="宋体" w:eastAsia="宋体" w:cs="宋体"/>
                <w:sz w:val="21"/>
                <w:szCs w:val="21"/>
              </w:rPr>
              <w:t>0分钟到达的得</w:t>
            </w:r>
            <w:r>
              <w:rPr>
                <w:rFonts w:hint="eastAsia" w:ascii="宋体" w:hAnsi="宋体" w:eastAsia="宋体" w:cs="宋体"/>
                <w:sz w:val="21"/>
                <w:szCs w:val="21"/>
                <w:lang w:val="en-US" w:eastAsia="zh-CN"/>
              </w:rPr>
              <w:t>1</w:t>
            </w:r>
            <w:r>
              <w:rPr>
                <w:rFonts w:hint="eastAsia" w:ascii="宋体" w:hAnsi="宋体" w:eastAsia="宋体" w:cs="宋体"/>
                <w:sz w:val="21"/>
                <w:szCs w:val="21"/>
              </w:rPr>
              <w:t>分，1小时后不得分。</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注：根据离采购人服务网点的实际响应时间进行承诺，提供百度、高德等导航截图（需符合所承诺时间），实际时间无法响应的距离，承诺为无效。无截图不得分。</w:t>
            </w:r>
          </w:p>
        </w:tc>
        <w:tc>
          <w:tcPr>
            <w:tcW w:w="543" w:type="pct"/>
          </w:tcPr>
          <w:p>
            <w:pPr>
              <w:spacing w:line="360" w:lineRule="auto"/>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56" w:type="pct"/>
            <w:vAlign w:val="center"/>
          </w:tcPr>
          <w:p>
            <w:pPr>
              <w:adjustRightInd w:val="0"/>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419" w:type="pct"/>
            <w:vMerge w:val="continue"/>
            <w:vAlign w:val="center"/>
          </w:tcPr>
          <w:p>
            <w:pPr>
              <w:spacing w:line="240" w:lineRule="auto"/>
              <w:rPr>
                <w:rFonts w:hint="eastAsia" w:ascii="宋体" w:hAnsi="宋体" w:eastAsia="宋体" w:cs="宋体"/>
                <w:sz w:val="21"/>
                <w:szCs w:val="21"/>
              </w:rPr>
            </w:pPr>
          </w:p>
        </w:tc>
        <w:tc>
          <w:tcPr>
            <w:tcW w:w="654" w:type="pc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清洁消毒</w:t>
            </w:r>
          </w:p>
        </w:tc>
        <w:tc>
          <w:tcPr>
            <w:tcW w:w="285" w:type="pct"/>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840" w:type="pct"/>
          </w:tcPr>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由于医院的特殊性，必须规定时间内对设备和充电宝进行全部清洁和消毒，设立相关记录方案，进行打分，</w:t>
            </w:r>
            <w:r>
              <w:rPr>
                <w:rFonts w:hint="default" w:ascii="宋体" w:hAnsi="宋体" w:eastAsia="宋体" w:cs="宋体"/>
                <w:sz w:val="21"/>
                <w:szCs w:val="21"/>
                <w:lang w:val="en-US" w:eastAsia="zh-CN"/>
              </w:rPr>
              <w:t>分值在0-</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分</w:t>
            </w:r>
            <w:r>
              <w:rPr>
                <w:rFonts w:hint="eastAsia" w:ascii="宋体" w:hAnsi="宋体" w:eastAsia="宋体" w:cs="宋体"/>
                <w:sz w:val="21"/>
                <w:szCs w:val="21"/>
                <w:lang w:val="en-US" w:eastAsia="zh-CN"/>
              </w:rPr>
              <w:t>。</w:t>
            </w:r>
          </w:p>
        </w:tc>
        <w:tc>
          <w:tcPr>
            <w:tcW w:w="543" w:type="pct"/>
          </w:tcPr>
          <w:p>
            <w:pPr>
              <w:spacing w:line="360" w:lineRule="auto"/>
              <w:rPr>
                <w:rFonts w:ascii="宋体" w:hAnsi="宋体" w:eastAsia="宋体" w:cs="宋体"/>
                <w:sz w:val="22"/>
              </w:rPr>
            </w:pPr>
          </w:p>
        </w:tc>
      </w:tr>
      <w:bookmarkEnd w:id="0"/>
    </w:tbl>
    <w:p>
      <w:pPr>
        <w:pStyle w:val="5"/>
        <w:spacing w:line="360" w:lineRule="auto"/>
      </w:pPr>
    </w:p>
    <w:p>
      <w:pPr>
        <w:spacing w:line="360" w:lineRule="auto"/>
      </w:pPr>
    </w:p>
    <w:p>
      <w:pPr>
        <w:spacing w:line="360" w:lineRule="auto"/>
      </w:pPr>
    </w:p>
    <w:p>
      <w:pPr>
        <w:pStyle w:val="9"/>
        <w:spacing w:line="240" w:lineRule="auto"/>
        <w:ind w:left="430" w:leftChars="205" w:firstLine="0" w:firstLineChars="0"/>
        <w:jc w:val="center"/>
        <w:outlineLvl w:val="0"/>
        <w:rPr>
          <w:rFonts w:hint="eastAsia" w:ascii="宋体" w:hAnsi="宋体" w:eastAsia="宋体" w:cs="宋体"/>
          <w:b/>
          <w:sz w:val="24"/>
          <w:szCs w:val="24"/>
        </w:rPr>
      </w:pPr>
    </w:p>
    <w:p>
      <w:pPr>
        <w:pStyle w:val="9"/>
        <w:spacing w:line="240" w:lineRule="auto"/>
        <w:ind w:left="430" w:leftChars="205" w:firstLine="0" w:firstLineChars="0"/>
        <w:jc w:val="center"/>
        <w:outlineLvl w:val="0"/>
        <w:rPr>
          <w:rFonts w:hint="eastAsia" w:ascii="宋体" w:hAnsi="宋体" w:eastAsia="宋体" w:cs="宋体"/>
          <w:b/>
          <w:sz w:val="36"/>
          <w:szCs w:val="36"/>
          <w:lang w:eastAsia="zh-CN"/>
        </w:rPr>
      </w:pPr>
      <w:r>
        <w:rPr>
          <w:rFonts w:hint="eastAsia" w:ascii="宋体" w:hAnsi="宋体" w:eastAsia="宋体" w:cs="宋体"/>
          <w:b/>
          <w:sz w:val="36"/>
          <w:szCs w:val="36"/>
        </w:rPr>
        <w:t>合同主要条款</w:t>
      </w:r>
      <w:r>
        <w:rPr>
          <w:rFonts w:hint="eastAsia" w:ascii="宋体" w:hAnsi="宋体" w:eastAsia="宋体" w:cs="宋体"/>
          <w:b/>
          <w:sz w:val="36"/>
          <w:szCs w:val="36"/>
          <w:lang w:eastAsia="zh-CN"/>
        </w:rPr>
        <w:t>（模板）</w:t>
      </w:r>
    </w:p>
    <w:p>
      <w:pPr>
        <w:spacing w:line="240" w:lineRule="auto"/>
        <w:ind w:firstLine="590" w:firstLineChars="245"/>
        <w:rPr>
          <w:rFonts w:hint="eastAsia" w:ascii="宋体" w:hAnsi="宋体" w:eastAsia="宋体" w:cs="宋体"/>
          <w:b/>
          <w:sz w:val="24"/>
          <w:szCs w:val="24"/>
        </w:rPr>
      </w:pPr>
      <w:r>
        <w:rPr>
          <w:rFonts w:hint="eastAsia" w:ascii="宋体" w:hAnsi="宋体" w:eastAsia="宋体" w:cs="宋体"/>
          <w:b/>
          <w:sz w:val="24"/>
          <w:szCs w:val="24"/>
        </w:rPr>
        <w:t>注：如甲、乙双方同意，合同格式也可以按照其他形式, 具体条款以甲方为主协商确定。但合同条款的基本内容应与以下要求的内容相一致。</w:t>
      </w:r>
    </w:p>
    <w:p>
      <w:pPr>
        <w:spacing w:line="240" w:lineRule="auto"/>
        <w:ind w:firstLine="590" w:firstLineChars="245"/>
        <w:rPr>
          <w:rFonts w:hint="eastAsia" w:ascii="宋体" w:hAnsi="宋体" w:eastAsia="宋体" w:cs="宋体"/>
          <w:b/>
          <w:sz w:val="24"/>
          <w:szCs w:val="24"/>
        </w:rPr>
      </w:pPr>
    </w:p>
    <w:p>
      <w:pPr>
        <w:tabs>
          <w:tab w:val="left" w:pos="5300"/>
          <w:tab w:val="left" w:pos="7140"/>
        </w:tabs>
        <w:snapToGrid w:val="0"/>
        <w:spacing w:line="240" w:lineRule="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温州市人民医院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tabs>
          <w:tab w:val="left" w:pos="5775"/>
          <w:tab w:val="left" w:pos="7140"/>
        </w:tabs>
        <w:snapToGrid w:val="0"/>
        <w:spacing w:line="240" w:lineRule="auto"/>
        <w:rPr>
          <w:rFonts w:hint="eastAsia" w:ascii="宋体" w:hAnsi="宋体" w:eastAsia="宋体" w:cs="宋体"/>
          <w:sz w:val="24"/>
          <w:szCs w:val="24"/>
          <w:u w:val="single"/>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tabs>
          <w:tab w:val="left" w:pos="7140"/>
        </w:tabs>
        <w:snapToGrid w:val="0"/>
        <w:spacing w:line="240" w:lineRule="auto"/>
        <w:ind w:firstLine="480"/>
        <w:rPr>
          <w:rFonts w:hint="eastAsia" w:ascii="宋体" w:hAnsi="宋体" w:eastAsia="宋体" w:cs="宋体"/>
          <w:sz w:val="24"/>
          <w:szCs w:val="24"/>
        </w:rPr>
      </w:pPr>
    </w:p>
    <w:p>
      <w:pPr>
        <w:keepNext w:val="0"/>
        <w:keepLines w:val="0"/>
        <w:pageBreakBefore w:val="0"/>
        <w:tabs>
          <w:tab w:val="left" w:pos="7140"/>
        </w:tabs>
        <w:kinsoku/>
        <w:wordWrap/>
        <w:overflowPunct/>
        <w:topLinePunct w:val="0"/>
        <w:autoSpaceDE/>
        <w:autoSpaceDN/>
        <w:bidi w:val="0"/>
        <w:adjustRightInd/>
        <w:snapToGrid w:val="0"/>
        <w:spacing w:before="120" w:line="240" w:lineRule="auto"/>
        <w:ind w:firstLine="480"/>
        <w:rPr>
          <w:rFonts w:hint="eastAsia" w:ascii="宋体" w:hAnsi="宋体" w:eastAsia="宋体" w:cs="宋体"/>
          <w:sz w:val="24"/>
          <w:szCs w:val="24"/>
        </w:rPr>
      </w:pPr>
      <w:r>
        <w:rPr>
          <w:rFonts w:hint="eastAsia" w:ascii="宋体" w:hAnsi="宋体" w:eastAsia="宋体" w:cs="宋体"/>
          <w:sz w:val="24"/>
          <w:szCs w:val="24"/>
        </w:rPr>
        <w:t>甲乙双方根据《中华人民共和国政府采购法》、《中华人民共和国合同法》等相关法律和招标结果规定，经友好协商，签订本合同。</w:t>
      </w:r>
    </w:p>
    <w:p>
      <w:pPr>
        <w:keepNext w:val="0"/>
        <w:keepLines w:val="0"/>
        <w:pageBreakBefore w:val="0"/>
        <w:numPr>
          <w:ilvl w:val="0"/>
          <w:numId w:val="2"/>
        </w:numPr>
        <w:tabs>
          <w:tab w:val="left" w:pos="7140"/>
        </w:tabs>
        <w:kinsoku/>
        <w:wordWrap/>
        <w:overflowPunct/>
        <w:topLinePunct w:val="0"/>
        <w:autoSpaceDE/>
        <w:autoSpaceDN/>
        <w:bidi w:val="0"/>
        <w:adjustRightInd/>
        <w:snapToGrid w:val="0"/>
        <w:spacing w:before="120" w:line="240" w:lineRule="auto"/>
        <w:rPr>
          <w:rFonts w:hint="eastAsia" w:ascii="宋体" w:hAnsi="宋体" w:eastAsia="宋体" w:cs="宋体"/>
          <w:bCs/>
          <w:sz w:val="24"/>
          <w:szCs w:val="24"/>
        </w:rPr>
      </w:pPr>
      <w:r>
        <w:rPr>
          <w:rFonts w:hint="eastAsia" w:ascii="宋体" w:hAnsi="宋体" w:eastAsia="宋体" w:cs="宋体"/>
          <w:bCs/>
          <w:sz w:val="24"/>
          <w:szCs w:val="24"/>
        </w:rPr>
        <w:t>合同内容：</w:t>
      </w:r>
    </w:p>
    <w:p>
      <w:pPr>
        <w:keepNext w:val="0"/>
        <w:keepLines w:val="0"/>
        <w:pageBreakBefore w:val="0"/>
        <w:kinsoku/>
        <w:wordWrap/>
        <w:overflowPunct/>
        <w:topLinePunct w:val="0"/>
        <w:autoSpaceDE/>
        <w:autoSpaceDN/>
        <w:bidi w:val="0"/>
        <w:adjustRightInd/>
        <w:spacing w:before="120" w:line="24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温州市人民医院</w:t>
      </w:r>
      <w:r>
        <w:rPr>
          <w:rFonts w:hint="eastAsia" w:ascii="宋体" w:hAnsi="宋体" w:eastAsia="宋体" w:cs="宋体"/>
          <w:b w:val="0"/>
          <w:bCs w:val="0"/>
          <w:sz w:val="24"/>
          <w:szCs w:val="24"/>
          <w:lang w:eastAsia="zh-CN"/>
        </w:rPr>
        <w:t>信河院区（鹿城区仓后街</w:t>
      </w:r>
      <w:r>
        <w:rPr>
          <w:rFonts w:hint="eastAsia" w:ascii="宋体" w:hAnsi="宋体" w:eastAsia="宋体" w:cs="宋体"/>
          <w:b w:val="0"/>
          <w:bCs w:val="0"/>
          <w:sz w:val="24"/>
          <w:szCs w:val="24"/>
          <w:lang w:val="en-US" w:eastAsia="zh-CN"/>
        </w:rPr>
        <w:t>57号</w:t>
      </w:r>
      <w:r>
        <w:rPr>
          <w:rFonts w:hint="eastAsia" w:ascii="宋体" w:hAnsi="宋体" w:eastAsia="宋体" w:cs="宋体"/>
          <w:b w:val="0"/>
          <w:bCs w:val="0"/>
          <w:sz w:val="24"/>
          <w:szCs w:val="24"/>
          <w:lang w:eastAsia="zh-CN"/>
        </w:rPr>
        <w:t>）、娄桥院区（瓯海区古岸路</w:t>
      </w:r>
      <w:r>
        <w:rPr>
          <w:rFonts w:hint="eastAsia" w:ascii="宋体" w:hAnsi="宋体" w:eastAsia="宋体" w:cs="宋体"/>
          <w:b w:val="0"/>
          <w:bCs w:val="0"/>
          <w:sz w:val="24"/>
          <w:szCs w:val="24"/>
          <w:lang w:val="en-US" w:eastAsia="zh-CN"/>
        </w:rPr>
        <w:t>299号</w:t>
      </w:r>
      <w:r>
        <w:rPr>
          <w:rFonts w:hint="eastAsia" w:ascii="宋体" w:hAnsi="宋体" w:eastAsia="宋体" w:cs="宋体"/>
          <w:b w:val="0"/>
          <w:bCs w:val="0"/>
          <w:sz w:val="24"/>
          <w:szCs w:val="24"/>
          <w:lang w:eastAsia="zh-CN"/>
        </w:rPr>
        <w:t>）、温州市体检中心（瓯海区温州大道</w:t>
      </w:r>
      <w:r>
        <w:rPr>
          <w:rFonts w:hint="eastAsia" w:ascii="宋体" w:hAnsi="宋体" w:eastAsia="宋体" w:cs="宋体"/>
          <w:b w:val="0"/>
          <w:bCs w:val="0"/>
          <w:sz w:val="24"/>
          <w:szCs w:val="24"/>
          <w:lang w:val="en-US" w:eastAsia="zh-CN"/>
        </w:rPr>
        <w:t>1679号</w:t>
      </w:r>
      <w:r>
        <w:rPr>
          <w:rFonts w:hint="eastAsia" w:ascii="宋体" w:hAnsi="宋体" w:eastAsia="宋体" w:cs="宋体"/>
          <w:b w:val="0"/>
          <w:bCs w:val="0"/>
          <w:sz w:val="24"/>
          <w:szCs w:val="24"/>
          <w:lang w:eastAsia="zh-CN"/>
        </w:rPr>
        <w:t>）三处地点需放置共享充电宝，计划投放数量、类型如下表，实际</w:t>
      </w:r>
      <w:r>
        <w:rPr>
          <w:rFonts w:hint="eastAsia" w:ascii="宋体" w:hAnsi="宋体" w:eastAsia="宋体" w:cs="宋体"/>
          <w:b w:val="0"/>
          <w:bCs w:val="0"/>
          <w:sz w:val="24"/>
          <w:szCs w:val="24"/>
          <w:lang w:val="en-US" w:eastAsia="zh-CN"/>
        </w:rPr>
        <w:t>根据甲方需求随时增减</w:t>
      </w:r>
      <w:r>
        <w:rPr>
          <w:rFonts w:hint="eastAsia" w:ascii="宋体" w:hAnsi="宋体" w:eastAsia="宋体" w:cs="宋体"/>
          <w:b w:val="0"/>
          <w:bCs w:val="0"/>
          <w:sz w:val="24"/>
          <w:szCs w:val="24"/>
          <w:lang w:eastAsia="zh-CN"/>
        </w:rPr>
        <w:t>。</w:t>
      </w:r>
    </w:p>
    <w:tbl>
      <w:tblPr>
        <w:tblStyle w:val="14"/>
        <w:tblW w:w="8822" w:type="dxa"/>
        <w:jc w:val="center"/>
        <w:tblLayout w:type="fixed"/>
        <w:tblCellMar>
          <w:top w:w="0" w:type="dxa"/>
          <w:left w:w="108" w:type="dxa"/>
          <w:bottom w:w="0" w:type="dxa"/>
          <w:right w:w="108" w:type="dxa"/>
        </w:tblCellMar>
      </w:tblPr>
      <w:tblGrid>
        <w:gridCol w:w="2604"/>
        <w:gridCol w:w="1036"/>
        <w:gridCol w:w="3135"/>
        <w:gridCol w:w="2047"/>
      </w:tblGrid>
      <w:tr>
        <w:tblPrEx>
          <w:tblCellMar>
            <w:top w:w="0" w:type="dxa"/>
            <w:left w:w="108" w:type="dxa"/>
            <w:bottom w:w="0" w:type="dxa"/>
            <w:right w:w="108" w:type="dxa"/>
          </w:tblCellMar>
        </w:tblPrEx>
        <w:trPr>
          <w:trHeight w:val="360" w:hRule="atLeast"/>
          <w:jc w:val="center"/>
        </w:trPr>
        <w:tc>
          <w:tcPr>
            <w:tcW w:w="26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所在院区</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数量</w:t>
            </w:r>
          </w:p>
        </w:tc>
        <w:tc>
          <w:tcPr>
            <w:tcW w:w="31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设备类型</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备注</w:t>
            </w:r>
          </w:p>
        </w:tc>
      </w:tr>
      <w:tr>
        <w:tblPrEx>
          <w:tblCellMar>
            <w:top w:w="0" w:type="dxa"/>
            <w:left w:w="108" w:type="dxa"/>
            <w:bottom w:w="0" w:type="dxa"/>
            <w:right w:w="108" w:type="dxa"/>
          </w:tblCellMar>
        </w:tblPrEx>
        <w:trPr>
          <w:trHeight w:val="400" w:hRule="atLeast"/>
          <w:jc w:val="center"/>
        </w:trPr>
        <w:tc>
          <w:tcPr>
            <w:tcW w:w="2604"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lang w:eastAsia="zh-CN"/>
              </w:rPr>
            </w:pPr>
            <w:r>
              <w:rPr>
                <w:rFonts w:hint="eastAsia" w:ascii="宋体" w:hAnsi="宋体" w:eastAsia="宋体" w:cs="宋体"/>
                <w:b w:val="0"/>
                <w:bCs w:val="0"/>
                <w:i w:val="0"/>
                <w:iCs w:val="0"/>
                <w:color w:val="000000"/>
                <w:sz w:val="24"/>
                <w:szCs w:val="24"/>
                <w:highlight w:val="none"/>
                <w:u w:val="none"/>
                <w:lang w:eastAsia="zh-CN"/>
              </w:rPr>
              <w:t>信河院区</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31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20-24孔设备(立式)</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r>
      <w:tr>
        <w:tblPrEx>
          <w:tblCellMar>
            <w:top w:w="0" w:type="dxa"/>
            <w:left w:w="108" w:type="dxa"/>
            <w:bottom w:w="0" w:type="dxa"/>
            <w:right w:w="108" w:type="dxa"/>
          </w:tblCellMar>
        </w:tblPrEx>
        <w:trPr>
          <w:trHeight w:val="400" w:hRule="atLeast"/>
          <w:jc w:val="center"/>
        </w:trPr>
        <w:tc>
          <w:tcPr>
            <w:tcW w:w="2604" w:type="dxa"/>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w:t>
            </w:r>
          </w:p>
        </w:tc>
        <w:tc>
          <w:tcPr>
            <w:tcW w:w="31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10-15孔设备(立式)</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r>
      <w:tr>
        <w:tblPrEx>
          <w:tblCellMar>
            <w:top w:w="0" w:type="dxa"/>
            <w:left w:w="108" w:type="dxa"/>
            <w:bottom w:w="0" w:type="dxa"/>
            <w:right w:w="108" w:type="dxa"/>
          </w:tblCellMar>
        </w:tblPrEx>
        <w:trPr>
          <w:trHeight w:val="400" w:hRule="atLeast"/>
          <w:jc w:val="center"/>
        </w:trPr>
        <w:tc>
          <w:tcPr>
            <w:tcW w:w="2604" w:type="dxa"/>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w:t>
            </w:r>
          </w:p>
        </w:tc>
        <w:tc>
          <w:tcPr>
            <w:tcW w:w="31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6-8孔设备(台式)</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r>
      <w:tr>
        <w:tblPrEx>
          <w:tblCellMar>
            <w:top w:w="0" w:type="dxa"/>
            <w:left w:w="108" w:type="dxa"/>
            <w:bottom w:w="0" w:type="dxa"/>
            <w:right w:w="108" w:type="dxa"/>
          </w:tblCellMar>
        </w:tblPrEx>
        <w:trPr>
          <w:trHeight w:val="400" w:hRule="atLeast"/>
          <w:jc w:val="center"/>
        </w:trPr>
        <w:tc>
          <w:tcPr>
            <w:tcW w:w="2604"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31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6-8孔设备(立式)</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r>
      <w:tr>
        <w:tblPrEx>
          <w:tblCellMar>
            <w:top w:w="0" w:type="dxa"/>
            <w:left w:w="108" w:type="dxa"/>
            <w:bottom w:w="0" w:type="dxa"/>
            <w:right w:w="108" w:type="dxa"/>
          </w:tblCellMar>
        </w:tblPrEx>
        <w:trPr>
          <w:trHeight w:val="400" w:hRule="atLeast"/>
          <w:jc w:val="center"/>
        </w:trPr>
        <w:tc>
          <w:tcPr>
            <w:tcW w:w="2604"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娄桥院区</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2</w:t>
            </w:r>
          </w:p>
        </w:tc>
        <w:tc>
          <w:tcPr>
            <w:tcW w:w="31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20-24孔设备(立式)</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r>
      <w:tr>
        <w:tblPrEx>
          <w:tblCellMar>
            <w:top w:w="0" w:type="dxa"/>
            <w:left w:w="108" w:type="dxa"/>
            <w:bottom w:w="0" w:type="dxa"/>
            <w:right w:w="108" w:type="dxa"/>
          </w:tblCellMar>
        </w:tblPrEx>
        <w:trPr>
          <w:trHeight w:val="400" w:hRule="atLeast"/>
          <w:jc w:val="center"/>
        </w:trPr>
        <w:tc>
          <w:tcPr>
            <w:tcW w:w="2604" w:type="dxa"/>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5</w:t>
            </w:r>
          </w:p>
        </w:tc>
        <w:tc>
          <w:tcPr>
            <w:tcW w:w="31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10-15孔设备(立式)</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r>
      <w:tr>
        <w:tblPrEx>
          <w:tblCellMar>
            <w:top w:w="0" w:type="dxa"/>
            <w:left w:w="108" w:type="dxa"/>
            <w:bottom w:w="0" w:type="dxa"/>
            <w:right w:w="108" w:type="dxa"/>
          </w:tblCellMar>
        </w:tblPrEx>
        <w:trPr>
          <w:trHeight w:val="400" w:hRule="atLeast"/>
          <w:jc w:val="center"/>
        </w:trPr>
        <w:tc>
          <w:tcPr>
            <w:tcW w:w="2604" w:type="dxa"/>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20</w:t>
            </w:r>
          </w:p>
        </w:tc>
        <w:tc>
          <w:tcPr>
            <w:tcW w:w="31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6-8孔设备(台式)</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r>
      <w:tr>
        <w:tblPrEx>
          <w:tblCellMar>
            <w:top w:w="0" w:type="dxa"/>
            <w:left w:w="108" w:type="dxa"/>
            <w:bottom w:w="0" w:type="dxa"/>
            <w:right w:w="108" w:type="dxa"/>
          </w:tblCellMar>
        </w:tblPrEx>
        <w:trPr>
          <w:trHeight w:val="400" w:hRule="atLeast"/>
          <w:jc w:val="center"/>
        </w:trPr>
        <w:tc>
          <w:tcPr>
            <w:tcW w:w="2604"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4</w:t>
            </w:r>
          </w:p>
        </w:tc>
        <w:tc>
          <w:tcPr>
            <w:tcW w:w="31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6-8孔设备(立式)</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r>
      <w:tr>
        <w:tblPrEx>
          <w:tblCellMar>
            <w:top w:w="0" w:type="dxa"/>
            <w:left w:w="108" w:type="dxa"/>
            <w:bottom w:w="0" w:type="dxa"/>
            <w:right w:w="108" w:type="dxa"/>
          </w:tblCellMar>
        </w:tblPrEx>
        <w:trPr>
          <w:trHeight w:val="400" w:hRule="atLeast"/>
          <w:jc w:val="center"/>
        </w:trPr>
        <w:tc>
          <w:tcPr>
            <w:tcW w:w="26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lang w:eastAsia="zh-CN"/>
              </w:rPr>
            </w:pPr>
            <w:r>
              <w:rPr>
                <w:rFonts w:hint="eastAsia" w:ascii="宋体" w:hAnsi="宋体" w:eastAsia="宋体" w:cs="宋体"/>
                <w:b w:val="0"/>
                <w:bCs w:val="0"/>
                <w:i w:val="0"/>
                <w:iCs w:val="0"/>
                <w:color w:val="000000"/>
                <w:sz w:val="24"/>
                <w:szCs w:val="24"/>
                <w:highlight w:val="none"/>
                <w:u w:val="none"/>
                <w:lang w:eastAsia="zh-CN"/>
              </w:rPr>
              <w:t>体检中心</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1</w:t>
            </w:r>
          </w:p>
        </w:tc>
        <w:tc>
          <w:tcPr>
            <w:tcW w:w="31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20-24孔设备(立式)</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r>
      <w:tr>
        <w:tblPrEx>
          <w:tblCellMar>
            <w:top w:w="0" w:type="dxa"/>
            <w:left w:w="108" w:type="dxa"/>
            <w:bottom w:w="0" w:type="dxa"/>
            <w:right w:w="108" w:type="dxa"/>
          </w:tblCellMar>
        </w:tblPrEx>
        <w:trPr>
          <w:trHeight w:val="400" w:hRule="atLeast"/>
          <w:jc w:val="center"/>
        </w:trPr>
        <w:tc>
          <w:tcPr>
            <w:tcW w:w="26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c>
          <w:tcPr>
            <w:tcW w:w="31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b w:val="0"/>
                <w:bCs w:val="0"/>
                <w:i w:val="0"/>
                <w:iCs w:val="0"/>
                <w:color w:val="000000"/>
                <w:sz w:val="24"/>
                <w:szCs w:val="24"/>
                <w:highlight w:val="none"/>
                <w:u w:val="none"/>
              </w:rPr>
            </w:pPr>
          </w:p>
        </w:tc>
      </w:tr>
    </w:tbl>
    <w:p>
      <w:pPr>
        <w:keepNext w:val="0"/>
        <w:keepLines w:val="0"/>
        <w:pageBreakBefore w:val="0"/>
        <w:numPr>
          <w:ilvl w:val="0"/>
          <w:numId w:val="2"/>
        </w:numPr>
        <w:tabs>
          <w:tab w:val="left" w:pos="7140"/>
        </w:tabs>
        <w:kinsoku/>
        <w:wordWrap/>
        <w:overflowPunct/>
        <w:topLinePunct w:val="0"/>
        <w:autoSpaceDE/>
        <w:autoSpaceDN/>
        <w:bidi w:val="0"/>
        <w:adjustRightInd/>
        <w:snapToGrid w:val="0"/>
        <w:spacing w:before="120" w:line="24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合同期限：</w:t>
      </w:r>
      <w:r>
        <w:rPr>
          <w:rFonts w:hint="eastAsia" w:ascii="宋体" w:hAnsi="宋体" w:eastAsia="宋体" w:cs="宋体"/>
          <w:bCs/>
          <w:sz w:val="24"/>
          <w:szCs w:val="24"/>
          <w:u w:val="single"/>
          <w:lang w:val="en-US" w:eastAsia="zh-CN"/>
        </w:rPr>
        <w:t>1+1</w:t>
      </w:r>
      <w:r>
        <w:rPr>
          <w:rFonts w:hint="eastAsia" w:ascii="宋体" w:hAnsi="宋体" w:eastAsia="宋体" w:cs="宋体"/>
          <w:bCs/>
          <w:sz w:val="24"/>
          <w:szCs w:val="24"/>
          <w:lang w:eastAsia="zh-CN"/>
        </w:rPr>
        <w:t>年，</w:t>
      </w:r>
      <w:r>
        <w:rPr>
          <w:rFonts w:hint="eastAsia" w:ascii="宋体" w:hAnsi="宋体" w:eastAsia="宋体" w:cs="宋体"/>
          <w:bCs/>
          <w:sz w:val="24"/>
          <w:szCs w:val="24"/>
          <w:lang w:val="en-US" w:eastAsia="zh-CN"/>
        </w:rPr>
        <w:t>本合同为第一年，服务期限</w:t>
      </w:r>
      <w:r>
        <w:rPr>
          <w:rFonts w:hint="eastAsia" w:ascii="宋体" w:hAnsi="宋体" w:eastAsia="宋体" w:cs="宋体"/>
          <w:bCs/>
          <w:sz w:val="24"/>
          <w:szCs w:val="24"/>
          <w:lang w:eastAsia="zh-CN"/>
        </w:rPr>
        <w:t>自202</w:t>
      </w:r>
      <w:r>
        <w:rPr>
          <w:rFonts w:hint="eastAsia" w:ascii="宋体" w:hAnsi="宋体" w:eastAsia="宋体" w:cs="宋体"/>
          <w:bCs/>
          <w:sz w:val="24"/>
          <w:szCs w:val="24"/>
          <w:lang w:val="en-US" w:eastAsia="zh-CN"/>
        </w:rPr>
        <w:t>4</w:t>
      </w:r>
      <w:r>
        <w:rPr>
          <w:rFonts w:hint="eastAsia" w:ascii="宋体" w:hAnsi="宋体" w:eastAsia="宋体" w:cs="宋体"/>
          <w:bCs/>
          <w:sz w:val="24"/>
          <w:szCs w:val="24"/>
          <w:lang w:eastAsia="zh-CN"/>
        </w:rPr>
        <w:t>年</w:t>
      </w:r>
      <w:r>
        <w:rPr>
          <w:rFonts w:hint="eastAsia" w:ascii="宋体" w:hAnsi="宋体" w:eastAsia="宋体" w:cs="宋体"/>
          <w:bCs/>
          <w:sz w:val="24"/>
          <w:szCs w:val="24"/>
          <w:lang w:val="en-US" w:eastAsia="zh-CN"/>
        </w:rPr>
        <w:t>4</w:t>
      </w:r>
      <w:r>
        <w:rPr>
          <w:rFonts w:hint="eastAsia" w:ascii="宋体" w:hAnsi="宋体" w:eastAsia="宋体" w:cs="宋体"/>
          <w:bCs/>
          <w:sz w:val="24"/>
          <w:szCs w:val="24"/>
          <w:lang w:eastAsia="zh-CN"/>
        </w:rPr>
        <w:t>月</w:t>
      </w:r>
      <w:r>
        <w:rPr>
          <w:rFonts w:hint="eastAsia" w:ascii="宋体" w:hAnsi="宋体" w:eastAsia="宋体" w:cs="宋体"/>
          <w:bCs/>
          <w:sz w:val="24"/>
          <w:szCs w:val="24"/>
          <w:lang w:val="en-US" w:eastAsia="zh-CN"/>
        </w:rPr>
        <w:t>19</w:t>
      </w:r>
      <w:r>
        <w:rPr>
          <w:rFonts w:hint="eastAsia" w:ascii="宋体" w:hAnsi="宋体" w:eastAsia="宋体" w:cs="宋体"/>
          <w:bCs/>
          <w:sz w:val="24"/>
          <w:szCs w:val="24"/>
          <w:lang w:eastAsia="zh-CN"/>
        </w:rPr>
        <w:t>日至202</w:t>
      </w:r>
      <w:r>
        <w:rPr>
          <w:rFonts w:hint="eastAsia" w:ascii="宋体" w:hAnsi="宋体" w:eastAsia="宋体" w:cs="宋体"/>
          <w:bCs/>
          <w:sz w:val="24"/>
          <w:szCs w:val="24"/>
          <w:lang w:val="en-US" w:eastAsia="zh-CN"/>
        </w:rPr>
        <w:t>5</w:t>
      </w:r>
      <w:r>
        <w:rPr>
          <w:rFonts w:hint="eastAsia" w:ascii="宋体" w:hAnsi="宋体" w:eastAsia="宋体" w:cs="宋体"/>
          <w:bCs/>
          <w:sz w:val="24"/>
          <w:szCs w:val="24"/>
          <w:lang w:eastAsia="zh-CN"/>
        </w:rPr>
        <w:t>年</w:t>
      </w:r>
      <w:r>
        <w:rPr>
          <w:rFonts w:hint="eastAsia" w:ascii="宋体" w:hAnsi="宋体" w:eastAsia="宋体" w:cs="宋体"/>
          <w:bCs/>
          <w:sz w:val="24"/>
          <w:szCs w:val="24"/>
          <w:lang w:val="en-US" w:eastAsia="zh-CN"/>
        </w:rPr>
        <w:t>4</w:t>
      </w:r>
      <w:r>
        <w:rPr>
          <w:rFonts w:hint="eastAsia" w:ascii="宋体" w:hAnsi="宋体" w:eastAsia="宋体" w:cs="宋体"/>
          <w:bCs/>
          <w:sz w:val="24"/>
          <w:szCs w:val="24"/>
          <w:lang w:eastAsia="zh-CN"/>
        </w:rPr>
        <w:t>月</w:t>
      </w:r>
      <w:r>
        <w:rPr>
          <w:rFonts w:hint="eastAsia" w:ascii="宋体" w:hAnsi="宋体" w:eastAsia="宋体" w:cs="宋体"/>
          <w:bCs/>
          <w:sz w:val="24"/>
          <w:szCs w:val="24"/>
          <w:lang w:val="en-US" w:eastAsia="zh-CN"/>
        </w:rPr>
        <w:t>18</w:t>
      </w:r>
      <w:r>
        <w:rPr>
          <w:rFonts w:hint="eastAsia" w:ascii="宋体" w:hAnsi="宋体" w:eastAsia="宋体" w:cs="宋体"/>
          <w:bCs/>
          <w:sz w:val="24"/>
          <w:szCs w:val="24"/>
          <w:lang w:eastAsia="zh-CN"/>
        </w:rPr>
        <w:t>日；</w:t>
      </w:r>
      <w:r>
        <w:rPr>
          <w:rFonts w:hint="eastAsia" w:ascii="宋体" w:hAnsi="宋体" w:eastAsia="宋体" w:cs="宋体"/>
          <w:bCs/>
          <w:sz w:val="24"/>
          <w:szCs w:val="24"/>
          <w:lang w:val="en-US" w:eastAsia="zh-CN"/>
        </w:rPr>
        <w:t>本合同届满前一个月，由甲方考核本合同内服务满意度，考核合格后可继续签订下一年合同。</w:t>
      </w:r>
    </w:p>
    <w:p>
      <w:pPr>
        <w:keepNext w:val="0"/>
        <w:keepLines w:val="0"/>
        <w:pageBreakBefore w:val="0"/>
        <w:numPr>
          <w:ilvl w:val="0"/>
          <w:numId w:val="2"/>
        </w:numPr>
        <w:tabs>
          <w:tab w:val="left" w:pos="7140"/>
        </w:tabs>
        <w:kinsoku/>
        <w:wordWrap/>
        <w:overflowPunct/>
        <w:topLinePunct w:val="0"/>
        <w:autoSpaceDE/>
        <w:autoSpaceDN/>
        <w:bidi w:val="0"/>
        <w:adjustRightInd/>
        <w:snapToGrid w:val="0"/>
        <w:spacing w:before="120" w:line="24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付款方式：</w:t>
      </w:r>
      <w:r>
        <w:rPr>
          <w:rFonts w:hint="eastAsia" w:ascii="宋体" w:hAnsi="宋体" w:eastAsia="宋体" w:cs="宋体"/>
          <w:bCs/>
          <w:color w:val="FF0000"/>
          <w:sz w:val="24"/>
          <w:szCs w:val="24"/>
          <w:lang w:val="en-US" w:eastAsia="zh-CN"/>
        </w:rPr>
        <w:t>合同生效之日起5日内，乙方</w:t>
      </w:r>
      <w:r>
        <w:rPr>
          <w:rFonts w:hint="eastAsia" w:ascii="新宋体" w:hAnsi="新宋体" w:eastAsia="新宋体" w:cs="新宋体"/>
          <w:b w:val="0"/>
          <w:bCs w:val="0"/>
          <w:color w:val="FF0000"/>
          <w:sz w:val="24"/>
          <w:szCs w:val="24"/>
          <w:lang w:val="en-US" w:eastAsia="zh-CN"/>
        </w:rPr>
        <w:t>缴纳全年电费补偿金</w:t>
      </w:r>
      <w:r>
        <w:rPr>
          <w:rFonts w:hint="eastAsia" w:ascii="新宋体" w:hAnsi="新宋体" w:eastAsia="新宋体" w:cs="新宋体"/>
          <w:b w:val="0"/>
          <w:bCs w:val="0"/>
          <w:color w:val="FF0000"/>
          <w:sz w:val="24"/>
          <w:szCs w:val="24"/>
          <w:u w:val="single"/>
          <w:lang w:val="en-US" w:eastAsia="zh-CN"/>
        </w:rPr>
        <w:t xml:space="preserve">         </w:t>
      </w:r>
      <w:r>
        <w:rPr>
          <w:rFonts w:hint="eastAsia" w:ascii="新宋体" w:hAnsi="新宋体" w:eastAsia="新宋体" w:cs="新宋体"/>
          <w:b w:val="0"/>
          <w:bCs w:val="0"/>
          <w:color w:val="FF0000"/>
          <w:sz w:val="24"/>
          <w:szCs w:val="24"/>
          <w:lang w:val="en-US" w:eastAsia="zh-CN"/>
        </w:rPr>
        <w:t>¥（人民币大写：</w:t>
      </w:r>
      <w:r>
        <w:rPr>
          <w:rFonts w:hint="eastAsia" w:ascii="新宋体" w:hAnsi="新宋体" w:eastAsia="新宋体" w:cs="新宋体"/>
          <w:b w:val="0"/>
          <w:bCs w:val="0"/>
          <w:color w:val="FF0000"/>
          <w:sz w:val="24"/>
          <w:szCs w:val="24"/>
          <w:u w:val="single"/>
          <w:lang w:val="en-US" w:eastAsia="zh-CN"/>
        </w:rPr>
        <w:t xml:space="preserve">       </w:t>
      </w:r>
      <w:r>
        <w:rPr>
          <w:rFonts w:hint="eastAsia" w:ascii="新宋体" w:hAnsi="新宋体" w:eastAsia="新宋体" w:cs="新宋体"/>
          <w:b w:val="0"/>
          <w:bCs w:val="0"/>
          <w:color w:val="FF0000"/>
          <w:sz w:val="24"/>
          <w:szCs w:val="24"/>
          <w:u w:val="none"/>
          <w:lang w:val="en-US" w:eastAsia="zh-CN"/>
        </w:rPr>
        <w:t>元</w:t>
      </w:r>
      <w:r>
        <w:rPr>
          <w:rFonts w:hint="eastAsia" w:ascii="新宋体" w:hAnsi="新宋体" w:eastAsia="新宋体" w:cs="新宋体"/>
          <w:b w:val="0"/>
          <w:bCs w:val="0"/>
          <w:color w:val="FF0000"/>
          <w:sz w:val="24"/>
          <w:szCs w:val="24"/>
          <w:lang w:val="en-US" w:eastAsia="zh-CN"/>
        </w:rPr>
        <w:t>），履约保证金为电费补偿金10%，即</w:t>
      </w:r>
      <w:r>
        <w:rPr>
          <w:rFonts w:hint="eastAsia" w:ascii="新宋体" w:hAnsi="新宋体" w:eastAsia="新宋体" w:cs="新宋体"/>
          <w:b w:val="0"/>
          <w:bCs w:val="0"/>
          <w:color w:val="FF0000"/>
          <w:sz w:val="24"/>
          <w:szCs w:val="24"/>
          <w:u w:val="single"/>
          <w:lang w:val="en-US" w:eastAsia="zh-CN"/>
        </w:rPr>
        <w:t xml:space="preserve">        </w:t>
      </w:r>
      <w:r>
        <w:rPr>
          <w:rFonts w:hint="eastAsia" w:ascii="新宋体" w:hAnsi="新宋体" w:eastAsia="新宋体" w:cs="新宋体"/>
          <w:b w:val="0"/>
          <w:bCs w:val="0"/>
          <w:color w:val="FF0000"/>
          <w:sz w:val="24"/>
          <w:szCs w:val="24"/>
          <w:lang w:val="en-US" w:eastAsia="zh-CN"/>
        </w:rPr>
        <w:t>¥（人民币大写：</w:t>
      </w:r>
      <w:r>
        <w:rPr>
          <w:rFonts w:hint="eastAsia" w:ascii="新宋体" w:hAnsi="新宋体" w:eastAsia="新宋体" w:cs="新宋体"/>
          <w:b w:val="0"/>
          <w:bCs w:val="0"/>
          <w:color w:val="FF0000"/>
          <w:sz w:val="24"/>
          <w:szCs w:val="24"/>
          <w:u w:val="single"/>
          <w:lang w:val="en-US" w:eastAsia="zh-CN"/>
        </w:rPr>
        <w:t xml:space="preserve">      </w:t>
      </w:r>
      <w:r>
        <w:rPr>
          <w:rFonts w:hint="eastAsia" w:ascii="新宋体" w:hAnsi="新宋体" w:eastAsia="新宋体" w:cs="新宋体"/>
          <w:b w:val="0"/>
          <w:bCs w:val="0"/>
          <w:color w:val="FF0000"/>
          <w:sz w:val="24"/>
          <w:szCs w:val="24"/>
          <w:lang w:val="en-US" w:eastAsia="zh-CN"/>
        </w:rPr>
        <w:t>元）</w:t>
      </w:r>
      <w:r>
        <w:rPr>
          <w:rFonts w:hint="eastAsia" w:ascii="新宋体" w:hAnsi="新宋体" w:eastAsia="新宋体" w:cs="新宋体"/>
          <w:b w:val="0"/>
          <w:bCs w:val="0"/>
          <w:sz w:val="24"/>
          <w:szCs w:val="24"/>
          <w:lang w:val="en-US" w:eastAsia="zh-CN"/>
        </w:rPr>
        <w:t>。乙方未及时缴纳电</w:t>
      </w:r>
      <w:r>
        <w:rPr>
          <w:rFonts w:hint="eastAsia" w:ascii="宋体" w:hAnsi="宋体" w:eastAsia="宋体" w:cs="宋体"/>
          <w:bCs/>
          <w:sz w:val="24"/>
          <w:szCs w:val="24"/>
          <w:lang w:val="en-US" w:eastAsia="zh-CN"/>
        </w:rPr>
        <w:t>费补偿金，应向甲方支付每天5‰的滞纳金，支付租金逾期超过30天时，甲方还有权提前终止本合同，且不退</w:t>
      </w:r>
      <w:r>
        <w:rPr>
          <w:rFonts w:hint="eastAsia" w:ascii="宋体" w:hAnsi="宋体" w:eastAsia="宋体" w:cs="宋体"/>
          <w:bCs/>
          <w:color w:val="auto"/>
          <w:sz w:val="24"/>
          <w:szCs w:val="24"/>
          <w:lang w:val="en-US" w:eastAsia="zh-CN"/>
        </w:rPr>
        <w:t>还</w:t>
      </w:r>
      <w:r>
        <w:rPr>
          <w:rFonts w:hint="eastAsia" w:ascii="新宋体" w:hAnsi="新宋体" w:eastAsia="新宋体" w:cs="新宋体"/>
          <w:b w:val="0"/>
          <w:bCs w:val="0"/>
          <w:color w:val="auto"/>
          <w:sz w:val="24"/>
          <w:szCs w:val="24"/>
          <w:lang w:val="en-US" w:eastAsia="zh-CN"/>
        </w:rPr>
        <w:t>履约保证金</w:t>
      </w:r>
      <w:r>
        <w:rPr>
          <w:rFonts w:hint="eastAsia" w:ascii="宋体" w:hAnsi="宋体" w:eastAsia="宋体" w:cs="宋体"/>
          <w:bCs/>
          <w:sz w:val="24"/>
          <w:szCs w:val="24"/>
          <w:lang w:val="en-US" w:eastAsia="zh-CN"/>
        </w:rPr>
        <w:t>。</w:t>
      </w:r>
    </w:p>
    <w:p>
      <w:pPr>
        <w:keepNext w:val="0"/>
        <w:keepLines w:val="0"/>
        <w:pageBreakBefore w:val="0"/>
        <w:numPr>
          <w:ilvl w:val="0"/>
          <w:numId w:val="2"/>
        </w:numPr>
        <w:tabs>
          <w:tab w:val="left" w:pos="7140"/>
        </w:tabs>
        <w:kinsoku/>
        <w:wordWrap/>
        <w:overflowPunct/>
        <w:topLinePunct w:val="0"/>
        <w:autoSpaceDE/>
        <w:autoSpaceDN/>
        <w:bidi w:val="0"/>
        <w:adjustRightInd/>
        <w:snapToGrid w:val="0"/>
        <w:spacing w:before="120" w:line="24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技术及服务要求：</w:t>
      </w:r>
    </w:p>
    <w:p>
      <w:pPr>
        <w:pStyle w:val="13"/>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120" w:beforeAutospacing="0" w:after="0" w:afterAutospacing="0" w:line="240" w:lineRule="auto"/>
        <w:ind w:left="0" w:leftChars="0" w:firstLine="480" w:firstLineChars="200"/>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sz w:val="24"/>
          <w:szCs w:val="24"/>
          <w:lang w:eastAsia="zh-CN"/>
        </w:rPr>
        <w:t>乙方</w:t>
      </w:r>
      <w:r>
        <w:rPr>
          <w:rFonts w:hint="eastAsia" w:ascii="新宋体" w:hAnsi="新宋体" w:eastAsia="新宋体" w:cs="新宋体"/>
          <w:b w:val="0"/>
          <w:bCs w:val="0"/>
          <w:sz w:val="24"/>
          <w:szCs w:val="24"/>
        </w:rPr>
        <w:t>须承诺所提供的</w:t>
      </w:r>
      <w:r>
        <w:rPr>
          <w:rFonts w:hint="eastAsia" w:ascii="新宋体" w:hAnsi="新宋体" w:eastAsia="新宋体" w:cs="新宋体"/>
          <w:b w:val="0"/>
          <w:bCs w:val="0"/>
          <w:sz w:val="24"/>
          <w:szCs w:val="24"/>
          <w:lang w:eastAsia="zh-CN"/>
        </w:rPr>
        <w:t>共享充电宝设备</w:t>
      </w:r>
      <w:r>
        <w:rPr>
          <w:rFonts w:hint="eastAsia" w:ascii="新宋体" w:hAnsi="新宋体" w:eastAsia="新宋体" w:cs="新宋体"/>
          <w:b w:val="0"/>
          <w:bCs w:val="0"/>
          <w:sz w:val="24"/>
          <w:szCs w:val="24"/>
        </w:rPr>
        <w:t>及其</w:t>
      </w:r>
      <w:r>
        <w:rPr>
          <w:rFonts w:hint="eastAsia" w:ascii="新宋体" w:hAnsi="新宋体" w:eastAsia="新宋体" w:cs="新宋体"/>
          <w:b w:val="0"/>
          <w:bCs w:val="0"/>
          <w:sz w:val="24"/>
          <w:szCs w:val="24"/>
          <w:lang w:eastAsia="zh-CN"/>
        </w:rPr>
        <w:t>充电桩</w:t>
      </w:r>
      <w:r>
        <w:rPr>
          <w:rFonts w:hint="eastAsia" w:ascii="新宋体" w:hAnsi="新宋体" w:eastAsia="新宋体" w:cs="新宋体"/>
          <w:b w:val="0"/>
          <w:bCs w:val="0"/>
          <w:sz w:val="24"/>
          <w:szCs w:val="24"/>
        </w:rPr>
        <w:t>设备符合现行国家、行业各项标准</w:t>
      </w:r>
      <w:r>
        <w:rPr>
          <w:rFonts w:hint="eastAsia" w:ascii="新宋体" w:hAnsi="新宋体" w:eastAsia="新宋体" w:cs="新宋体"/>
          <w:b w:val="0"/>
          <w:bCs w:val="0"/>
          <w:sz w:val="24"/>
          <w:szCs w:val="24"/>
          <w:lang w:eastAsia="zh-CN"/>
        </w:rPr>
        <w:t>；</w:t>
      </w:r>
      <w:r>
        <w:rPr>
          <w:rFonts w:hint="eastAsia" w:ascii="新宋体" w:hAnsi="新宋体" w:eastAsia="新宋体" w:cs="新宋体"/>
          <w:b w:val="0"/>
          <w:bCs w:val="0"/>
          <w:sz w:val="24"/>
          <w:szCs w:val="24"/>
          <w:lang w:val="en-US" w:eastAsia="zh-CN"/>
        </w:rPr>
        <w:t>所投充电宝设备具有有效的中国国家强制性产品3</w:t>
      </w:r>
      <w:r>
        <w:rPr>
          <w:rFonts w:hint="eastAsia" w:ascii="新宋体" w:hAnsi="新宋体" w:eastAsia="新宋体" w:cs="新宋体"/>
          <w:b w:val="0"/>
          <w:bCs w:val="0"/>
          <w:sz w:val="24"/>
          <w:szCs w:val="24"/>
        </w:rPr>
        <w:t>C认证证书、SRRC无线电型号核准认证、移动电源（充电宝）新国家标准GB/T35590-2017《信息技术便携式数字设备用移动电源通用规范》认证等证书</w:t>
      </w:r>
      <w:r>
        <w:rPr>
          <w:rFonts w:hint="eastAsia" w:ascii="新宋体" w:hAnsi="新宋体" w:eastAsia="新宋体" w:cs="新宋体"/>
          <w:b w:val="0"/>
          <w:bCs w:val="0"/>
          <w:sz w:val="24"/>
          <w:szCs w:val="24"/>
          <w:lang w:val="en-US" w:eastAsia="zh-CN"/>
        </w:rPr>
        <w:t>。</w:t>
      </w:r>
    </w:p>
    <w:p>
      <w:pPr>
        <w:pStyle w:val="13"/>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120" w:beforeAutospacing="0" w:after="0" w:afterAutospacing="0" w:line="240" w:lineRule="auto"/>
        <w:ind w:left="0" w:leftChars="0" w:firstLine="480" w:firstLineChars="200"/>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sz w:val="24"/>
          <w:szCs w:val="24"/>
          <w:lang w:val="en-US" w:eastAsia="zh-CN"/>
        </w:rPr>
        <w:t>收费限价：</w:t>
      </w:r>
      <w:r>
        <w:rPr>
          <w:rFonts w:hint="eastAsia" w:ascii="新宋体" w:hAnsi="新宋体" w:eastAsia="新宋体" w:cs="新宋体"/>
          <w:b w:val="0"/>
          <w:bCs w:val="0"/>
          <w:sz w:val="24"/>
          <w:szCs w:val="24"/>
          <w:lang w:eastAsia="zh-CN"/>
        </w:rPr>
        <w:t>充电宝</w:t>
      </w:r>
      <w:r>
        <w:rPr>
          <w:rFonts w:hint="eastAsia" w:ascii="新宋体" w:hAnsi="新宋体" w:eastAsia="新宋体" w:cs="新宋体"/>
          <w:b w:val="0"/>
          <w:bCs w:val="0"/>
          <w:sz w:val="24"/>
          <w:szCs w:val="24"/>
          <w:lang w:val="en-US" w:eastAsia="zh-CN"/>
        </w:rPr>
        <w:t>用户</w:t>
      </w:r>
      <w:r>
        <w:rPr>
          <w:rFonts w:hint="eastAsia" w:ascii="新宋体" w:hAnsi="新宋体" w:eastAsia="新宋体" w:cs="新宋体"/>
          <w:b w:val="0"/>
          <w:bCs w:val="0"/>
          <w:sz w:val="24"/>
          <w:szCs w:val="24"/>
          <w:lang w:eastAsia="zh-CN"/>
        </w:rPr>
        <w:t>借取费用</w:t>
      </w:r>
      <w:r>
        <w:rPr>
          <w:rFonts w:hint="eastAsia" w:ascii="新宋体" w:hAnsi="新宋体" w:eastAsia="新宋体" w:cs="新宋体"/>
          <w:b w:val="0"/>
          <w:bCs w:val="0"/>
          <w:sz w:val="24"/>
          <w:szCs w:val="24"/>
          <w:u w:val="single"/>
          <w:lang w:val="en-US" w:eastAsia="zh-CN"/>
        </w:rPr>
        <w:t xml:space="preserve">    </w:t>
      </w:r>
      <w:r>
        <w:rPr>
          <w:rFonts w:hint="eastAsia" w:ascii="新宋体" w:hAnsi="新宋体" w:eastAsia="新宋体" w:cs="新宋体"/>
          <w:b w:val="0"/>
          <w:bCs w:val="0"/>
          <w:sz w:val="24"/>
          <w:szCs w:val="24"/>
          <w:lang w:val="en-US" w:eastAsia="zh-CN"/>
        </w:rPr>
        <w:t>元/（或半）小时；借取押金为</w:t>
      </w:r>
      <w:r>
        <w:rPr>
          <w:rFonts w:hint="eastAsia" w:ascii="新宋体" w:hAnsi="新宋体" w:eastAsia="新宋体" w:cs="新宋体"/>
          <w:b w:val="0"/>
          <w:bCs w:val="0"/>
          <w:sz w:val="24"/>
          <w:szCs w:val="24"/>
          <w:u w:val="single"/>
          <w:lang w:val="en-US" w:eastAsia="zh-CN"/>
        </w:rPr>
        <w:t xml:space="preserve">  </w:t>
      </w:r>
      <w:r>
        <w:rPr>
          <w:rFonts w:hint="eastAsia" w:ascii="新宋体" w:hAnsi="新宋体" w:eastAsia="新宋体" w:cs="新宋体"/>
          <w:b w:val="0"/>
          <w:bCs w:val="0"/>
          <w:sz w:val="24"/>
          <w:szCs w:val="24"/>
          <w:lang w:val="en-US" w:eastAsia="zh-CN"/>
        </w:rPr>
        <w:t>元(或</w:t>
      </w:r>
      <w:r>
        <w:rPr>
          <w:rFonts w:hint="eastAsia" w:ascii="新宋体" w:hAnsi="新宋体" w:eastAsia="新宋体" w:cs="新宋体"/>
          <w:b w:val="0"/>
          <w:bCs w:val="0"/>
          <w:sz w:val="24"/>
          <w:szCs w:val="24"/>
          <w:u w:val="single"/>
          <w:lang w:val="en-US" w:eastAsia="zh-CN"/>
        </w:rPr>
        <w:t xml:space="preserve">    </w:t>
      </w:r>
      <w:r>
        <w:rPr>
          <w:rFonts w:hint="eastAsia" w:ascii="新宋体" w:hAnsi="新宋体" w:eastAsia="新宋体" w:cs="新宋体"/>
          <w:b w:val="0"/>
          <w:bCs w:val="0"/>
          <w:sz w:val="24"/>
          <w:szCs w:val="24"/>
          <w:lang w:val="en-US" w:eastAsia="zh-CN"/>
        </w:rPr>
        <w:t>积分)；借取免费时长</w:t>
      </w:r>
      <w:r>
        <w:rPr>
          <w:rFonts w:hint="eastAsia" w:ascii="新宋体" w:hAnsi="新宋体" w:eastAsia="新宋体" w:cs="新宋体"/>
          <w:b w:val="0"/>
          <w:bCs w:val="0"/>
          <w:sz w:val="24"/>
          <w:szCs w:val="24"/>
          <w:u w:val="single"/>
          <w:lang w:val="en-US" w:eastAsia="zh-CN"/>
        </w:rPr>
        <w:t xml:space="preserve">   </w:t>
      </w:r>
      <w:r>
        <w:rPr>
          <w:rFonts w:hint="eastAsia" w:ascii="新宋体" w:hAnsi="新宋体" w:eastAsia="新宋体" w:cs="新宋体"/>
          <w:b w:val="0"/>
          <w:bCs w:val="0"/>
          <w:sz w:val="24"/>
          <w:szCs w:val="24"/>
          <w:lang w:val="en-US" w:eastAsia="zh-CN"/>
        </w:rPr>
        <w:t>分钟/次；每日封顶</w:t>
      </w:r>
      <w:r>
        <w:rPr>
          <w:rFonts w:hint="eastAsia" w:ascii="新宋体" w:hAnsi="新宋体" w:eastAsia="新宋体" w:cs="新宋体"/>
          <w:b w:val="0"/>
          <w:bCs w:val="0"/>
          <w:sz w:val="24"/>
          <w:szCs w:val="24"/>
          <w:u w:val="single"/>
          <w:lang w:val="en-US" w:eastAsia="zh-CN"/>
        </w:rPr>
        <w:t xml:space="preserve">     </w:t>
      </w:r>
      <w:r>
        <w:rPr>
          <w:rFonts w:hint="eastAsia" w:ascii="新宋体" w:hAnsi="新宋体" w:eastAsia="新宋体" w:cs="新宋体"/>
          <w:b w:val="0"/>
          <w:bCs w:val="0"/>
          <w:sz w:val="24"/>
          <w:szCs w:val="24"/>
          <w:lang w:val="en-US" w:eastAsia="zh-CN"/>
        </w:rPr>
        <w:t>元/日；充电宝损失赔偿费用</w:t>
      </w:r>
      <w:r>
        <w:rPr>
          <w:rFonts w:hint="eastAsia" w:ascii="新宋体" w:hAnsi="新宋体" w:eastAsia="新宋体" w:cs="新宋体"/>
          <w:b w:val="0"/>
          <w:bCs w:val="0"/>
          <w:sz w:val="24"/>
          <w:szCs w:val="24"/>
          <w:u w:val="single"/>
          <w:lang w:val="en-US" w:eastAsia="zh-CN"/>
        </w:rPr>
        <w:t xml:space="preserve">     </w:t>
      </w:r>
      <w:r>
        <w:rPr>
          <w:rFonts w:hint="eastAsia" w:ascii="新宋体" w:hAnsi="新宋体" w:eastAsia="新宋体" w:cs="新宋体"/>
          <w:b w:val="0"/>
          <w:bCs w:val="0"/>
          <w:sz w:val="24"/>
          <w:szCs w:val="24"/>
          <w:lang w:val="en-US" w:eastAsia="zh-CN"/>
        </w:rPr>
        <w:t>元/个。</w:t>
      </w:r>
    </w:p>
    <w:p>
      <w:pPr>
        <w:pStyle w:val="13"/>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120" w:beforeAutospacing="0" w:after="0" w:afterAutospacing="0" w:line="240" w:lineRule="auto"/>
        <w:ind w:left="0" w:leftChars="0" w:firstLine="480" w:firstLineChars="200"/>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sz w:val="24"/>
          <w:szCs w:val="24"/>
        </w:rPr>
        <w:t>共享充电宝设备应满足</w:t>
      </w:r>
      <w:r>
        <w:rPr>
          <w:rFonts w:hint="eastAsia" w:ascii="新宋体" w:hAnsi="新宋体" w:eastAsia="新宋体" w:cs="新宋体"/>
          <w:b w:val="0"/>
          <w:bCs w:val="0"/>
          <w:sz w:val="24"/>
          <w:szCs w:val="24"/>
          <w:lang w:eastAsia="zh-CN"/>
        </w:rPr>
        <w:t>：</w:t>
      </w:r>
    </w:p>
    <w:p>
      <w:pPr>
        <w:keepNext w:val="0"/>
        <w:keepLines w:val="0"/>
        <w:pageBreakBefore w:val="0"/>
        <w:widowControl/>
        <w:numPr>
          <w:ilvl w:val="0"/>
          <w:numId w:val="4"/>
        </w:numPr>
        <w:kinsoku/>
        <w:wordWrap/>
        <w:overflowPunct/>
        <w:topLinePunct w:val="0"/>
        <w:autoSpaceDE/>
        <w:autoSpaceDN/>
        <w:bidi w:val="0"/>
        <w:adjustRightInd/>
        <w:spacing w:before="120" w:line="240" w:lineRule="auto"/>
        <w:ind w:left="425" w:leftChars="0" w:hanging="425" w:firstLineChars="0"/>
        <w:jc w:val="left"/>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须为国家质检合格产品</w:t>
      </w:r>
      <w:r>
        <w:rPr>
          <w:rFonts w:hint="eastAsia" w:ascii="新宋体" w:hAnsi="新宋体" w:eastAsia="新宋体" w:cs="新宋体"/>
          <w:b w:val="0"/>
          <w:bCs w:val="0"/>
          <w:sz w:val="24"/>
          <w:szCs w:val="24"/>
          <w:lang w:eastAsia="zh-CN"/>
        </w:rPr>
        <w:t>，</w:t>
      </w:r>
      <w:r>
        <w:rPr>
          <w:rFonts w:hint="eastAsia" w:ascii="新宋体" w:hAnsi="新宋体" w:eastAsia="新宋体" w:cs="新宋体"/>
          <w:b w:val="0"/>
          <w:bCs w:val="0"/>
          <w:sz w:val="24"/>
          <w:szCs w:val="24"/>
        </w:rPr>
        <w:t>设备外观应与医院整体装修风格搭配</w:t>
      </w:r>
      <w:r>
        <w:rPr>
          <w:rFonts w:hint="eastAsia" w:ascii="新宋体" w:hAnsi="新宋体" w:eastAsia="新宋体" w:cs="新宋体"/>
          <w:b w:val="0"/>
          <w:bCs w:val="0"/>
          <w:sz w:val="24"/>
          <w:szCs w:val="24"/>
          <w:lang w:eastAsia="zh-CN"/>
        </w:rPr>
        <w:t>。</w:t>
      </w:r>
    </w:p>
    <w:p>
      <w:pPr>
        <w:keepNext w:val="0"/>
        <w:keepLines w:val="0"/>
        <w:pageBreakBefore w:val="0"/>
        <w:widowControl/>
        <w:numPr>
          <w:ilvl w:val="0"/>
          <w:numId w:val="4"/>
        </w:numPr>
        <w:kinsoku/>
        <w:wordWrap/>
        <w:overflowPunct/>
        <w:topLinePunct w:val="0"/>
        <w:autoSpaceDE/>
        <w:autoSpaceDN/>
        <w:bidi w:val="0"/>
        <w:adjustRightInd/>
        <w:spacing w:before="120" w:line="240" w:lineRule="auto"/>
        <w:ind w:left="425" w:leftChars="0" w:hanging="425" w:firstLineChars="0"/>
        <w:jc w:val="left"/>
        <w:rPr>
          <w:rFonts w:hint="eastAsia" w:ascii="新宋体" w:hAnsi="新宋体" w:eastAsia="新宋体" w:cs="新宋体"/>
          <w:b w:val="0"/>
          <w:bCs w:val="0"/>
          <w:color w:val="FF0000"/>
          <w:sz w:val="24"/>
          <w:szCs w:val="24"/>
        </w:rPr>
      </w:pPr>
      <w:r>
        <w:rPr>
          <w:rFonts w:hint="eastAsia" w:ascii="新宋体" w:hAnsi="新宋体" w:eastAsia="新宋体" w:cs="新宋体"/>
          <w:b w:val="0"/>
          <w:bCs w:val="0"/>
          <w:color w:val="FF0000"/>
          <w:sz w:val="24"/>
          <w:szCs w:val="24"/>
          <w:lang w:eastAsia="zh-CN"/>
        </w:rPr>
        <w:t>充电宝具有同品牌温州区域通还功能，即甲方点位借取可温州其他区域同一品牌充电柜内归还，且计费标准以甲方点位为准。</w:t>
      </w:r>
    </w:p>
    <w:p>
      <w:pPr>
        <w:keepNext w:val="0"/>
        <w:keepLines w:val="0"/>
        <w:pageBreakBefore w:val="0"/>
        <w:widowControl/>
        <w:numPr>
          <w:ilvl w:val="0"/>
          <w:numId w:val="4"/>
        </w:numPr>
        <w:kinsoku/>
        <w:wordWrap/>
        <w:overflowPunct/>
        <w:topLinePunct w:val="0"/>
        <w:autoSpaceDE/>
        <w:autoSpaceDN/>
        <w:bidi w:val="0"/>
        <w:adjustRightInd/>
        <w:spacing w:before="120" w:line="240" w:lineRule="auto"/>
        <w:ind w:left="425" w:leftChars="0" w:hanging="425" w:firstLineChars="0"/>
        <w:jc w:val="left"/>
        <w:rPr>
          <w:rFonts w:hint="eastAsia" w:ascii="新宋体" w:hAnsi="新宋体" w:eastAsia="新宋体" w:cs="新宋体"/>
          <w:b w:val="0"/>
          <w:bCs w:val="0"/>
          <w:color w:val="FF0000"/>
          <w:sz w:val="24"/>
          <w:szCs w:val="24"/>
          <w:lang w:eastAsia="zh-CN"/>
        </w:rPr>
      </w:pPr>
      <w:r>
        <w:rPr>
          <w:rFonts w:hint="eastAsia" w:ascii="新宋体" w:hAnsi="新宋体" w:eastAsia="新宋体" w:cs="新宋体"/>
          <w:b w:val="0"/>
          <w:bCs w:val="0"/>
          <w:sz w:val="24"/>
          <w:szCs w:val="24"/>
        </w:rPr>
        <w:t>支付方式不少于两种，如微信、支付宝等</w:t>
      </w:r>
      <w:r>
        <w:rPr>
          <w:rFonts w:hint="eastAsia" w:ascii="新宋体" w:hAnsi="新宋体" w:eastAsia="新宋体" w:cs="新宋体"/>
          <w:b w:val="0"/>
          <w:bCs w:val="0"/>
          <w:sz w:val="24"/>
          <w:szCs w:val="24"/>
          <w:lang w:eastAsia="zh-CN"/>
        </w:rPr>
        <w:t>，</w:t>
      </w:r>
      <w:r>
        <w:rPr>
          <w:rFonts w:hint="eastAsia" w:ascii="新宋体" w:hAnsi="新宋体" w:eastAsia="新宋体" w:cs="新宋体"/>
          <w:b w:val="0"/>
          <w:bCs w:val="0"/>
          <w:color w:val="FF0000"/>
          <w:sz w:val="24"/>
          <w:szCs w:val="24"/>
          <w:lang w:eastAsia="zh-CN"/>
        </w:rPr>
        <w:t>使用界面保证网络安全：不得存在</w:t>
      </w:r>
      <w:r>
        <w:rPr>
          <w:rFonts w:hint="eastAsia" w:ascii="新宋体" w:hAnsi="新宋体" w:eastAsia="新宋体" w:cs="新宋体"/>
          <w:b w:val="0"/>
          <w:bCs w:val="0"/>
          <w:color w:val="FF0000"/>
          <w:sz w:val="24"/>
          <w:szCs w:val="24"/>
          <w:lang w:val="en-US" w:eastAsia="zh-CN"/>
        </w:rPr>
        <w:t>网贷金融诈骗医疗类广告，若履行合同中发现，将强制性终止合同并保留法律追究权力；支付界面不得挂钩强制性“自动扣款”、“免密支付”等；借还未成功情况及时通知，</w:t>
      </w:r>
    </w:p>
    <w:p>
      <w:pPr>
        <w:keepNext w:val="0"/>
        <w:keepLines w:val="0"/>
        <w:pageBreakBefore w:val="0"/>
        <w:widowControl/>
        <w:numPr>
          <w:ilvl w:val="0"/>
          <w:numId w:val="4"/>
        </w:numPr>
        <w:kinsoku/>
        <w:wordWrap/>
        <w:overflowPunct/>
        <w:topLinePunct w:val="0"/>
        <w:autoSpaceDE/>
        <w:autoSpaceDN/>
        <w:bidi w:val="0"/>
        <w:adjustRightInd/>
        <w:spacing w:before="120" w:line="240" w:lineRule="auto"/>
        <w:ind w:left="425" w:leftChars="0" w:hanging="425" w:firstLineChars="0"/>
        <w:jc w:val="left"/>
        <w:rPr>
          <w:rFonts w:hint="eastAsia" w:ascii="新宋体" w:hAnsi="新宋体" w:eastAsia="新宋体" w:cs="新宋体"/>
          <w:b w:val="0"/>
          <w:bCs w:val="0"/>
          <w:color w:val="FF0000"/>
          <w:sz w:val="24"/>
          <w:szCs w:val="24"/>
          <w:lang w:eastAsia="zh-CN"/>
        </w:rPr>
      </w:pPr>
      <w:r>
        <w:rPr>
          <w:rFonts w:hint="eastAsia" w:ascii="新宋体" w:hAnsi="新宋体" w:eastAsia="新宋体" w:cs="新宋体"/>
          <w:b w:val="0"/>
          <w:bCs w:val="0"/>
          <w:color w:val="FF0000"/>
          <w:sz w:val="24"/>
          <w:szCs w:val="24"/>
          <w:lang w:eastAsia="zh-CN"/>
        </w:rPr>
        <w:t>乙方所投产品有安全质量保证，有输出过压/短路保护、高温保护等，充电柜、充电宝符合国家防火等级，乙方保证产品消防安全，若出现消防安全事故，甲方有权终止本合同，没收电费补偿金与履约保证金，并保留相关法律追究权力。</w:t>
      </w:r>
    </w:p>
    <w:p>
      <w:pPr>
        <w:keepNext w:val="0"/>
        <w:keepLines w:val="0"/>
        <w:pageBreakBefore w:val="0"/>
        <w:widowControl/>
        <w:numPr>
          <w:ilvl w:val="0"/>
          <w:numId w:val="4"/>
        </w:numPr>
        <w:kinsoku/>
        <w:wordWrap/>
        <w:overflowPunct/>
        <w:topLinePunct w:val="0"/>
        <w:autoSpaceDE/>
        <w:autoSpaceDN/>
        <w:bidi w:val="0"/>
        <w:adjustRightInd/>
        <w:spacing w:before="120" w:line="240" w:lineRule="auto"/>
        <w:ind w:left="425" w:leftChars="0" w:hanging="425" w:firstLineChars="0"/>
        <w:jc w:val="left"/>
        <w:rPr>
          <w:rFonts w:hint="eastAsia" w:ascii="新宋体" w:hAnsi="新宋体" w:eastAsia="新宋体" w:cs="新宋体"/>
          <w:b w:val="0"/>
          <w:bCs w:val="0"/>
          <w:kern w:val="0"/>
          <w:sz w:val="24"/>
          <w:szCs w:val="24"/>
        </w:rPr>
      </w:pPr>
      <w:r>
        <w:rPr>
          <w:rFonts w:hint="eastAsia" w:ascii="新宋体" w:hAnsi="新宋体" w:eastAsia="新宋体" w:cs="新宋体"/>
          <w:b w:val="0"/>
          <w:bCs w:val="0"/>
          <w:sz w:val="24"/>
          <w:szCs w:val="24"/>
        </w:rPr>
        <w:t>保险公司承保产品</w:t>
      </w:r>
      <w:r>
        <w:rPr>
          <w:rFonts w:hint="eastAsia" w:ascii="新宋体" w:hAnsi="新宋体" w:eastAsia="新宋体" w:cs="新宋体"/>
          <w:b w:val="0"/>
          <w:bCs w:val="0"/>
          <w:sz w:val="24"/>
          <w:szCs w:val="24"/>
          <w:lang w:eastAsia="zh-CN"/>
        </w:rPr>
        <w:t>。</w:t>
      </w:r>
    </w:p>
    <w:p>
      <w:pPr>
        <w:pStyle w:val="13"/>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120" w:beforeAutospacing="0" w:after="0" w:afterAutospacing="0" w:line="240" w:lineRule="auto"/>
        <w:ind w:left="0" w:leftChars="0" w:firstLine="480" w:firstLineChars="200"/>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kern w:val="0"/>
          <w:sz w:val="24"/>
          <w:szCs w:val="24"/>
          <w:lang w:val="en-US" w:eastAsia="zh-CN"/>
        </w:rPr>
        <w:t>设备安装要求：</w:t>
      </w:r>
    </w:p>
    <w:p>
      <w:pPr>
        <w:keepNext w:val="0"/>
        <w:keepLines w:val="0"/>
        <w:pageBreakBefore w:val="0"/>
        <w:widowControl/>
        <w:numPr>
          <w:ilvl w:val="0"/>
          <w:numId w:val="5"/>
        </w:numPr>
        <w:kinsoku/>
        <w:wordWrap/>
        <w:overflowPunct/>
        <w:topLinePunct w:val="0"/>
        <w:autoSpaceDE/>
        <w:autoSpaceDN/>
        <w:bidi w:val="0"/>
        <w:adjustRightInd/>
        <w:spacing w:before="120" w:line="240" w:lineRule="auto"/>
        <w:ind w:left="425" w:leftChars="0" w:hanging="425" w:firstLineChars="0"/>
        <w:jc w:val="left"/>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在</w:t>
      </w:r>
      <w:r>
        <w:rPr>
          <w:rFonts w:hint="eastAsia" w:ascii="新宋体" w:hAnsi="新宋体" w:eastAsia="新宋体" w:cs="新宋体"/>
          <w:b w:val="0"/>
          <w:bCs w:val="0"/>
          <w:sz w:val="24"/>
          <w:szCs w:val="24"/>
          <w:lang w:eastAsia="zh-CN"/>
        </w:rPr>
        <w:t>甲方</w:t>
      </w:r>
      <w:r>
        <w:rPr>
          <w:rFonts w:hint="eastAsia" w:ascii="新宋体" w:hAnsi="新宋体" w:eastAsia="新宋体" w:cs="新宋体"/>
          <w:b w:val="0"/>
          <w:bCs w:val="0"/>
          <w:sz w:val="24"/>
          <w:szCs w:val="24"/>
        </w:rPr>
        <w:t>指定点位安装，不能超过点位范围</w:t>
      </w:r>
      <w:r>
        <w:rPr>
          <w:rFonts w:hint="eastAsia" w:ascii="新宋体" w:hAnsi="新宋体" w:eastAsia="新宋体" w:cs="新宋体"/>
          <w:b w:val="0"/>
          <w:bCs w:val="0"/>
          <w:sz w:val="24"/>
          <w:szCs w:val="24"/>
          <w:lang w:eastAsia="zh-CN"/>
        </w:rPr>
        <w:t>。</w:t>
      </w:r>
    </w:p>
    <w:p>
      <w:pPr>
        <w:keepNext w:val="0"/>
        <w:keepLines w:val="0"/>
        <w:pageBreakBefore w:val="0"/>
        <w:widowControl/>
        <w:numPr>
          <w:ilvl w:val="0"/>
          <w:numId w:val="5"/>
        </w:numPr>
        <w:kinsoku/>
        <w:wordWrap/>
        <w:overflowPunct/>
        <w:topLinePunct w:val="0"/>
        <w:autoSpaceDE/>
        <w:autoSpaceDN/>
        <w:bidi w:val="0"/>
        <w:adjustRightInd/>
        <w:spacing w:before="120" w:line="240" w:lineRule="auto"/>
        <w:ind w:left="425" w:leftChars="0" w:hanging="425" w:firstLineChars="0"/>
        <w:jc w:val="left"/>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若后期</w:t>
      </w:r>
      <w:r>
        <w:rPr>
          <w:rFonts w:hint="eastAsia" w:ascii="新宋体" w:hAnsi="新宋体" w:eastAsia="新宋体" w:cs="新宋体"/>
          <w:b w:val="0"/>
          <w:bCs w:val="0"/>
          <w:sz w:val="24"/>
          <w:szCs w:val="24"/>
          <w:lang w:eastAsia="zh-CN"/>
        </w:rPr>
        <w:t>甲</w:t>
      </w:r>
      <w:r>
        <w:rPr>
          <w:rFonts w:hint="eastAsia" w:ascii="新宋体" w:hAnsi="新宋体" w:eastAsia="新宋体" w:cs="新宋体"/>
          <w:b w:val="0"/>
          <w:bCs w:val="0"/>
          <w:sz w:val="24"/>
          <w:szCs w:val="24"/>
        </w:rPr>
        <w:t>方对某点位有特殊用途，</w:t>
      </w:r>
      <w:r>
        <w:rPr>
          <w:rFonts w:hint="eastAsia" w:ascii="新宋体" w:hAnsi="新宋体" w:eastAsia="新宋体" w:cs="新宋体"/>
          <w:b w:val="0"/>
          <w:bCs w:val="0"/>
          <w:sz w:val="24"/>
          <w:szCs w:val="24"/>
          <w:lang w:eastAsia="zh-CN"/>
        </w:rPr>
        <w:t>乙方</w:t>
      </w:r>
      <w:r>
        <w:rPr>
          <w:rFonts w:hint="eastAsia" w:ascii="新宋体" w:hAnsi="新宋体" w:eastAsia="新宋体" w:cs="新宋体"/>
          <w:b w:val="0"/>
          <w:bCs w:val="0"/>
          <w:sz w:val="24"/>
          <w:szCs w:val="24"/>
        </w:rPr>
        <w:t>应无条件服从点位调整安排</w:t>
      </w:r>
      <w:r>
        <w:rPr>
          <w:rFonts w:hint="eastAsia" w:ascii="新宋体" w:hAnsi="新宋体" w:eastAsia="新宋体" w:cs="新宋体"/>
          <w:b w:val="0"/>
          <w:bCs w:val="0"/>
          <w:sz w:val="24"/>
          <w:szCs w:val="24"/>
          <w:lang w:eastAsia="zh-CN"/>
        </w:rPr>
        <w:t>。</w:t>
      </w:r>
    </w:p>
    <w:p>
      <w:pPr>
        <w:keepNext w:val="0"/>
        <w:keepLines w:val="0"/>
        <w:pageBreakBefore w:val="0"/>
        <w:widowControl/>
        <w:numPr>
          <w:ilvl w:val="0"/>
          <w:numId w:val="5"/>
        </w:numPr>
        <w:kinsoku/>
        <w:wordWrap/>
        <w:overflowPunct/>
        <w:topLinePunct w:val="0"/>
        <w:autoSpaceDE/>
        <w:autoSpaceDN/>
        <w:bidi w:val="0"/>
        <w:adjustRightInd/>
        <w:spacing w:before="120" w:line="240" w:lineRule="auto"/>
        <w:ind w:left="425" w:leftChars="0" w:hanging="425" w:firstLineChars="0"/>
        <w:jc w:val="left"/>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走线布局合理，符合保卫部门确认的消防安全规范</w:t>
      </w:r>
      <w:r>
        <w:rPr>
          <w:rFonts w:hint="eastAsia" w:ascii="新宋体" w:hAnsi="新宋体" w:eastAsia="新宋体" w:cs="新宋体"/>
          <w:b w:val="0"/>
          <w:bCs w:val="0"/>
          <w:sz w:val="24"/>
          <w:szCs w:val="24"/>
          <w:lang w:eastAsia="zh-CN"/>
        </w:rPr>
        <w:t>。</w:t>
      </w:r>
    </w:p>
    <w:p>
      <w:pPr>
        <w:keepNext w:val="0"/>
        <w:keepLines w:val="0"/>
        <w:pageBreakBefore w:val="0"/>
        <w:widowControl/>
        <w:numPr>
          <w:ilvl w:val="0"/>
          <w:numId w:val="5"/>
        </w:numPr>
        <w:kinsoku/>
        <w:wordWrap/>
        <w:overflowPunct/>
        <w:topLinePunct w:val="0"/>
        <w:autoSpaceDE/>
        <w:autoSpaceDN/>
        <w:bidi w:val="0"/>
        <w:adjustRightInd/>
        <w:spacing w:before="120" w:line="240" w:lineRule="auto"/>
        <w:ind w:left="425" w:leftChars="0" w:hanging="425" w:firstLineChars="0"/>
        <w:jc w:val="left"/>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交货时间：接到通知后15个工作日内。</w:t>
      </w:r>
    </w:p>
    <w:p>
      <w:pPr>
        <w:keepNext w:val="0"/>
        <w:keepLines w:val="0"/>
        <w:pageBreakBefore w:val="0"/>
        <w:widowControl/>
        <w:numPr>
          <w:ilvl w:val="0"/>
          <w:numId w:val="5"/>
        </w:numPr>
        <w:kinsoku/>
        <w:wordWrap/>
        <w:overflowPunct/>
        <w:topLinePunct w:val="0"/>
        <w:autoSpaceDE/>
        <w:autoSpaceDN/>
        <w:bidi w:val="0"/>
        <w:adjustRightInd/>
        <w:spacing w:before="120" w:line="240" w:lineRule="auto"/>
        <w:ind w:left="425" w:leftChars="0" w:hanging="425" w:firstLineChars="0"/>
        <w:jc w:val="left"/>
        <w:rPr>
          <w:rFonts w:hint="eastAsia" w:ascii="新宋体" w:hAnsi="新宋体" w:eastAsia="新宋体" w:cs="新宋体"/>
          <w:b w:val="0"/>
          <w:bCs w:val="0"/>
          <w:kern w:val="0"/>
          <w:sz w:val="24"/>
          <w:szCs w:val="24"/>
        </w:rPr>
      </w:pPr>
      <w:r>
        <w:rPr>
          <w:rFonts w:hint="eastAsia" w:ascii="新宋体" w:hAnsi="新宋体" w:eastAsia="新宋体" w:cs="新宋体"/>
          <w:b w:val="0"/>
          <w:bCs w:val="0"/>
          <w:sz w:val="24"/>
          <w:szCs w:val="24"/>
        </w:rPr>
        <w:t>交货地点：医院指定地点。</w:t>
      </w:r>
    </w:p>
    <w:p>
      <w:pPr>
        <w:pStyle w:val="13"/>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120" w:beforeAutospacing="0" w:after="0" w:afterAutospacing="0" w:line="240" w:lineRule="auto"/>
        <w:ind w:left="0" w:leftChars="0" w:firstLine="480" w:firstLineChars="200"/>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kern w:val="0"/>
          <w:sz w:val="24"/>
          <w:szCs w:val="24"/>
          <w:lang w:val="en-US" w:eastAsia="zh-CN"/>
        </w:rPr>
        <w:t>运行维护服务要求：</w:t>
      </w:r>
    </w:p>
    <w:p>
      <w:pPr>
        <w:keepNext w:val="0"/>
        <w:keepLines w:val="0"/>
        <w:pageBreakBefore w:val="0"/>
        <w:widowControl/>
        <w:numPr>
          <w:ilvl w:val="0"/>
          <w:numId w:val="6"/>
        </w:numPr>
        <w:kinsoku/>
        <w:wordWrap/>
        <w:overflowPunct/>
        <w:topLinePunct w:val="0"/>
        <w:autoSpaceDE/>
        <w:autoSpaceDN/>
        <w:bidi w:val="0"/>
        <w:adjustRightInd/>
        <w:spacing w:before="120" w:line="240" w:lineRule="auto"/>
        <w:ind w:left="425" w:leftChars="0" w:hanging="425" w:firstLineChars="0"/>
        <w:jc w:val="left"/>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服务时间：提供全年365天，根据客户需求确定营业时间</w:t>
      </w:r>
      <w:r>
        <w:rPr>
          <w:rFonts w:hint="eastAsia" w:ascii="新宋体" w:hAnsi="新宋体" w:eastAsia="新宋体" w:cs="新宋体"/>
          <w:b w:val="0"/>
          <w:bCs w:val="0"/>
          <w:sz w:val="24"/>
          <w:szCs w:val="24"/>
          <w:lang w:eastAsia="zh-CN"/>
        </w:rPr>
        <w:t>。</w:t>
      </w:r>
    </w:p>
    <w:p>
      <w:pPr>
        <w:keepNext w:val="0"/>
        <w:keepLines w:val="0"/>
        <w:pageBreakBefore w:val="0"/>
        <w:widowControl/>
        <w:numPr>
          <w:ilvl w:val="0"/>
          <w:numId w:val="6"/>
        </w:numPr>
        <w:kinsoku/>
        <w:wordWrap/>
        <w:overflowPunct/>
        <w:topLinePunct w:val="0"/>
        <w:autoSpaceDE/>
        <w:autoSpaceDN/>
        <w:bidi w:val="0"/>
        <w:adjustRightInd/>
        <w:spacing w:before="120" w:line="240" w:lineRule="auto"/>
        <w:ind w:left="425" w:leftChars="0" w:hanging="425" w:firstLineChars="0"/>
        <w:jc w:val="left"/>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按合同定期到货和安装，配备后勤保障人员，所有设备故障响应时间不超过1小时</w:t>
      </w:r>
      <w:r>
        <w:rPr>
          <w:rFonts w:hint="eastAsia" w:ascii="新宋体" w:hAnsi="新宋体" w:eastAsia="新宋体" w:cs="新宋体"/>
          <w:b w:val="0"/>
          <w:bCs w:val="0"/>
          <w:sz w:val="24"/>
          <w:szCs w:val="24"/>
          <w:lang w:eastAsia="zh-CN"/>
        </w:rPr>
        <w:t>，甲方设备配有专职维保人员，设备上放置公司运维电话</w:t>
      </w:r>
      <w:r>
        <w:rPr>
          <w:rFonts w:hint="eastAsia" w:ascii="新宋体" w:hAnsi="新宋体" w:eastAsia="新宋体" w:cs="新宋体"/>
          <w:b w:val="0"/>
          <w:bCs w:val="0"/>
          <w:sz w:val="24"/>
          <w:szCs w:val="24"/>
          <w:u w:val="single"/>
          <w:lang w:val="en-US" w:eastAsia="zh-CN"/>
        </w:rPr>
        <w:t xml:space="preserve">      </w:t>
      </w:r>
      <w:r>
        <w:rPr>
          <w:rFonts w:hint="eastAsia" w:ascii="新宋体" w:hAnsi="新宋体" w:eastAsia="新宋体" w:cs="新宋体"/>
          <w:b w:val="0"/>
          <w:bCs w:val="0"/>
          <w:sz w:val="24"/>
          <w:szCs w:val="24"/>
          <w:lang w:eastAsia="zh-CN"/>
        </w:rPr>
        <w:t>、专职人员联系电话</w:t>
      </w:r>
      <w:r>
        <w:rPr>
          <w:rFonts w:hint="eastAsia" w:ascii="新宋体" w:hAnsi="新宋体" w:eastAsia="新宋体" w:cs="新宋体"/>
          <w:b w:val="0"/>
          <w:bCs w:val="0"/>
          <w:sz w:val="24"/>
          <w:szCs w:val="24"/>
          <w:u w:val="single"/>
          <w:lang w:val="en-US" w:eastAsia="zh-CN"/>
        </w:rPr>
        <w:t xml:space="preserve">       </w:t>
      </w:r>
      <w:r>
        <w:rPr>
          <w:rFonts w:hint="eastAsia" w:ascii="新宋体" w:hAnsi="新宋体" w:eastAsia="新宋体" w:cs="新宋体"/>
          <w:b w:val="0"/>
          <w:bCs w:val="0"/>
          <w:sz w:val="24"/>
          <w:szCs w:val="24"/>
          <w:lang w:val="en-US" w:eastAsia="zh-CN"/>
        </w:rPr>
        <w:t>。</w:t>
      </w:r>
    </w:p>
    <w:p>
      <w:pPr>
        <w:keepNext w:val="0"/>
        <w:keepLines w:val="0"/>
        <w:pageBreakBefore w:val="0"/>
        <w:widowControl/>
        <w:numPr>
          <w:ilvl w:val="0"/>
          <w:numId w:val="6"/>
        </w:numPr>
        <w:kinsoku/>
        <w:wordWrap/>
        <w:overflowPunct/>
        <w:topLinePunct w:val="0"/>
        <w:autoSpaceDE/>
        <w:autoSpaceDN/>
        <w:bidi w:val="0"/>
        <w:adjustRightInd/>
        <w:spacing w:before="120" w:line="240" w:lineRule="auto"/>
        <w:ind w:left="425" w:leftChars="0" w:hanging="425" w:firstLineChars="0"/>
        <w:jc w:val="left"/>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因设备故障、设备质量问题等引起的投诉纠纷或赔偿由</w:t>
      </w:r>
      <w:r>
        <w:rPr>
          <w:rFonts w:hint="eastAsia" w:ascii="新宋体" w:hAnsi="新宋体" w:eastAsia="新宋体" w:cs="新宋体"/>
          <w:b w:val="0"/>
          <w:bCs w:val="0"/>
          <w:sz w:val="24"/>
          <w:szCs w:val="24"/>
          <w:lang w:eastAsia="zh-CN"/>
        </w:rPr>
        <w:t>乙</w:t>
      </w:r>
      <w:r>
        <w:rPr>
          <w:rFonts w:hint="eastAsia" w:ascii="新宋体" w:hAnsi="新宋体" w:eastAsia="新宋体" w:cs="新宋体"/>
          <w:b w:val="0"/>
          <w:bCs w:val="0"/>
          <w:sz w:val="24"/>
          <w:szCs w:val="24"/>
        </w:rPr>
        <w:t>方全权负责</w:t>
      </w:r>
      <w:r>
        <w:rPr>
          <w:rFonts w:hint="eastAsia" w:ascii="新宋体" w:hAnsi="新宋体" w:eastAsia="新宋体" w:cs="新宋体"/>
          <w:b w:val="0"/>
          <w:bCs w:val="0"/>
          <w:sz w:val="24"/>
          <w:szCs w:val="24"/>
          <w:lang w:eastAsia="zh-CN"/>
        </w:rPr>
        <w:t>。</w:t>
      </w:r>
    </w:p>
    <w:p>
      <w:pPr>
        <w:pStyle w:val="13"/>
        <w:keepNext w:val="0"/>
        <w:keepLines w:val="0"/>
        <w:pageBreakBefore w:val="0"/>
        <w:widowControl/>
        <w:numPr>
          <w:ilvl w:val="0"/>
          <w:numId w:val="6"/>
        </w:numPr>
        <w:shd w:val="clear" w:color="auto" w:fill="FFFFFF"/>
        <w:kinsoku/>
        <w:wordWrap/>
        <w:overflowPunct/>
        <w:topLinePunct w:val="0"/>
        <w:autoSpaceDE/>
        <w:autoSpaceDN/>
        <w:bidi w:val="0"/>
        <w:adjustRightInd/>
        <w:snapToGrid/>
        <w:spacing w:before="120" w:beforeAutospacing="0" w:after="0" w:afterAutospacing="0" w:line="240" w:lineRule="auto"/>
        <w:ind w:left="425" w:leftChars="0" w:hanging="425" w:firstLineChars="0"/>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sz w:val="24"/>
          <w:szCs w:val="24"/>
        </w:rPr>
        <w:t>若有政策、规定变更，则按新政新规执行</w:t>
      </w:r>
      <w:r>
        <w:rPr>
          <w:rFonts w:hint="eastAsia" w:ascii="新宋体" w:hAnsi="新宋体" w:eastAsia="新宋体" w:cs="新宋体"/>
          <w:b w:val="0"/>
          <w:bCs w:val="0"/>
          <w:sz w:val="24"/>
          <w:szCs w:val="24"/>
          <w:lang w:eastAsia="zh-CN"/>
        </w:rPr>
        <w:t>。</w:t>
      </w:r>
    </w:p>
    <w:p>
      <w:pPr>
        <w:pStyle w:val="13"/>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120" w:beforeAutospacing="0" w:after="0" w:afterAutospacing="0" w:line="240" w:lineRule="auto"/>
        <w:ind w:left="0" w:leftChars="0" w:firstLine="480" w:firstLineChars="200"/>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kern w:val="0"/>
          <w:sz w:val="24"/>
          <w:szCs w:val="24"/>
          <w:lang w:val="en-US" w:eastAsia="zh-CN"/>
        </w:rPr>
        <w:t>验收标准、验收方式：</w:t>
      </w:r>
    </w:p>
    <w:p>
      <w:pPr>
        <w:keepNext w:val="0"/>
        <w:keepLines w:val="0"/>
        <w:pageBreakBefore w:val="0"/>
        <w:widowControl/>
        <w:numPr>
          <w:ilvl w:val="0"/>
          <w:numId w:val="7"/>
        </w:numPr>
        <w:kinsoku/>
        <w:wordWrap/>
        <w:overflowPunct/>
        <w:topLinePunct w:val="0"/>
        <w:autoSpaceDE/>
        <w:autoSpaceDN/>
        <w:bidi w:val="0"/>
        <w:adjustRightInd/>
        <w:spacing w:before="120" w:line="240" w:lineRule="auto"/>
        <w:ind w:left="425" w:leftChars="0" w:hanging="425" w:firstLineChars="0"/>
        <w:jc w:val="left"/>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验收标准：按国家有关规定以及采购文件的质量要求、技术指标进行验收</w:t>
      </w:r>
      <w:r>
        <w:rPr>
          <w:rFonts w:hint="eastAsia" w:ascii="新宋体" w:hAnsi="新宋体" w:eastAsia="新宋体" w:cs="新宋体"/>
          <w:b w:val="0"/>
          <w:bCs w:val="0"/>
          <w:sz w:val="24"/>
          <w:szCs w:val="24"/>
          <w:lang w:eastAsia="zh-CN"/>
        </w:rPr>
        <w:t>。</w:t>
      </w:r>
    </w:p>
    <w:p>
      <w:pPr>
        <w:pStyle w:val="13"/>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120" w:beforeAutospacing="0" w:after="0" w:afterAutospacing="0" w:line="240" w:lineRule="auto"/>
        <w:ind w:left="425" w:leftChars="0" w:hanging="425" w:firstLineChars="0"/>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sz w:val="24"/>
          <w:szCs w:val="24"/>
        </w:rPr>
        <w:t>如质量验收合格，双方签署验收交接单</w:t>
      </w:r>
    </w:p>
    <w:p>
      <w:pPr>
        <w:pStyle w:val="13"/>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120" w:beforeAutospacing="0" w:after="0" w:afterAutospacing="0" w:line="240" w:lineRule="auto"/>
        <w:ind w:left="0" w:leftChars="0" w:firstLine="480" w:firstLineChars="200"/>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kern w:val="0"/>
          <w:sz w:val="24"/>
          <w:szCs w:val="24"/>
          <w:lang w:val="en-US" w:eastAsia="zh-CN"/>
        </w:rPr>
        <w:t>其他管理要求：</w:t>
      </w:r>
    </w:p>
    <w:p>
      <w:pPr>
        <w:keepNext w:val="0"/>
        <w:keepLines w:val="0"/>
        <w:pageBreakBefore w:val="0"/>
        <w:widowControl/>
        <w:numPr>
          <w:ilvl w:val="0"/>
          <w:numId w:val="8"/>
        </w:numPr>
        <w:kinsoku/>
        <w:wordWrap/>
        <w:overflowPunct/>
        <w:topLinePunct w:val="0"/>
        <w:autoSpaceDE/>
        <w:autoSpaceDN/>
        <w:bidi w:val="0"/>
        <w:adjustRightInd/>
        <w:spacing w:before="120" w:line="240" w:lineRule="auto"/>
        <w:ind w:left="425" w:leftChars="0" w:hanging="425" w:firstLineChars="0"/>
        <w:jc w:val="left"/>
        <w:textAlignment w:val="center"/>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lang w:eastAsia="zh-CN"/>
        </w:rPr>
        <w:t>乙方</w:t>
      </w:r>
      <w:r>
        <w:rPr>
          <w:rFonts w:hint="eastAsia" w:ascii="新宋体" w:hAnsi="新宋体" w:eastAsia="新宋体" w:cs="新宋体"/>
          <w:b w:val="0"/>
          <w:bCs w:val="0"/>
          <w:sz w:val="24"/>
          <w:szCs w:val="24"/>
        </w:rPr>
        <w:t>投放的设备或销售的商品引发的任何投诉、纠纷或伤害，均由</w:t>
      </w:r>
      <w:r>
        <w:rPr>
          <w:rFonts w:hint="eastAsia" w:ascii="新宋体" w:hAnsi="新宋体" w:eastAsia="新宋体" w:cs="新宋体"/>
          <w:b w:val="0"/>
          <w:bCs w:val="0"/>
          <w:sz w:val="24"/>
          <w:szCs w:val="24"/>
          <w:lang w:eastAsia="zh-CN"/>
        </w:rPr>
        <w:t>乙方</w:t>
      </w:r>
      <w:r>
        <w:rPr>
          <w:rFonts w:hint="eastAsia" w:ascii="新宋体" w:hAnsi="新宋体" w:eastAsia="新宋体" w:cs="新宋体"/>
          <w:b w:val="0"/>
          <w:bCs w:val="0"/>
          <w:sz w:val="24"/>
          <w:szCs w:val="24"/>
        </w:rPr>
        <w:t>负责处理，如投放的商品为假冒伪劣产品，</w:t>
      </w:r>
      <w:r>
        <w:rPr>
          <w:rFonts w:hint="eastAsia" w:ascii="新宋体" w:hAnsi="新宋体" w:eastAsia="新宋体" w:cs="新宋体"/>
          <w:b w:val="0"/>
          <w:bCs w:val="0"/>
          <w:sz w:val="24"/>
          <w:szCs w:val="24"/>
          <w:lang w:eastAsia="zh-CN"/>
        </w:rPr>
        <w:t>甲方</w:t>
      </w:r>
      <w:r>
        <w:rPr>
          <w:rFonts w:hint="eastAsia" w:ascii="新宋体" w:hAnsi="新宋体" w:eastAsia="新宋体" w:cs="新宋体"/>
          <w:b w:val="0"/>
          <w:bCs w:val="0"/>
          <w:sz w:val="24"/>
          <w:szCs w:val="24"/>
        </w:rPr>
        <w:t>有权终止合作并要求</w:t>
      </w:r>
      <w:r>
        <w:rPr>
          <w:rFonts w:hint="eastAsia" w:ascii="新宋体" w:hAnsi="新宋体" w:eastAsia="新宋体" w:cs="新宋体"/>
          <w:b w:val="0"/>
          <w:bCs w:val="0"/>
          <w:sz w:val="24"/>
          <w:szCs w:val="24"/>
          <w:lang w:eastAsia="zh-CN"/>
        </w:rPr>
        <w:t>乙</w:t>
      </w:r>
      <w:r>
        <w:rPr>
          <w:rFonts w:hint="eastAsia" w:ascii="新宋体" w:hAnsi="新宋体" w:eastAsia="新宋体" w:cs="新宋体"/>
          <w:b w:val="0"/>
          <w:bCs w:val="0"/>
          <w:sz w:val="24"/>
          <w:szCs w:val="24"/>
        </w:rPr>
        <w:t>方承担因此给</w:t>
      </w:r>
      <w:r>
        <w:rPr>
          <w:rFonts w:hint="eastAsia" w:ascii="新宋体" w:hAnsi="新宋体" w:eastAsia="新宋体" w:cs="新宋体"/>
          <w:b w:val="0"/>
          <w:bCs w:val="0"/>
          <w:sz w:val="24"/>
          <w:szCs w:val="24"/>
          <w:lang w:eastAsia="zh-CN"/>
        </w:rPr>
        <w:t>甲</w:t>
      </w:r>
      <w:r>
        <w:rPr>
          <w:rFonts w:hint="eastAsia" w:ascii="新宋体" w:hAnsi="新宋体" w:eastAsia="新宋体" w:cs="新宋体"/>
          <w:b w:val="0"/>
          <w:bCs w:val="0"/>
          <w:sz w:val="24"/>
          <w:szCs w:val="24"/>
        </w:rPr>
        <w:t>方造成的损失。</w:t>
      </w:r>
    </w:p>
    <w:p>
      <w:pPr>
        <w:keepNext w:val="0"/>
        <w:keepLines w:val="0"/>
        <w:pageBreakBefore w:val="0"/>
        <w:widowControl/>
        <w:numPr>
          <w:ilvl w:val="0"/>
          <w:numId w:val="8"/>
        </w:numPr>
        <w:kinsoku/>
        <w:wordWrap/>
        <w:overflowPunct/>
        <w:topLinePunct w:val="0"/>
        <w:autoSpaceDE/>
        <w:autoSpaceDN/>
        <w:bidi w:val="0"/>
        <w:adjustRightInd/>
        <w:spacing w:before="120" w:line="240" w:lineRule="auto"/>
        <w:ind w:left="425" w:leftChars="0" w:hanging="425" w:firstLineChars="0"/>
        <w:jc w:val="left"/>
        <w:textAlignment w:val="center"/>
        <w:rPr>
          <w:rFonts w:hint="eastAsia" w:ascii="宋体" w:hAnsi="宋体" w:eastAsia="宋体" w:cs="宋体"/>
          <w:bCs/>
          <w:sz w:val="24"/>
          <w:szCs w:val="24"/>
          <w:lang w:val="en-US" w:eastAsia="zh-CN"/>
        </w:rPr>
      </w:pPr>
      <w:r>
        <w:rPr>
          <w:rFonts w:hint="eastAsia" w:ascii="新宋体" w:hAnsi="新宋体" w:eastAsia="新宋体" w:cs="新宋体"/>
          <w:b w:val="0"/>
          <w:bCs w:val="0"/>
          <w:sz w:val="24"/>
          <w:szCs w:val="24"/>
        </w:rPr>
        <w:t>在合作期间，为维护双方利益，未经院方书面同意，</w:t>
      </w:r>
      <w:r>
        <w:rPr>
          <w:rFonts w:hint="eastAsia" w:ascii="新宋体" w:hAnsi="新宋体" w:eastAsia="新宋体" w:cs="新宋体"/>
          <w:b w:val="0"/>
          <w:bCs w:val="0"/>
          <w:sz w:val="24"/>
          <w:szCs w:val="24"/>
          <w:lang w:eastAsia="zh-CN"/>
        </w:rPr>
        <w:t>乙方</w:t>
      </w:r>
      <w:r>
        <w:rPr>
          <w:rFonts w:hint="eastAsia" w:ascii="新宋体" w:hAnsi="新宋体" w:eastAsia="新宋体" w:cs="新宋体"/>
          <w:b w:val="0"/>
          <w:bCs w:val="0"/>
          <w:sz w:val="24"/>
          <w:szCs w:val="24"/>
        </w:rPr>
        <w:t>不得将协议规定的点位转包</w:t>
      </w:r>
      <w:r>
        <w:rPr>
          <w:rFonts w:hint="eastAsia" w:ascii="新宋体" w:hAnsi="新宋体" w:eastAsia="新宋体" w:cs="新宋体"/>
          <w:b w:val="0"/>
          <w:bCs w:val="0"/>
          <w:sz w:val="24"/>
          <w:szCs w:val="24"/>
          <w:lang w:eastAsia="zh-CN"/>
        </w:rPr>
        <w:t>、</w:t>
      </w:r>
      <w:r>
        <w:rPr>
          <w:rFonts w:hint="eastAsia" w:ascii="新宋体" w:hAnsi="新宋体" w:eastAsia="新宋体" w:cs="新宋体"/>
          <w:b w:val="0"/>
          <w:bCs w:val="0"/>
          <w:sz w:val="24"/>
          <w:szCs w:val="24"/>
        </w:rPr>
        <w:t>转租</w:t>
      </w:r>
      <w:r>
        <w:rPr>
          <w:rFonts w:hint="eastAsia" w:ascii="新宋体" w:hAnsi="新宋体" w:eastAsia="新宋体" w:cs="新宋体"/>
          <w:b w:val="0"/>
          <w:bCs w:val="0"/>
          <w:sz w:val="24"/>
          <w:szCs w:val="24"/>
          <w:lang w:eastAsia="zh-CN"/>
        </w:rPr>
        <w:t>、</w:t>
      </w:r>
      <w:r>
        <w:rPr>
          <w:rFonts w:hint="eastAsia" w:ascii="新宋体" w:hAnsi="新宋体" w:eastAsia="新宋体" w:cs="新宋体"/>
          <w:b w:val="0"/>
          <w:bCs w:val="0"/>
          <w:sz w:val="24"/>
          <w:szCs w:val="24"/>
        </w:rPr>
        <w:t>分租</w:t>
      </w:r>
      <w:r>
        <w:rPr>
          <w:rFonts w:hint="eastAsia" w:ascii="新宋体" w:hAnsi="新宋体" w:eastAsia="新宋体" w:cs="新宋体"/>
          <w:b w:val="0"/>
          <w:bCs w:val="0"/>
          <w:sz w:val="24"/>
          <w:szCs w:val="24"/>
          <w:lang w:eastAsia="zh-CN"/>
        </w:rPr>
        <w:t>、</w:t>
      </w:r>
      <w:r>
        <w:rPr>
          <w:rFonts w:hint="eastAsia" w:ascii="新宋体" w:hAnsi="新宋体" w:eastAsia="新宋体" w:cs="新宋体"/>
          <w:b w:val="0"/>
          <w:bCs w:val="0"/>
          <w:sz w:val="24"/>
          <w:szCs w:val="24"/>
        </w:rPr>
        <w:t>转借给第三方，</w:t>
      </w:r>
      <w:r>
        <w:rPr>
          <w:rFonts w:hint="eastAsia" w:ascii="新宋体" w:hAnsi="新宋体" w:eastAsia="新宋体" w:cs="新宋体"/>
          <w:b w:val="0"/>
          <w:bCs w:val="0"/>
          <w:sz w:val="24"/>
          <w:szCs w:val="24"/>
          <w:lang w:eastAsia="zh-CN"/>
        </w:rPr>
        <w:t>若有该情况甲方</w:t>
      </w:r>
      <w:r>
        <w:rPr>
          <w:rFonts w:hint="eastAsia" w:ascii="新宋体" w:hAnsi="新宋体" w:eastAsia="新宋体" w:cs="新宋体"/>
          <w:b w:val="0"/>
          <w:bCs w:val="0"/>
          <w:sz w:val="24"/>
          <w:szCs w:val="24"/>
        </w:rPr>
        <w:t>有权终止合作。</w:t>
      </w:r>
    </w:p>
    <w:p>
      <w:pPr>
        <w:keepNext w:val="0"/>
        <w:keepLines w:val="0"/>
        <w:pageBreakBefore w:val="0"/>
        <w:widowControl/>
        <w:numPr>
          <w:ilvl w:val="0"/>
          <w:numId w:val="8"/>
        </w:numPr>
        <w:kinsoku/>
        <w:wordWrap/>
        <w:overflowPunct/>
        <w:topLinePunct w:val="0"/>
        <w:autoSpaceDE/>
        <w:autoSpaceDN/>
        <w:bidi w:val="0"/>
        <w:adjustRightInd/>
        <w:spacing w:before="120" w:line="240" w:lineRule="auto"/>
        <w:ind w:left="425" w:leftChars="0" w:hanging="425" w:firstLineChars="0"/>
        <w:jc w:val="left"/>
        <w:textAlignment w:val="center"/>
        <w:rPr>
          <w:rFonts w:hint="eastAsia" w:ascii="宋体" w:hAnsi="宋体" w:eastAsia="宋体" w:cs="宋体"/>
          <w:bCs/>
          <w:sz w:val="24"/>
          <w:szCs w:val="24"/>
          <w:lang w:val="en-US" w:eastAsia="zh-CN"/>
        </w:rPr>
      </w:pPr>
      <w:r>
        <w:rPr>
          <w:rFonts w:hint="eastAsia" w:ascii="新宋体" w:hAnsi="新宋体" w:eastAsia="新宋体" w:cs="新宋体"/>
          <w:b w:val="0"/>
          <w:bCs w:val="0"/>
          <w:sz w:val="24"/>
          <w:szCs w:val="24"/>
          <w:lang w:eastAsia="zh-CN"/>
        </w:rPr>
        <w:t>乙方</w:t>
      </w:r>
      <w:r>
        <w:rPr>
          <w:rFonts w:hint="eastAsia" w:ascii="新宋体" w:hAnsi="新宋体" w:eastAsia="新宋体" w:cs="新宋体"/>
          <w:b w:val="0"/>
          <w:bCs w:val="0"/>
          <w:sz w:val="24"/>
          <w:szCs w:val="24"/>
        </w:rPr>
        <w:t>提供的产品</w:t>
      </w:r>
      <w:r>
        <w:rPr>
          <w:rFonts w:hint="eastAsia" w:ascii="新宋体" w:hAnsi="新宋体" w:eastAsia="新宋体" w:cs="新宋体"/>
          <w:b w:val="0"/>
          <w:bCs w:val="0"/>
          <w:sz w:val="24"/>
          <w:szCs w:val="24"/>
          <w:lang w:val="en-US" w:eastAsia="zh-CN"/>
        </w:rPr>
        <w:t>若</w:t>
      </w:r>
      <w:r>
        <w:rPr>
          <w:rFonts w:hint="eastAsia" w:ascii="新宋体" w:hAnsi="新宋体" w:eastAsia="新宋体" w:cs="新宋体"/>
          <w:b w:val="0"/>
          <w:bCs w:val="0"/>
          <w:sz w:val="24"/>
          <w:szCs w:val="24"/>
        </w:rPr>
        <w:t>为大显示屏，不得做无关广告宣传</w:t>
      </w:r>
      <w:r>
        <w:rPr>
          <w:rFonts w:hint="eastAsia" w:ascii="新宋体" w:hAnsi="新宋体" w:eastAsia="新宋体" w:cs="新宋体"/>
          <w:b w:val="0"/>
          <w:bCs w:val="0"/>
          <w:sz w:val="24"/>
          <w:szCs w:val="24"/>
          <w:lang w:eastAsia="zh-CN"/>
        </w:rPr>
        <w:t>，</w:t>
      </w:r>
      <w:r>
        <w:rPr>
          <w:rFonts w:hint="eastAsia" w:ascii="新宋体" w:hAnsi="新宋体" w:eastAsia="新宋体" w:cs="新宋体"/>
          <w:b w:val="0"/>
          <w:bCs w:val="0"/>
          <w:sz w:val="24"/>
          <w:szCs w:val="24"/>
        </w:rPr>
        <w:t>不得在投放在甲方场所的设备上投放任何形式的商业广告，如投放公益广告，需在甲方书面确认后投放</w:t>
      </w:r>
      <w:r>
        <w:rPr>
          <w:rFonts w:hint="eastAsia" w:ascii="新宋体" w:hAnsi="新宋体" w:eastAsia="新宋体" w:cs="新宋体"/>
          <w:b w:val="0"/>
          <w:bCs w:val="0"/>
          <w:sz w:val="24"/>
          <w:szCs w:val="24"/>
          <w:lang w:eastAsia="zh-CN"/>
        </w:rPr>
        <w:t>，</w:t>
      </w:r>
      <w:r>
        <w:rPr>
          <w:rFonts w:hint="eastAsia" w:ascii="新宋体" w:hAnsi="新宋体" w:eastAsia="新宋体" w:cs="新宋体"/>
          <w:b w:val="0"/>
          <w:bCs w:val="0"/>
          <w:sz w:val="24"/>
          <w:szCs w:val="24"/>
        </w:rPr>
        <w:t>播放的内容必须由</w:t>
      </w:r>
      <w:r>
        <w:rPr>
          <w:rFonts w:hint="eastAsia" w:ascii="新宋体" w:hAnsi="新宋体" w:eastAsia="新宋体" w:cs="新宋体"/>
          <w:b w:val="0"/>
          <w:bCs w:val="0"/>
          <w:sz w:val="24"/>
          <w:szCs w:val="24"/>
          <w:lang w:eastAsia="zh-CN"/>
        </w:rPr>
        <w:t>甲方管理</w:t>
      </w:r>
      <w:r>
        <w:rPr>
          <w:rFonts w:hint="eastAsia" w:ascii="新宋体" w:hAnsi="新宋体" w:eastAsia="新宋体" w:cs="新宋体"/>
          <w:b w:val="0"/>
          <w:bCs w:val="0"/>
          <w:sz w:val="24"/>
          <w:szCs w:val="24"/>
        </w:rPr>
        <w:t>，服从</w:t>
      </w:r>
      <w:r>
        <w:rPr>
          <w:rFonts w:hint="eastAsia" w:ascii="新宋体" w:hAnsi="新宋体" w:eastAsia="新宋体" w:cs="新宋体"/>
          <w:b w:val="0"/>
          <w:bCs w:val="0"/>
          <w:sz w:val="24"/>
          <w:szCs w:val="24"/>
          <w:lang w:eastAsia="zh-CN"/>
        </w:rPr>
        <w:t>甲方</w:t>
      </w:r>
      <w:r>
        <w:rPr>
          <w:rFonts w:hint="eastAsia" w:ascii="新宋体" w:hAnsi="新宋体" w:eastAsia="新宋体" w:cs="新宋体"/>
          <w:b w:val="0"/>
          <w:bCs w:val="0"/>
          <w:sz w:val="24"/>
          <w:szCs w:val="24"/>
        </w:rPr>
        <w:t>要求播放的内容</w:t>
      </w:r>
      <w:r>
        <w:rPr>
          <w:rFonts w:hint="eastAsia" w:ascii="新宋体" w:hAnsi="新宋体" w:eastAsia="新宋体" w:cs="新宋体"/>
          <w:b w:val="0"/>
          <w:bCs w:val="0"/>
          <w:sz w:val="24"/>
          <w:szCs w:val="24"/>
          <w:lang w:eastAsia="zh-CN"/>
        </w:rPr>
        <w:t>。</w:t>
      </w:r>
    </w:p>
    <w:p>
      <w:pPr>
        <w:keepNext w:val="0"/>
        <w:keepLines w:val="0"/>
        <w:pageBreakBefore w:val="0"/>
        <w:widowControl/>
        <w:numPr>
          <w:ilvl w:val="0"/>
          <w:numId w:val="8"/>
        </w:numPr>
        <w:kinsoku/>
        <w:wordWrap/>
        <w:overflowPunct/>
        <w:topLinePunct w:val="0"/>
        <w:autoSpaceDE/>
        <w:autoSpaceDN/>
        <w:bidi w:val="0"/>
        <w:adjustRightInd/>
        <w:spacing w:before="120" w:line="240" w:lineRule="auto"/>
        <w:ind w:left="425" w:leftChars="0" w:hanging="425" w:firstLineChars="0"/>
        <w:jc w:val="left"/>
        <w:textAlignment w:val="center"/>
        <w:rPr>
          <w:rFonts w:hint="eastAsia" w:ascii="新宋体" w:hAnsi="新宋体" w:eastAsia="新宋体" w:cs="新宋体"/>
          <w:bCs/>
          <w:sz w:val="24"/>
          <w:szCs w:val="24"/>
          <w:lang w:val="en-US" w:eastAsia="zh-CN"/>
        </w:rPr>
      </w:pPr>
      <w:r>
        <w:rPr>
          <w:rFonts w:hint="eastAsia" w:ascii="新宋体" w:hAnsi="新宋体" w:eastAsia="新宋体" w:cs="新宋体"/>
          <w:b w:val="0"/>
          <w:bCs w:val="0"/>
          <w:sz w:val="24"/>
          <w:szCs w:val="24"/>
          <w:lang w:eastAsia="zh-CN"/>
        </w:rPr>
        <w:t>安全管理：产品安全由乙方负责，</w:t>
      </w:r>
    </w:p>
    <w:p>
      <w:pPr>
        <w:keepNext w:val="0"/>
        <w:keepLines w:val="0"/>
        <w:pageBreakBefore w:val="0"/>
        <w:numPr>
          <w:ilvl w:val="0"/>
          <w:numId w:val="2"/>
        </w:numPr>
        <w:tabs>
          <w:tab w:val="left" w:pos="7140"/>
        </w:tabs>
        <w:kinsoku/>
        <w:wordWrap/>
        <w:overflowPunct/>
        <w:topLinePunct w:val="0"/>
        <w:autoSpaceDE/>
        <w:autoSpaceDN/>
        <w:bidi w:val="0"/>
        <w:adjustRightInd/>
        <w:snapToGrid w:val="0"/>
        <w:spacing w:before="120" w:line="240" w:lineRule="auto"/>
        <w:textAlignment w:val="auto"/>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双方权利与义务：</w:t>
      </w:r>
    </w:p>
    <w:p>
      <w:pPr>
        <w:keepNext w:val="0"/>
        <w:keepLines w:val="0"/>
        <w:pageBreakBefore w:val="0"/>
        <w:widowControl/>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0" w:leftChars="0" w:firstLine="420" w:firstLineChars="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权利</w:t>
      </w:r>
      <w:r>
        <w:rPr>
          <w:rFonts w:hint="eastAsia" w:ascii="新宋体" w:hAnsi="新宋体" w:eastAsia="新宋体" w:cs="新宋体"/>
          <w:color w:val="000000"/>
          <w:kern w:val="0"/>
          <w:sz w:val="24"/>
          <w:szCs w:val="24"/>
          <w:lang w:eastAsia="zh-CN"/>
        </w:rPr>
        <w:t>：</w:t>
      </w:r>
    </w:p>
    <w:p>
      <w:pPr>
        <w:keepNext w:val="0"/>
        <w:keepLines w:val="0"/>
        <w:pageBreakBefore w:val="0"/>
        <w:widowControl/>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甲乙双方有权对有关自身的事宜向对方做出咨询、沟通。</w:t>
      </w:r>
    </w:p>
    <w:p>
      <w:pPr>
        <w:keepNext w:val="0"/>
        <w:keepLines w:val="0"/>
        <w:pageBreakBefore w:val="0"/>
        <w:widowControl/>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甲乙双方有权对各自的促销推广活动邀请对方进行合作沟通。</w:t>
      </w:r>
    </w:p>
    <w:p>
      <w:pPr>
        <w:keepNext w:val="0"/>
        <w:keepLines w:val="0"/>
        <w:pageBreakBefore w:val="0"/>
        <w:widowControl/>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甲乙双方对各自的品牌、商标、标志等拥有专有权。甲乙双方在使用对方的品牌、商标、标志进行宣传推广前，需提出书面申请并得到对方的授权。</w:t>
      </w:r>
    </w:p>
    <w:p>
      <w:pPr>
        <w:keepNext w:val="0"/>
        <w:keepLines w:val="0"/>
        <w:pageBreakBefore w:val="0"/>
        <w:widowControl/>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0" w:leftChars="0" w:firstLine="420" w:firstLineChars="0"/>
        <w:jc w:val="left"/>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rPr>
        <w:t>义务</w:t>
      </w:r>
      <w:r>
        <w:rPr>
          <w:rFonts w:hint="eastAsia" w:ascii="新宋体" w:hAnsi="新宋体" w:eastAsia="新宋体" w:cs="新宋体"/>
          <w:kern w:val="0"/>
          <w:sz w:val="24"/>
          <w:szCs w:val="24"/>
          <w:lang w:eastAsia="zh-CN"/>
        </w:rPr>
        <w:t>：</w:t>
      </w:r>
    </w:p>
    <w:p>
      <w:pPr>
        <w:keepNext w:val="0"/>
        <w:keepLines w:val="0"/>
        <w:pageBreakBefore w:val="0"/>
        <w:widowControl/>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rPr>
        <w:t>乙方需协助用户进行电源借还操作，并对相关疑问进行答疑讲解。</w:t>
      </w:r>
    </w:p>
    <w:p>
      <w:pPr>
        <w:keepNext w:val="0"/>
        <w:keepLines w:val="0"/>
        <w:pageBreakBefore w:val="0"/>
        <w:widowControl/>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rPr>
        <w:t>乙方负责其投放的所有设备的安装、维修、维护、巡检、投诉接待、报修处理、纠纷处理等。</w:t>
      </w:r>
    </w:p>
    <w:p>
      <w:pPr>
        <w:keepNext w:val="0"/>
        <w:keepLines w:val="0"/>
        <w:pageBreakBefore w:val="0"/>
        <w:widowControl/>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rPr>
        <w:t>乙方意向投放、安装设备前，应提前以书面方式提交至主管科室业务联系人，经主管科室书面同意后允许乙方投放安装设备；</w:t>
      </w:r>
    </w:p>
    <w:p>
      <w:pPr>
        <w:keepNext w:val="0"/>
        <w:keepLines w:val="0"/>
        <w:pageBreakBefore w:val="0"/>
        <w:widowControl/>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rPr>
        <w:t>乙方应派专人每周对投放安装在我院区内的所有乙方设备进行巡检、维修保养；</w:t>
      </w:r>
    </w:p>
    <w:p>
      <w:pPr>
        <w:keepNext w:val="0"/>
        <w:keepLines w:val="0"/>
        <w:pageBreakBefore w:val="0"/>
        <w:widowControl/>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rPr>
        <w:t>乙方对其投放的设备造成的任何不良后果负全部责任，甲方对此不负任何责任；</w:t>
      </w:r>
    </w:p>
    <w:p>
      <w:pPr>
        <w:keepNext w:val="0"/>
        <w:keepLines w:val="0"/>
        <w:pageBreakBefore w:val="0"/>
        <w:widowControl/>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rPr>
        <w:t>乙方负责处理在电源租还服务流程中出现的设备故障报修、丢失处理和计费答疑等问题。</w:t>
      </w:r>
    </w:p>
    <w:p>
      <w:pPr>
        <w:keepNext w:val="0"/>
        <w:keepLines w:val="0"/>
        <w:pageBreakBefore w:val="0"/>
        <w:widowControl/>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rPr>
        <w:t>甲方有义务确保设备摆放在院内（除已租赁出去的店面）合适的位置、确保电源正常连接。</w:t>
      </w:r>
    </w:p>
    <w:p>
      <w:pPr>
        <w:keepNext w:val="0"/>
        <w:keepLines w:val="0"/>
        <w:pageBreakBefore w:val="0"/>
        <w:widowControl/>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新宋体" w:hAnsi="新宋体" w:eastAsia="新宋体" w:cs="新宋体"/>
          <w:kern w:val="0"/>
          <w:sz w:val="24"/>
          <w:szCs w:val="24"/>
        </w:rPr>
      </w:pPr>
      <w:r>
        <w:rPr>
          <w:rFonts w:hint="eastAsia" w:ascii="新宋体" w:hAnsi="新宋体" w:eastAsia="新宋体" w:cs="新宋体"/>
          <w:sz w:val="24"/>
          <w:szCs w:val="24"/>
        </w:rPr>
        <w:t>甲方有义务向乙方如实提供商户信息并提供营业执照复印件。</w:t>
      </w:r>
    </w:p>
    <w:p>
      <w:pPr>
        <w:keepNext w:val="0"/>
        <w:keepLines w:val="0"/>
        <w:pageBreakBefore w:val="0"/>
        <w:widowControl/>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rPr>
        <w:t>充电箱设备本身质量问题产生的故障和破损(例如正常安全使用环境下的设备爆炸、设备自燃、设备自身质量问题等)，由乙方及设备制造商承担，甲方概不负责。</w:t>
      </w:r>
    </w:p>
    <w:p>
      <w:pPr>
        <w:keepNext w:val="0"/>
        <w:keepLines w:val="0"/>
        <w:pageBreakBefore w:val="0"/>
        <w:widowControl/>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rPr>
        <w:t>如合同到期或合同提前终止，乙方应在合同结束的一周内及时撤出所有投放在甲方院区内的设备，如未及时撤离，甲方有权向乙方索取相应赔偿。</w:t>
      </w:r>
    </w:p>
    <w:p>
      <w:pPr>
        <w:keepNext w:val="0"/>
        <w:keepLines w:val="0"/>
        <w:pageBreakBefore w:val="0"/>
        <w:numPr>
          <w:ilvl w:val="0"/>
          <w:numId w:val="2"/>
        </w:numPr>
        <w:tabs>
          <w:tab w:val="left" w:pos="7140"/>
        </w:tabs>
        <w:kinsoku/>
        <w:wordWrap/>
        <w:overflowPunct/>
        <w:topLinePunct w:val="0"/>
        <w:autoSpaceDE/>
        <w:autoSpaceDN/>
        <w:bidi w:val="0"/>
        <w:adjustRightInd/>
        <w:snapToGrid w:val="0"/>
        <w:spacing w:before="120" w:line="240" w:lineRule="auto"/>
        <w:textAlignment w:val="auto"/>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违约责任：</w:t>
      </w:r>
    </w:p>
    <w:p>
      <w:pPr>
        <w:keepNext w:val="0"/>
        <w:keepLines w:val="0"/>
        <w:pageBreakBefore w:val="0"/>
        <w:widowControl/>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新宋体" w:hAnsi="新宋体" w:eastAsia="新宋体" w:cs="新宋体"/>
          <w:bCs/>
          <w:sz w:val="24"/>
          <w:szCs w:val="24"/>
          <w:lang w:val="en-US" w:eastAsia="zh-CN"/>
        </w:rPr>
      </w:pPr>
      <w:r>
        <w:rPr>
          <w:rFonts w:hint="eastAsia" w:ascii="新宋体" w:hAnsi="新宋体" w:eastAsia="新宋体" w:cs="新宋体"/>
          <w:color w:val="000000"/>
          <w:kern w:val="0"/>
          <w:sz w:val="24"/>
          <w:szCs w:val="24"/>
        </w:rPr>
        <w:t>合同双方同意，本合约任何一方违反各自在本合约中所保证、承诺的或其他条款，均构成违约。如因一方的违约行为对其他方造成损失的，违约方应负赔偿责任。</w:t>
      </w:r>
    </w:p>
    <w:p>
      <w:pPr>
        <w:keepNext w:val="0"/>
        <w:keepLines w:val="0"/>
        <w:pageBreakBefore w:val="0"/>
        <w:widowControl/>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新宋体" w:hAnsi="新宋体" w:eastAsia="新宋体" w:cs="新宋体"/>
          <w:bCs/>
          <w:sz w:val="24"/>
          <w:szCs w:val="24"/>
          <w:lang w:val="en-US" w:eastAsia="zh-CN"/>
        </w:rPr>
      </w:pPr>
      <w:r>
        <w:rPr>
          <w:rFonts w:hint="eastAsia" w:ascii="新宋体" w:hAnsi="新宋体" w:eastAsia="新宋体" w:cs="新宋体"/>
          <w:color w:val="000000"/>
          <w:kern w:val="0"/>
          <w:sz w:val="24"/>
          <w:szCs w:val="24"/>
        </w:rPr>
        <w:t>对非本合同双方过错所产生的损失，各方应按照公平原则分担并相互协助向有过错一方请求赔偿</w:t>
      </w:r>
      <w:r>
        <w:rPr>
          <w:rFonts w:hint="eastAsia" w:ascii="新宋体" w:hAnsi="新宋体" w:eastAsia="新宋体" w:cs="新宋体"/>
          <w:color w:val="000000"/>
          <w:kern w:val="0"/>
          <w:sz w:val="24"/>
          <w:szCs w:val="24"/>
          <w:lang w:eastAsia="zh-CN"/>
        </w:rPr>
        <w:t>。</w:t>
      </w:r>
    </w:p>
    <w:p>
      <w:pPr>
        <w:keepNext w:val="0"/>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Chars="0"/>
        <w:jc w:val="left"/>
        <w:textAlignment w:val="auto"/>
        <w:rPr>
          <w:rFonts w:hint="eastAsia" w:ascii="新宋体" w:hAnsi="新宋体" w:eastAsia="新宋体" w:cs="新宋体"/>
          <w:bCs/>
          <w:sz w:val="24"/>
          <w:szCs w:val="24"/>
          <w:lang w:val="en-US" w:eastAsia="zh-CN"/>
        </w:rPr>
      </w:pPr>
    </w:p>
    <w:p>
      <w:pPr>
        <w:keepNext w:val="0"/>
        <w:keepLines w:val="0"/>
        <w:pageBreakBefore w:val="0"/>
        <w:numPr>
          <w:ilvl w:val="0"/>
          <w:numId w:val="2"/>
        </w:numPr>
        <w:tabs>
          <w:tab w:val="left" w:pos="7140"/>
        </w:tabs>
        <w:kinsoku/>
        <w:wordWrap/>
        <w:overflowPunct/>
        <w:topLinePunct w:val="0"/>
        <w:autoSpaceDE/>
        <w:autoSpaceDN/>
        <w:bidi w:val="0"/>
        <w:adjustRightInd/>
        <w:snapToGrid w:val="0"/>
        <w:spacing w:before="120" w:line="240" w:lineRule="auto"/>
        <w:textAlignment w:val="auto"/>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合同终止：</w:t>
      </w:r>
    </w:p>
    <w:p>
      <w:pPr>
        <w:keepNext w:val="0"/>
        <w:keepLines w:val="0"/>
        <w:pageBreakBefore w:val="0"/>
        <w:numPr>
          <w:ilvl w:val="0"/>
          <w:numId w:val="13"/>
        </w:numPr>
        <w:tabs>
          <w:tab w:val="left" w:pos="7140"/>
        </w:tabs>
        <w:kinsoku/>
        <w:wordWrap/>
        <w:overflowPunct/>
        <w:topLinePunct w:val="0"/>
        <w:autoSpaceDE/>
        <w:autoSpaceDN/>
        <w:bidi w:val="0"/>
        <w:adjustRightInd/>
        <w:snapToGrid w:val="0"/>
        <w:spacing w:before="120" w:line="240" w:lineRule="auto"/>
        <w:ind w:left="425" w:leftChars="0" w:hanging="425" w:firstLineChars="0"/>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下列情况之一出现时，本合作合同被视为即时终止:①合作期限届满或本合同约定的其他终止情形发生时，本合同终止; ②双方协商一致的，可提前终止本合同;③任何一方违约，另一方根据本合同的约定提前终止。④因甲方上级政策法规原因需提前终止本合同的</w:t>
      </w:r>
      <w:r>
        <w:rPr>
          <w:rFonts w:hint="eastAsia" w:ascii="新宋体" w:hAnsi="新宋体" w:eastAsia="新宋体" w:cs="新宋体"/>
          <w:color w:val="000000"/>
          <w:kern w:val="0"/>
          <w:sz w:val="24"/>
          <w:szCs w:val="24"/>
          <w:lang w:eastAsia="zh-CN"/>
        </w:rPr>
        <w:t>。</w:t>
      </w:r>
    </w:p>
    <w:p>
      <w:pPr>
        <w:keepNext w:val="0"/>
        <w:keepLines w:val="0"/>
        <w:pageBreakBefore w:val="0"/>
        <w:numPr>
          <w:ilvl w:val="0"/>
          <w:numId w:val="13"/>
        </w:numPr>
        <w:tabs>
          <w:tab w:val="left" w:pos="7140"/>
        </w:tabs>
        <w:kinsoku/>
        <w:wordWrap/>
        <w:overflowPunct/>
        <w:topLinePunct w:val="0"/>
        <w:autoSpaceDE/>
        <w:autoSpaceDN/>
        <w:bidi w:val="0"/>
        <w:adjustRightInd/>
        <w:snapToGrid w:val="0"/>
        <w:spacing w:before="120" w:line="240" w:lineRule="auto"/>
        <w:ind w:left="425" w:leftChars="0" w:hanging="425" w:firstLineChars="0"/>
        <w:textAlignment w:val="auto"/>
        <w:rPr>
          <w:rFonts w:hint="eastAsia" w:ascii="新宋体" w:hAnsi="新宋体" w:eastAsia="新宋体" w:cs="新宋体"/>
          <w:b w:val="0"/>
          <w:bCs w:val="0"/>
          <w:color w:val="FF0000"/>
          <w:sz w:val="24"/>
          <w:szCs w:val="24"/>
          <w:lang w:val="en-US" w:eastAsia="zh-CN"/>
        </w:rPr>
      </w:pPr>
      <w:r>
        <w:rPr>
          <w:rFonts w:hint="eastAsia" w:ascii="新宋体" w:hAnsi="新宋体" w:eastAsia="新宋体" w:cs="新宋体"/>
          <w:color w:val="000000"/>
          <w:kern w:val="0"/>
          <w:sz w:val="24"/>
          <w:szCs w:val="24"/>
          <w:lang w:val="en-US" w:eastAsia="zh-CN"/>
        </w:rPr>
        <w:t>下列情况之一出现时，甲方有权终止合同：</w:t>
      </w:r>
      <w:r>
        <w:rPr>
          <w:rFonts w:hint="eastAsia" w:ascii="新宋体" w:hAnsi="新宋体" w:eastAsia="新宋体" w:cs="新宋体"/>
          <w:color w:val="000000"/>
          <w:kern w:val="0"/>
          <w:sz w:val="24"/>
          <w:szCs w:val="24"/>
        </w:rPr>
        <w:t>①</w:t>
      </w:r>
      <w:r>
        <w:rPr>
          <w:rFonts w:hint="eastAsia" w:ascii="新宋体" w:hAnsi="新宋体" w:eastAsia="新宋体" w:cs="新宋体"/>
          <w:b w:val="0"/>
          <w:bCs w:val="0"/>
          <w:color w:val="FF0000"/>
          <w:sz w:val="24"/>
          <w:szCs w:val="24"/>
          <w:lang w:eastAsia="zh-CN"/>
        </w:rPr>
        <w:t>使用界面发生网络安全事故，存在</w:t>
      </w:r>
      <w:r>
        <w:rPr>
          <w:rFonts w:hint="eastAsia" w:ascii="新宋体" w:hAnsi="新宋体" w:eastAsia="新宋体" w:cs="新宋体"/>
          <w:b w:val="0"/>
          <w:bCs w:val="0"/>
          <w:color w:val="FF0000"/>
          <w:sz w:val="24"/>
          <w:szCs w:val="24"/>
          <w:lang w:val="en-US" w:eastAsia="zh-CN"/>
        </w:rPr>
        <w:t>网贷金融诈骗医疗类广告；</w:t>
      </w:r>
      <w:r>
        <w:rPr>
          <w:rFonts w:hint="eastAsia" w:ascii="新宋体" w:hAnsi="新宋体" w:eastAsia="新宋体" w:cs="新宋体"/>
          <w:color w:val="000000"/>
          <w:kern w:val="0"/>
          <w:sz w:val="24"/>
          <w:szCs w:val="24"/>
        </w:rPr>
        <w:t>②</w:t>
      </w:r>
      <w:r>
        <w:rPr>
          <w:rFonts w:hint="eastAsia" w:ascii="新宋体" w:hAnsi="新宋体" w:eastAsia="新宋体" w:cs="新宋体"/>
          <w:b w:val="0"/>
          <w:bCs w:val="0"/>
          <w:color w:val="FF0000"/>
          <w:sz w:val="24"/>
          <w:szCs w:val="24"/>
          <w:lang w:eastAsia="zh-CN"/>
        </w:rPr>
        <w:t>出现消防安全事故，包括但不限于充电柜短路起火、充电宝燃爆等；</w:t>
      </w:r>
      <w:r>
        <w:rPr>
          <w:rFonts w:hint="eastAsia" w:ascii="新宋体" w:hAnsi="新宋体" w:eastAsia="新宋体" w:cs="新宋体"/>
          <w:color w:val="000000"/>
          <w:kern w:val="0"/>
          <w:sz w:val="24"/>
          <w:szCs w:val="24"/>
        </w:rPr>
        <w:t>③</w:t>
      </w:r>
      <w:r>
        <w:rPr>
          <w:rFonts w:hint="eastAsia" w:ascii="新宋体" w:hAnsi="新宋体" w:eastAsia="新宋体" w:cs="新宋体"/>
          <w:b w:val="0"/>
          <w:bCs w:val="0"/>
          <w:color w:val="FF0000"/>
          <w:sz w:val="24"/>
          <w:szCs w:val="24"/>
          <w:lang w:val="en-US" w:eastAsia="zh-CN"/>
        </w:rPr>
        <w:t>乙方将协议规定的点位转包、转租、分租、转借给第三方；</w:t>
      </w:r>
      <w:r>
        <w:rPr>
          <w:rFonts w:hint="eastAsia" w:ascii="新宋体" w:hAnsi="新宋体" w:eastAsia="新宋体" w:cs="新宋体"/>
          <w:color w:val="000000"/>
          <w:kern w:val="0"/>
          <w:sz w:val="24"/>
          <w:szCs w:val="24"/>
        </w:rPr>
        <w:t>④</w:t>
      </w:r>
      <w:r>
        <w:rPr>
          <w:rFonts w:hint="eastAsia" w:ascii="新宋体" w:hAnsi="新宋体" w:eastAsia="新宋体" w:cs="新宋体"/>
          <w:b w:val="0"/>
          <w:bCs w:val="0"/>
          <w:color w:val="FF0000"/>
          <w:sz w:val="24"/>
          <w:szCs w:val="24"/>
          <w:lang w:val="en-US" w:eastAsia="zh-CN"/>
        </w:rPr>
        <w:t>乙方提供的产品大显示屏上出现有损国家、医院形象的画面</w:t>
      </w:r>
      <w:r>
        <w:rPr>
          <w:rFonts w:hint="eastAsia" w:ascii="新宋体" w:hAnsi="新宋体" w:eastAsia="新宋体" w:cs="新宋体"/>
          <w:b w:val="0"/>
          <w:bCs w:val="0"/>
          <w:sz w:val="24"/>
          <w:szCs w:val="24"/>
          <w:lang w:eastAsia="zh-CN"/>
        </w:rPr>
        <w:t>。</w:t>
      </w:r>
    </w:p>
    <w:p>
      <w:pPr>
        <w:keepNext w:val="0"/>
        <w:keepLines w:val="0"/>
        <w:pageBreakBefore w:val="0"/>
        <w:numPr>
          <w:ilvl w:val="0"/>
          <w:numId w:val="2"/>
        </w:numPr>
        <w:tabs>
          <w:tab w:val="left" w:pos="7140"/>
        </w:tabs>
        <w:kinsoku/>
        <w:wordWrap/>
        <w:overflowPunct/>
        <w:topLinePunct w:val="0"/>
        <w:autoSpaceDE/>
        <w:autoSpaceDN/>
        <w:bidi w:val="0"/>
        <w:adjustRightInd/>
        <w:snapToGrid w:val="0"/>
        <w:spacing w:before="120" w:line="24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其他：</w:t>
      </w:r>
    </w:p>
    <w:p>
      <w:pPr>
        <w:keepNext w:val="0"/>
        <w:keepLines w:val="0"/>
        <w:pageBreakBefore w:val="0"/>
        <w:widowControl/>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本协议的修改、补充、变更，必须经甲、乙双方协商一致，并经双方签署书面协议之后方能生效，并作为本</w:t>
      </w:r>
      <w:r>
        <w:rPr>
          <w:rFonts w:hint="eastAsia" w:ascii="宋体" w:hAnsi="宋体" w:eastAsia="宋体" w:cs="宋体"/>
          <w:color w:val="000000"/>
          <w:kern w:val="0"/>
          <w:sz w:val="24"/>
          <w:szCs w:val="24"/>
          <w:lang w:eastAsia="zh-CN"/>
        </w:rPr>
        <w:t>合同</w:t>
      </w:r>
      <w:r>
        <w:rPr>
          <w:rFonts w:hint="eastAsia" w:ascii="宋体" w:hAnsi="宋体" w:eastAsia="宋体" w:cs="宋体"/>
          <w:color w:val="000000"/>
          <w:kern w:val="0"/>
          <w:sz w:val="24"/>
          <w:szCs w:val="24"/>
        </w:rPr>
        <w:t>附件，与本</w:t>
      </w:r>
      <w:r>
        <w:rPr>
          <w:rFonts w:hint="eastAsia" w:ascii="宋体" w:hAnsi="宋体" w:eastAsia="宋体" w:cs="宋体"/>
          <w:color w:val="000000"/>
          <w:kern w:val="0"/>
          <w:sz w:val="24"/>
          <w:szCs w:val="24"/>
          <w:lang w:eastAsia="zh-CN"/>
        </w:rPr>
        <w:t>合同</w:t>
      </w:r>
      <w:r>
        <w:rPr>
          <w:rFonts w:hint="eastAsia" w:ascii="宋体" w:hAnsi="宋体" w:eastAsia="宋体" w:cs="宋体"/>
          <w:color w:val="000000"/>
          <w:kern w:val="0"/>
          <w:sz w:val="24"/>
          <w:szCs w:val="24"/>
        </w:rPr>
        <w:t>具有相同的法律效力。</w:t>
      </w:r>
    </w:p>
    <w:p>
      <w:pPr>
        <w:keepNext w:val="0"/>
        <w:keepLines w:val="0"/>
        <w:pageBreakBefore w:val="0"/>
        <w:widowControl/>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本合同中的任何一款与国家相关法律法规强制性规定有冲突时，按照国家相关法律法规执行。</w:t>
      </w:r>
    </w:p>
    <w:p>
      <w:pPr>
        <w:keepNext w:val="0"/>
        <w:keepLines w:val="0"/>
        <w:pageBreakBefore w:val="0"/>
        <w:widowControl/>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与本合同有关的全部通知，双方可选择采用书面方式变更及确认。</w:t>
      </w:r>
    </w:p>
    <w:p>
      <w:pPr>
        <w:keepNext w:val="0"/>
        <w:keepLines w:val="0"/>
        <w:pageBreakBefore w:val="0"/>
        <w:widowControl/>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本合同经双方签字盖章后生效。</w:t>
      </w:r>
    </w:p>
    <w:p>
      <w:pPr>
        <w:keepNext w:val="0"/>
        <w:keepLines w:val="0"/>
        <w:pageBreakBefore w:val="0"/>
        <w:widowControl/>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120" w:line="240" w:lineRule="exact"/>
        <w:ind w:left="425" w:leftChars="0" w:hanging="425"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本合同壹式肆份，双方各执贰份，具有同等法律效力</w:t>
      </w:r>
    </w:p>
    <w:p>
      <w:pPr>
        <w:pStyle w:val="6"/>
        <w:keepNext w:val="0"/>
        <w:keepLines w:val="0"/>
        <w:pageBreakBefore w:val="0"/>
        <w:numPr>
          <w:ilvl w:val="0"/>
          <w:numId w:val="0"/>
        </w:numPr>
        <w:kinsoku/>
        <w:wordWrap/>
        <w:overflowPunct/>
        <w:topLinePunct w:val="0"/>
        <w:autoSpaceDE/>
        <w:autoSpaceDN/>
        <w:bidi w:val="0"/>
        <w:adjustRightInd/>
        <w:spacing w:before="120" w:after="0" w:line="240" w:lineRule="auto"/>
        <w:rPr>
          <w:rFonts w:hint="eastAsia" w:ascii="新宋体" w:hAnsi="新宋体" w:eastAsia="新宋体" w:cs="新宋体"/>
          <w:bCs/>
          <w:sz w:val="24"/>
          <w:szCs w:val="24"/>
          <w:u w:val="none"/>
        </w:rPr>
      </w:pPr>
      <w:r>
        <w:rPr>
          <w:rFonts w:hint="eastAsia" w:ascii="新宋体" w:hAnsi="新宋体" w:eastAsia="新宋体" w:cs="新宋体"/>
          <w:bCs/>
          <w:sz w:val="24"/>
          <w:szCs w:val="24"/>
          <w:u w:val="none"/>
        </w:rPr>
        <w:t xml:space="preserve">  </w:t>
      </w:r>
    </w:p>
    <w:p>
      <w:pPr>
        <w:pStyle w:val="6"/>
        <w:numPr>
          <w:ilvl w:val="0"/>
          <w:numId w:val="0"/>
        </w:numPr>
        <w:spacing w:before="37" w:line="240" w:lineRule="auto"/>
        <w:rPr>
          <w:rFonts w:hint="eastAsia" w:ascii="宋体" w:hAnsi="宋体" w:eastAsia="宋体" w:cs="宋体"/>
          <w:strike/>
          <w:sz w:val="24"/>
          <w:szCs w:val="24"/>
        </w:rPr>
      </w:pPr>
      <w:r>
        <w:rPr>
          <w:rFonts w:hint="eastAsia" w:ascii="宋体" w:hAnsi="宋体" w:eastAsia="宋体" w:cs="宋体"/>
          <w:sz w:val="24"/>
          <w:szCs w:val="24"/>
        </w:rPr>
        <w:t>以下无正文</w:t>
      </w:r>
      <w:r>
        <w:rPr>
          <w:rFonts w:hint="eastAsia" w:ascii="宋体" w:hAnsi="宋体" w:eastAsia="宋体" w:cs="宋体"/>
          <w:strike/>
          <w:sz w:val="24"/>
          <w:szCs w:val="24"/>
        </w:rPr>
        <w:t xml:space="preserve">                                                           </w:t>
      </w:r>
    </w:p>
    <w:p>
      <w:pPr>
        <w:pStyle w:val="7"/>
        <w:rPr>
          <w:rFonts w:hint="eastAsia"/>
        </w:rPr>
      </w:pPr>
    </w:p>
    <w:tbl>
      <w:tblPr>
        <w:tblStyle w:val="14"/>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5"/>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445" w:type="dxa"/>
            <w:vAlign w:val="center"/>
          </w:tcPr>
          <w:p>
            <w:pPr>
              <w:tabs>
                <w:tab w:val="left" w:pos="4725"/>
              </w:tabs>
              <w:spacing w:line="240" w:lineRule="auto"/>
              <w:rPr>
                <w:rFonts w:hint="eastAsia" w:ascii="宋体" w:hAnsi="宋体" w:eastAsia="宋体" w:cs="宋体"/>
                <w:sz w:val="24"/>
                <w:szCs w:val="24"/>
              </w:rPr>
            </w:pPr>
            <w:r>
              <w:rPr>
                <w:rFonts w:hint="eastAsia" w:ascii="宋体" w:hAnsi="宋体" w:eastAsia="宋体" w:cs="宋体"/>
                <w:sz w:val="24"/>
                <w:szCs w:val="24"/>
              </w:rPr>
              <w:t>甲方：温州市人民医院</w:t>
            </w:r>
          </w:p>
        </w:tc>
        <w:tc>
          <w:tcPr>
            <w:tcW w:w="4098" w:type="dxa"/>
            <w:vAlign w:val="center"/>
          </w:tcPr>
          <w:p>
            <w:pPr>
              <w:tabs>
                <w:tab w:val="left" w:pos="4725"/>
              </w:tabs>
              <w:spacing w:line="240" w:lineRule="auto"/>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4445" w:type="dxa"/>
            <w:vAlign w:val="center"/>
          </w:tcPr>
          <w:p>
            <w:pPr>
              <w:tabs>
                <w:tab w:val="left" w:pos="4725"/>
              </w:tabs>
              <w:spacing w:line="240" w:lineRule="auto"/>
              <w:rPr>
                <w:rFonts w:hint="eastAsia" w:ascii="宋体" w:hAnsi="宋体" w:eastAsia="宋体" w:cs="宋体"/>
                <w:sz w:val="24"/>
                <w:szCs w:val="24"/>
              </w:rPr>
            </w:pPr>
            <w:r>
              <w:rPr>
                <w:rFonts w:hint="eastAsia" w:ascii="宋体" w:hAnsi="宋体" w:eastAsia="宋体" w:cs="宋体"/>
                <w:sz w:val="24"/>
                <w:szCs w:val="24"/>
              </w:rPr>
              <w:t>地址：温州市瓯海区古岸路299号。</w:t>
            </w:r>
          </w:p>
          <w:p>
            <w:pPr>
              <w:tabs>
                <w:tab w:val="left" w:pos="4725"/>
              </w:tabs>
              <w:spacing w:line="240" w:lineRule="auto"/>
              <w:rPr>
                <w:rFonts w:hint="eastAsia" w:ascii="宋体" w:hAnsi="宋体" w:eastAsia="宋体" w:cs="宋体"/>
                <w:sz w:val="24"/>
                <w:szCs w:val="24"/>
              </w:rPr>
            </w:pPr>
            <w:r>
              <w:rPr>
                <w:rFonts w:hint="eastAsia" w:ascii="宋体" w:hAnsi="宋体" w:eastAsia="宋体" w:cs="宋体"/>
                <w:sz w:val="24"/>
                <w:szCs w:val="24"/>
              </w:rPr>
              <w:t xml:space="preserve">电话：0577-88057237、88306670。 </w:t>
            </w:r>
          </w:p>
          <w:p>
            <w:pPr>
              <w:tabs>
                <w:tab w:val="left" w:pos="4725"/>
              </w:tabs>
              <w:spacing w:line="240" w:lineRule="auto"/>
              <w:rPr>
                <w:rFonts w:hint="eastAsia" w:ascii="宋体" w:hAnsi="宋体" w:eastAsia="宋体" w:cs="宋体"/>
                <w:sz w:val="24"/>
                <w:szCs w:val="24"/>
              </w:rPr>
            </w:pPr>
            <w:r>
              <w:rPr>
                <w:rFonts w:hint="eastAsia" w:ascii="宋体" w:hAnsi="宋体" w:eastAsia="宋体" w:cs="宋体"/>
                <w:sz w:val="24"/>
                <w:szCs w:val="24"/>
              </w:rPr>
              <w:t>开户银行：温州市建行营业部</w:t>
            </w:r>
          </w:p>
          <w:p>
            <w:pPr>
              <w:tabs>
                <w:tab w:val="left" w:pos="4725"/>
              </w:tabs>
              <w:spacing w:line="240" w:lineRule="auto"/>
              <w:rPr>
                <w:rFonts w:hint="eastAsia" w:ascii="宋体" w:hAnsi="宋体" w:eastAsia="宋体" w:cs="宋体"/>
                <w:sz w:val="24"/>
                <w:szCs w:val="24"/>
              </w:rPr>
            </w:pPr>
            <w:r>
              <w:rPr>
                <w:rFonts w:hint="eastAsia" w:ascii="宋体" w:hAnsi="宋体" w:eastAsia="宋体" w:cs="宋体"/>
                <w:sz w:val="24"/>
                <w:szCs w:val="24"/>
              </w:rPr>
              <w:t>账号：33001623535050035971</w:t>
            </w:r>
          </w:p>
          <w:p>
            <w:pPr>
              <w:tabs>
                <w:tab w:val="left" w:pos="4725"/>
              </w:tabs>
              <w:spacing w:line="240" w:lineRule="auto"/>
              <w:rPr>
                <w:rFonts w:hint="eastAsia" w:ascii="宋体" w:hAnsi="宋体" w:eastAsia="宋体" w:cs="宋体"/>
                <w:sz w:val="24"/>
                <w:szCs w:val="24"/>
              </w:rPr>
            </w:pPr>
            <w:r>
              <w:rPr>
                <w:rFonts w:hint="eastAsia" w:ascii="宋体" w:hAnsi="宋体" w:eastAsia="宋体" w:cs="宋体"/>
                <w:sz w:val="24"/>
                <w:szCs w:val="24"/>
              </w:rPr>
              <w:t>税号：123303004705255657</w:t>
            </w:r>
          </w:p>
        </w:tc>
        <w:tc>
          <w:tcPr>
            <w:tcW w:w="4098" w:type="dxa"/>
          </w:tcPr>
          <w:p>
            <w:pPr>
              <w:tabs>
                <w:tab w:val="left" w:pos="4725"/>
              </w:tabs>
              <w:spacing w:line="240" w:lineRule="auto"/>
              <w:rPr>
                <w:rFonts w:hint="eastAsia" w:ascii="宋体" w:hAnsi="宋体" w:eastAsia="宋体" w:cs="宋体"/>
                <w:sz w:val="24"/>
                <w:szCs w:val="24"/>
              </w:rPr>
            </w:pPr>
            <w:r>
              <w:rPr>
                <w:rFonts w:hint="eastAsia" w:ascii="宋体" w:hAnsi="宋体" w:eastAsia="宋体" w:cs="宋体"/>
                <w:sz w:val="24"/>
                <w:szCs w:val="24"/>
              </w:rPr>
              <w:t>地址：</w:t>
            </w:r>
          </w:p>
          <w:p>
            <w:pPr>
              <w:tabs>
                <w:tab w:val="left" w:pos="4725"/>
              </w:tabs>
              <w:spacing w:line="240" w:lineRule="auto"/>
              <w:rPr>
                <w:rFonts w:hint="eastAsia" w:ascii="宋体" w:hAnsi="宋体" w:eastAsia="宋体" w:cs="宋体"/>
                <w:sz w:val="24"/>
                <w:szCs w:val="24"/>
              </w:rPr>
            </w:pPr>
            <w:r>
              <w:rPr>
                <w:rFonts w:hint="eastAsia" w:ascii="宋体" w:hAnsi="宋体" w:eastAsia="宋体" w:cs="宋体"/>
                <w:sz w:val="24"/>
                <w:szCs w:val="24"/>
              </w:rPr>
              <w:t>电话：</w:t>
            </w:r>
          </w:p>
          <w:p>
            <w:pPr>
              <w:tabs>
                <w:tab w:val="left" w:pos="5775"/>
                <w:tab w:val="left" w:pos="7140"/>
              </w:tabs>
              <w:snapToGrid w:val="0"/>
              <w:spacing w:line="240" w:lineRule="auto"/>
              <w:rPr>
                <w:rFonts w:hint="eastAsia" w:ascii="宋体" w:hAnsi="宋体" w:eastAsia="宋体" w:cs="宋体"/>
                <w:sz w:val="24"/>
                <w:szCs w:val="24"/>
              </w:rPr>
            </w:pPr>
            <w:r>
              <w:rPr>
                <w:rFonts w:hint="eastAsia" w:ascii="宋体" w:hAnsi="宋体" w:eastAsia="宋体" w:cs="宋体"/>
                <w:sz w:val="24"/>
                <w:szCs w:val="24"/>
              </w:rPr>
              <w:t>开户银行：</w:t>
            </w:r>
          </w:p>
          <w:p>
            <w:pPr>
              <w:tabs>
                <w:tab w:val="left" w:pos="5775"/>
                <w:tab w:val="left" w:pos="7140"/>
              </w:tabs>
              <w:snapToGrid w:val="0"/>
              <w:spacing w:line="240" w:lineRule="auto"/>
              <w:rPr>
                <w:rFonts w:hint="eastAsia" w:ascii="宋体" w:hAnsi="宋体" w:eastAsia="宋体" w:cs="宋体"/>
                <w:sz w:val="24"/>
                <w:szCs w:val="24"/>
              </w:rPr>
            </w:pPr>
            <w:r>
              <w:rPr>
                <w:rFonts w:hint="eastAsia" w:ascii="宋体" w:hAnsi="宋体" w:eastAsia="宋体" w:cs="宋体"/>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4445" w:type="dxa"/>
          </w:tcPr>
          <w:p>
            <w:pPr>
              <w:tabs>
                <w:tab w:val="left" w:pos="4725"/>
              </w:tabs>
              <w:spacing w:line="240" w:lineRule="auto"/>
              <w:ind w:left="42"/>
              <w:rPr>
                <w:rFonts w:hint="eastAsia" w:ascii="宋体" w:hAnsi="宋体" w:eastAsia="宋体" w:cs="宋体"/>
                <w:sz w:val="24"/>
                <w:szCs w:val="24"/>
              </w:rPr>
            </w:pPr>
            <w:r>
              <w:rPr>
                <w:rFonts w:hint="eastAsia" w:ascii="宋体" w:hAnsi="宋体" w:eastAsia="宋体" w:cs="宋体"/>
                <w:sz w:val="24"/>
                <w:szCs w:val="24"/>
              </w:rPr>
              <w:t>法定（授权）代表人：</w:t>
            </w:r>
          </w:p>
          <w:p>
            <w:pPr>
              <w:tabs>
                <w:tab w:val="left" w:pos="4725"/>
              </w:tabs>
              <w:spacing w:line="240" w:lineRule="auto"/>
              <w:ind w:left="0"/>
              <w:rPr>
                <w:rFonts w:hint="eastAsia" w:ascii="宋体" w:hAnsi="宋体" w:eastAsia="宋体" w:cs="宋体"/>
                <w:sz w:val="24"/>
                <w:szCs w:val="24"/>
              </w:rPr>
            </w:pPr>
          </w:p>
          <w:p>
            <w:pPr>
              <w:tabs>
                <w:tab w:val="left" w:pos="4725"/>
              </w:tabs>
              <w:spacing w:line="240" w:lineRule="auto"/>
              <w:ind w:left="42" w:firstLine="960" w:firstLineChars="400"/>
              <w:rPr>
                <w:rFonts w:hint="eastAsia" w:ascii="宋体" w:hAnsi="宋体" w:eastAsia="宋体" w:cs="宋体"/>
                <w:sz w:val="24"/>
                <w:szCs w:val="24"/>
              </w:rPr>
            </w:pPr>
            <w:r>
              <w:rPr>
                <w:rFonts w:hint="eastAsia" w:ascii="宋体" w:hAnsi="宋体" w:eastAsia="宋体" w:cs="宋体"/>
                <w:sz w:val="24"/>
                <w:szCs w:val="24"/>
              </w:rPr>
              <w:t>年     月     日</w:t>
            </w:r>
          </w:p>
        </w:tc>
        <w:tc>
          <w:tcPr>
            <w:tcW w:w="4098" w:type="dxa"/>
          </w:tcPr>
          <w:p>
            <w:pPr>
              <w:tabs>
                <w:tab w:val="left" w:pos="4725"/>
              </w:tabs>
              <w:spacing w:line="240" w:lineRule="auto"/>
              <w:rPr>
                <w:rFonts w:hint="eastAsia" w:ascii="宋体" w:hAnsi="宋体" w:eastAsia="宋体" w:cs="宋体"/>
                <w:sz w:val="24"/>
                <w:szCs w:val="24"/>
              </w:rPr>
            </w:pPr>
            <w:r>
              <w:rPr>
                <w:rFonts w:hint="eastAsia" w:ascii="宋体" w:hAnsi="宋体" w:eastAsia="宋体" w:cs="宋体"/>
                <w:sz w:val="24"/>
                <w:szCs w:val="24"/>
              </w:rPr>
              <w:t>法定（授权）代表人：</w:t>
            </w:r>
          </w:p>
          <w:p>
            <w:pPr>
              <w:tabs>
                <w:tab w:val="left" w:pos="4725"/>
              </w:tabs>
              <w:spacing w:line="240" w:lineRule="auto"/>
              <w:rPr>
                <w:rFonts w:hint="eastAsia" w:ascii="宋体" w:hAnsi="宋体" w:eastAsia="宋体" w:cs="宋体"/>
                <w:sz w:val="24"/>
                <w:szCs w:val="24"/>
              </w:rPr>
            </w:pPr>
          </w:p>
          <w:p>
            <w:pPr>
              <w:tabs>
                <w:tab w:val="left" w:pos="4725"/>
              </w:tabs>
              <w:spacing w:line="24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t>年     月     日</w:t>
            </w:r>
          </w:p>
        </w:tc>
      </w:tr>
    </w:tbl>
    <w:p>
      <w:pPr>
        <w:spacing w:line="240" w:lineRule="auto"/>
        <w:rPr>
          <w:rFonts w:hint="eastAsia" w:ascii="宋体" w:hAnsi="宋体" w:eastAsia="宋体" w:cs="宋体"/>
          <w:sz w:val="24"/>
          <w:szCs w:val="24"/>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ind w:firstLine="441"/>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11"/>
                      <w:ind w:firstLine="4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41"/>
      <w:jc w:val="both"/>
    </w:pPr>
    <w:r>
      <w:rPr>
        <w:rFonts w:hint="eastAsia"/>
      </w:rPr>
      <w:t xml:space="preserve">温州市人民医院采购文件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19488"/>
    <w:multiLevelType w:val="singleLevel"/>
    <w:tmpl w:val="8A119488"/>
    <w:lvl w:ilvl="0" w:tentative="0">
      <w:start w:val="1"/>
      <w:numFmt w:val="chineseCounting"/>
      <w:suff w:val="nothing"/>
      <w:lvlText w:val="%1、"/>
      <w:lvlJc w:val="left"/>
      <w:rPr>
        <w:rFonts w:hint="eastAsia"/>
      </w:rPr>
    </w:lvl>
  </w:abstractNum>
  <w:abstractNum w:abstractNumId="1">
    <w:nsid w:val="90F56E74"/>
    <w:multiLevelType w:val="singleLevel"/>
    <w:tmpl w:val="90F56E74"/>
    <w:lvl w:ilvl="0" w:tentative="0">
      <w:start w:val="1"/>
      <w:numFmt w:val="decimal"/>
      <w:lvlText w:val="%1."/>
      <w:lvlJc w:val="left"/>
      <w:pPr>
        <w:ind w:left="425" w:hanging="425"/>
      </w:pPr>
      <w:rPr>
        <w:rFonts w:hint="default"/>
      </w:rPr>
    </w:lvl>
  </w:abstractNum>
  <w:abstractNum w:abstractNumId="2">
    <w:nsid w:val="93D78A93"/>
    <w:multiLevelType w:val="singleLevel"/>
    <w:tmpl w:val="93D78A93"/>
    <w:lvl w:ilvl="0" w:tentative="0">
      <w:start w:val="1"/>
      <w:numFmt w:val="decimal"/>
      <w:lvlText w:val="%1."/>
      <w:lvlJc w:val="left"/>
      <w:pPr>
        <w:ind w:left="425" w:hanging="425"/>
      </w:pPr>
      <w:rPr>
        <w:rFonts w:hint="default"/>
      </w:rPr>
    </w:lvl>
  </w:abstractNum>
  <w:abstractNum w:abstractNumId="3">
    <w:nsid w:val="94D60B5C"/>
    <w:multiLevelType w:val="singleLevel"/>
    <w:tmpl w:val="94D60B5C"/>
    <w:lvl w:ilvl="0" w:tentative="0">
      <w:start w:val="1"/>
      <w:numFmt w:val="decimal"/>
      <w:lvlText w:val="%1."/>
      <w:lvlJc w:val="left"/>
      <w:pPr>
        <w:ind w:left="425" w:hanging="425"/>
      </w:pPr>
      <w:rPr>
        <w:rFonts w:hint="default"/>
      </w:rPr>
    </w:lvl>
  </w:abstractNum>
  <w:abstractNum w:abstractNumId="4">
    <w:nsid w:val="AE352650"/>
    <w:multiLevelType w:val="singleLevel"/>
    <w:tmpl w:val="AE352650"/>
    <w:lvl w:ilvl="0" w:tentative="0">
      <w:start w:val="1"/>
      <w:numFmt w:val="decimal"/>
      <w:lvlText w:val="%1."/>
      <w:lvlJc w:val="left"/>
      <w:pPr>
        <w:ind w:left="425" w:hanging="425"/>
      </w:pPr>
      <w:rPr>
        <w:rFonts w:hint="default"/>
      </w:rPr>
    </w:lvl>
  </w:abstractNum>
  <w:abstractNum w:abstractNumId="5">
    <w:nsid w:val="BA26D0B5"/>
    <w:multiLevelType w:val="singleLevel"/>
    <w:tmpl w:val="BA26D0B5"/>
    <w:lvl w:ilvl="0" w:tentative="0">
      <w:start w:val="1"/>
      <w:numFmt w:val="decimal"/>
      <w:lvlText w:val="%1."/>
      <w:lvlJc w:val="left"/>
      <w:pPr>
        <w:ind w:left="425" w:hanging="425"/>
      </w:pPr>
      <w:rPr>
        <w:rFonts w:hint="default"/>
      </w:rPr>
    </w:lvl>
  </w:abstractNum>
  <w:abstractNum w:abstractNumId="6">
    <w:nsid w:val="DAE7F66B"/>
    <w:multiLevelType w:val="singleLevel"/>
    <w:tmpl w:val="DAE7F66B"/>
    <w:lvl w:ilvl="0" w:tentative="0">
      <w:start w:val="1"/>
      <w:numFmt w:val="decimal"/>
      <w:lvlText w:val="%1."/>
      <w:lvlJc w:val="left"/>
      <w:pPr>
        <w:ind w:left="425" w:hanging="425"/>
      </w:pPr>
      <w:rPr>
        <w:rFonts w:hint="default"/>
      </w:rPr>
    </w:lvl>
  </w:abstractNum>
  <w:abstractNum w:abstractNumId="7">
    <w:nsid w:val="DD5E8730"/>
    <w:multiLevelType w:val="singleLevel"/>
    <w:tmpl w:val="DD5E8730"/>
    <w:lvl w:ilvl="0" w:tentative="0">
      <w:start w:val="1"/>
      <w:numFmt w:val="decimal"/>
      <w:lvlText w:val="%1."/>
      <w:lvlJc w:val="left"/>
      <w:pPr>
        <w:ind w:left="425" w:hanging="425"/>
      </w:pPr>
      <w:rPr>
        <w:rFonts w:hint="default"/>
      </w:rPr>
    </w:lvl>
  </w:abstractNum>
  <w:abstractNum w:abstractNumId="8">
    <w:nsid w:val="FEEDC85B"/>
    <w:multiLevelType w:val="singleLevel"/>
    <w:tmpl w:val="FEEDC85B"/>
    <w:lvl w:ilvl="0" w:tentative="0">
      <w:start w:val="1"/>
      <w:numFmt w:val="decimal"/>
      <w:lvlText w:val="%1."/>
      <w:lvlJc w:val="left"/>
      <w:pPr>
        <w:ind w:left="425" w:hanging="425"/>
      </w:pPr>
      <w:rPr>
        <w:rFonts w:hint="default"/>
      </w:rPr>
    </w:lvl>
  </w:abstractNum>
  <w:abstractNum w:abstractNumId="9">
    <w:nsid w:val="FFFFFF88"/>
    <w:multiLevelType w:val="singleLevel"/>
    <w:tmpl w:val="FFFFFF88"/>
    <w:lvl w:ilvl="0" w:tentative="0">
      <w:start w:val="1"/>
      <w:numFmt w:val="decimal"/>
      <w:pStyle w:val="3"/>
      <w:lvlText w:val="%1."/>
      <w:lvlJc w:val="left"/>
      <w:pPr>
        <w:tabs>
          <w:tab w:val="left" w:pos="360"/>
        </w:tabs>
        <w:ind w:left="360" w:hanging="360"/>
      </w:pPr>
    </w:lvl>
  </w:abstractNum>
  <w:abstractNum w:abstractNumId="10">
    <w:nsid w:val="0107039E"/>
    <w:multiLevelType w:val="singleLevel"/>
    <w:tmpl w:val="0107039E"/>
    <w:lvl w:ilvl="0" w:tentative="0">
      <w:start w:val="1"/>
      <w:numFmt w:val="chineseCounting"/>
      <w:suff w:val="nothing"/>
      <w:lvlText w:val="（%1）"/>
      <w:lvlJc w:val="left"/>
      <w:pPr>
        <w:ind w:left="0" w:firstLine="420"/>
      </w:pPr>
      <w:rPr>
        <w:rFonts w:hint="eastAsia"/>
      </w:rPr>
    </w:lvl>
  </w:abstractNum>
  <w:abstractNum w:abstractNumId="11">
    <w:nsid w:val="11E0B0FB"/>
    <w:multiLevelType w:val="singleLevel"/>
    <w:tmpl w:val="11E0B0FB"/>
    <w:lvl w:ilvl="0" w:tentative="0">
      <w:start w:val="1"/>
      <w:numFmt w:val="decimal"/>
      <w:lvlText w:val="%1."/>
      <w:lvlJc w:val="left"/>
      <w:pPr>
        <w:ind w:left="425" w:hanging="425"/>
      </w:pPr>
      <w:rPr>
        <w:rFonts w:hint="default"/>
      </w:rPr>
    </w:lvl>
  </w:abstractNum>
  <w:abstractNum w:abstractNumId="12">
    <w:nsid w:val="12064EB5"/>
    <w:multiLevelType w:val="singleLevel"/>
    <w:tmpl w:val="12064EB5"/>
    <w:lvl w:ilvl="0" w:tentative="0">
      <w:start w:val="1"/>
      <w:numFmt w:val="chineseCounting"/>
      <w:suff w:val="nothing"/>
      <w:lvlText w:val="（%1）"/>
      <w:lvlJc w:val="left"/>
      <w:pPr>
        <w:ind w:left="0" w:firstLine="420"/>
      </w:pPr>
      <w:rPr>
        <w:rFonts w:hint="eastAsia"/>
      </w:rPr>
    </w:lvl>
  </w:abstractNum>
  <w:abstractNum w:abstractNumId="13">
    <w:nsid w:val="684ABD34"/>
    <w:multiLevelType w:val="singleLevel"/>
    <w:tmpl w:val="684ABD34"/>
    <w:lvl w:ilvl="0" w:tentative="0">
      <w:start w:val="1"/>
      <w:numFmt w:val="decimal"/>
      <w:lvlText w:val="%1."/>
      <w:lvlJc w:val="left"/>
      <w:pPr>
        <w:ind w:left="425" w:hanging="425"/>
      </w:pPr>
      <w:rPr>
        <w:rFonts w:hint="default"/>
      </w:rPr>
    </w:lvl>
  </w:abstractNum>
  <w:num w:numId="1">
    <w:abstractNumId w:val="9"/>
  </w:num>
  <w:num w:numId="2">
    <w:abstractNumId w:val="0"/>
  </w:num>
  <w:num w:numId="3">
    <w:abstractNumId w:val="12"/>
  </w:num>
  <w:num w:numId="4">
    <w:abstractNumId w:val="8"/>
  </w:num>
  <w:num w:numId="5">
    <w:abstractNumId w:val="3"/>
  </w:num>
  <w:num w:numId="6">
    <w:abstractNumId w:val="13"/>
  </w:num>
  <w:num w:numId="7">
    <w:abstractNumId w:val="6"/>
  </w:num>
  <w:num w:numId="8">
    <w:abstractNumId w:val="1"/>
  </w:num>
  <w:num w:numId="9">
    <w:abstractNumId w:val="10"/>
  </w:num>
  <w:num w:numId="10">
    <w:abstractNumId w:val="4"/>
  </w:num>
  <w:num w:numId="11">
    <w:abstractNumId w:val="11"/>
  </w:num>
  <w:num w:numId="12">
    <w:abstractNumId w:val="5"/>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zNjFiNzdmMGVjOTFlYmU0ODhiNjA3ZDU3MzVhMzUifQ=="/>
  </w:docVars>
  <w:rsids>
    <w:rsidRoot w:val="004D0DCB"/>
    <w:rsid w:val="000058E9"/>
    <w:rsid w:val="00026C14"/>
    <w:rsid w:val="00095046"/>
    <w:rsid w:val="000B1D57"/>
    <w:rsid w:val="000D5339"/>
    <w:rsid w:val="00165BC2"/>
    <w:rsid w:val="001D4AA4"/>
    <w:rsid w:val="001E4E53"/>
    <w:rsid w:val="003559CD"/>
    <w:rsid w:val="00371AD9"/>
    <w:rsid w:val="00412E28"/>
    <w:rsid w:val="00450491"/>
    <w:rsid w:val="004C6FD4"/>
    <w:rsid w:val="004D0DCB"/>
    <w:rsid w:val="004E573F"/>
    <w:rsid w:val="00584B90"/>
    <w:rsid w:val="00584FFF"/>
    <w:rsid w:val="005F1EB0"/>
    <w:rsid w:val="00634EEF"/>
    <w:rsid w:val="00635349"/>
    <w:rsid w:val="007308D5"/>
    <w:rsid w:val="007850B9"/>
    <w:rsid w:val="008E6551"/>
    <w:rsid w:val="00967B3B"/>
    <w:rsid w:val="009D49DE"/>
    <w:rsid w:val="00AB3102"/>
    <w:rsid w:val="00B90B50"/>
    <w:rsid w:val="00B927C3"/>
    <w:rsid w:val="00BF7607"/>
    <w:rsid w:val="00C14761"/>
    <w:rsid w:val="00C51BA1"/>
    <w:rsid w:val="00CA32C6"/>
    <w:rsid w:val="00CB532A"/>
    <w:rsid w:val="00DA17D2"/>
    <w:rsid w:val="00E12509"/>
    <w:rsid w:val="00E44623"/>
    <w:rsid w:val="00EC22A5"/>
    <w:rsid w:val="00F102FF"/>
    <w:rsid w:val="00F7297E"/>
    <w:rsid w:val="00FA2A8C"/>
    <w:rsid w:val="00FB31B0"/>
    <w:rsid w:val="01814715"/>
    <w:rsid w:val="02D8427D"/>
    <w:rsid w:val="03011BBD"/>
    <w:rsid w:val="0338652B"/>
    <w:rsid w:val="040A739D"/>
    <w:rsid w:val="04491B99"/>
    <w:rsid w:val="04C812AE"/>
    <w:rsid w:val="05D07C63"/>
    <w:rsid w:val="08971FFA"/>
    <w:rsid w:val="0A3A5566"/>
    <w:rsid w:val="0ACD232D"/>
    <w:rsid w:val="0AF47A97"/>
    <w:rsid w:val="0B13248D"/>
    <w:rsid w:val="0B1E1C1E"/>
    <w:rsid w:val="0BD44453"/>
    <w:rsid w:val="0D3A1F53"/>
    <w:rsid w:val="0E056A05"/>
    <w:rsid w:val="0F9F1367"/>
    <w:rsid w:val="112076B2"/>
    <w:rsid w:val="11561AE4"/>
    <w:rsid w:val="12644928"/>
    <w:rsid w:val="12DF6F96"/>
    <w:rsid w:val="133A1B74"/>
    <w:rsid w:val="13A4175E"/>
    <w:rsid w:val="168F3177"/>
    <w:rsid w:val="175957EF"/>
    <w:rsid w:val="181F06C4"/>
    <w:rsid w:val="184572D6"/>
    <w:rsid w:val="18FE4C21"/>
    <w:rsid w:val="18FF465F"/>
    <w:rsid w:val="19735E5C"/>
    <w:rsid w:val="198C1D89"/>
    <w:rsid w:val="1AAD5B7D"/>
    <w:rsid w:val="1C4C5FF3"/>
    <w:rsid w:val="1D305D3E"/>
    <w:rsid w:val="1DBE7BC5"/>
    <w:rsid w:val="1DFE533A"/>
    <w:rsid w:val="22A60D89"/>
    <w:rsid w:val="22CC58EC"/>
    <w:rsid w:val="23640B9A"/>
    <w:rsid w:val="23BF6929"/>
    <w:rsid w:val="245B614D"/>
    <w:rsid w:val="253201D9"/>
    <w:rsid w:val="25AC5399"/>
    <w:rsid w:val="25C5258E"/>
    <w:rsid w:val="25EE202B"/>
    <w:rsid w:val="268877A1"/>
    <w:rsid w:val="270D1D22"/>
    <w:rsid w:val="27985E53"/>
    <w:rsid w:val="27ED1A69"/>
    <w:rsid w:val="28073437"/>
    <w:rsid w:val="28176AEB"/>
    <w:rsid w:val="289A05C6"/>
    <w:rsid w:val="28ED236C"/>
    <w:rsid w:val="293F0351"/>
    <w:rsid w:val="2ADC5E6F"/>
    <w:rsid w:val="2B2362C5"/>
    <w:rsid w:val="2BA203E2"/>
    <w:rsid w:val="2CAE160E"/>
    <w:rsid w:val="2EF97A69"/>
    <w:rsid w:val="2F133EA8"/>
    <w:rsid w:val="2FDA6149"/>
    <w:rsid w:val="306578EE"/>
    <w:rsid w:val="30A54A09"/>
    <w:rsid w:val="31CD40BC"/>
    <w:rsid w:val="31CE7FE2"/>
    <w:rsid w:val="31F514A4"/>
    <w:rsid w:val="33396201"/>
    <w:rsid w:val="33F6027F"/>
    <w:rsid w:val="34E2755D"/>
    <w:rsid w:val="396F36C9"/>
    <w:rsid w:val="3AAA0A09"/>
    <w:rsid w:val="3C312E3A"/>
    <w:rsid w:val="3C9B5E7D"/>
    <w:rsid w:val="3D923E3C"/>
    <w:rsid w:val="3D956033"/>
    <w:rsid w:val="3DC61E40"/>
    <w:rsid w:val="3E0871A3"/>
    <w:rsid w:val="3E66054B"/>
    <w:rsid w:val="3F6A2C89"/>
    <w:rsid w:val="40520EC7"/>
    <w:rsid w:val="408829FA"/>
    <w:rsid w:val="41B108CB"/>
    <w:rsid w:val="41B45A71"/>
    <w:rsid w:val="42004B46"/>
    <w:rsid w:val="43FD5964"/>
    <w:rsid w:val="44100641"/>
    <w:rsid w:val="44450C02"/>
    <w:rsid w:val="44B07ABD"/>
    <w:rsid w:val="45854D31"/>
    <w:rsid w:val="45EB708F"/>
    <w:rsid w:val="46402205"/>
    <w:rsid w:val="464D41CF"/>
    <w:rsid w:val="467C4DAF"/>
    <w:rsid w:val="49BC695B"/>
    <w:rsid w:val="49BD2BBB"/>
    <w:rsid w:val="49DE31C6"/>
    <w:rsid w:val="49E44855"/>
    <w:rsid w:val="4B147669"/>
    <w:rsid w:val="4B8E3AF9"/>
    <w:rsid w:val="4C7A612B"/>
    <w:rsid w:val="4D387556"/>
    <w:rsid w:val="4E5D1142"/>
    <w:rsid w:val="4E97524A"/>
    <w:rsid w:val="50E86771"/>
    <w:rsid w:val="515D6A9F"/>
    <w:rsid w:val="51AF51A3"/>
    <w:rsid w:val="52445FCA"/>
    <w:rsid w:val="5294612B"/>
    <w:rsid w:val="53C70A8B"/>
    <w:rsid w:val="549E264E"/>
    <w:rsid w:val="552F7491"/>
    <w:rsid w:val="55B932BC"/>
    <w:rsid w:val="571A3C3F"/>
    <w:rsid w:val="57912FBF"/>
    <w:rsid w:val="581C129A"/>
    <w:rsid w:val="594C6863"/>
    <w:rsid w:val="5A2E41BB"/>
    <w:rsid w:val="5AB3021C"/>
    <w:rsid w:val="5B8A794F"/>
    <w:rsid w:val="5C2117A7"/>
    <w:rsid w:val="5C5A4C1C"/>
    <w:rsid w:val="5CD913A8"/>
    <w:rsid w:val="5D246CC2"/>
    <w:rsid w:val="5E767EDE"/>
    <w:rsid w:val="5E79177D"/>
    <w:rsid w:val="5EB06716"/>
    <w:rsid w:val="613F5B27"/>
    <w:rsid w:val="616F1563"/>
    <w:rsid w:val="631D2902"/>
    <w:rsid w:val="63F77F73"/>
    <w:rsid w:val="63FB0ABB"/>
    <w:rsid w:val="64761893"/>
    <w:rsid w:val="64F809AE"/>
    <w:rsid w:val="67310694"/>
    <w:rsid w:val="67337219"/>
    <w:rsid w:val="68AA5354"/>
    <w:rsid w:val="696B7532"/>
    <w:rsid w:val="6A786D8C"/>
    <w:rsid w:val="6ACF3458"/>
    <w:rsid w:val="6AE3048B"/>
    <w:rsid w:val="6EA2154D"/>
    <w:rsid w:val="6FF8711A"/>
    <w:rsid w:val="705727A1"/>
    <w:rsid w:val="73DE2130"/>
    <w:rsid w:val="75341EF6"/>
    <w:rsid w:val="75993335"/>
    <w:rsid w:val="761D02E0"/>
    <w:rsid w:val="770C0F88"/>
    <w:rsid w:val="78E25185"/>
    <w:rsid w:val="79F25E0C"/>
    <w:rsid w:val="7B803CF3"/>
    <w:rsid w:val="7BB66AE1"/>
    <w:rsid w:val="7BD4685F"/>
    <w:rsid w:val="7C461DF5"/>
    <w:rsid w:val="7D7E52A5"/>
    <w:rsid w:val="7E27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jc w:val="center"/>
      <w:outlineLvl w:val="0"/>
    </w:pPr>
    <w:rPr>
      <w:b/>
      <w:bCs/>
      <w:kern w:val="44"/>
      <w:sz w:val="30"/>
      <w:szCs w:val="44"/>
    </w:rPr>
  </w:style>
  <w:style w:type="paragraph" w:styleId="3">
    <w:name w:val="heading 2"/>
    <w:basedOn w:val="1"/>
    <w:next w:val="4"/>
    <w:link w:val="22"/>
    <w:autoRedefine/>
    <w:qFormat/>
    <w:uiPriority w:val="0"/>
    <w:pPr>
      <w:keepNext/>
      <w:keepLines/>
      <w:numPr>
        <w:ilvl w:val="0"/>
        <w:numId w:val="1"/>
      </w:numPr>
      <w:tabs>
        <w:tab w:val="left" w:pos="1145"/>
      </w:tabs>
      <w:spacing w:before="260" w:after="260" w:line="416" w:lineRule="auto"/>
      <w:outlineLvl w:val="1"/>
    </w:pPr>
    <w:rPr>
      <w:rFonts w:ascii="Arial" w:hAnsi="Arial" w:eastAsia="黑体" w:cs="Times New Roman"/>
      <w:b/>
      <w:sz w:val="32"/>
      <w:szCs w:val="20"/>
      <w:lang w:val="zh-CN"/>
    </w:rPr>
  </w:style>
  <w:style w:type="paragraph" w:styleId="5">
    <w:name w:val="heading 4"/>
    <w:basedOn w:val="1"/>
    <w:next w:val="1"/>
    <w:autoRedefine/>
    <w:qFormat/>
    <w:uiPriority w:val="0"/>
    <w:pPr>
      <w:keepNext/>
      <w:keepLines/>
      <w:spacing w:line="540" w:lineRule="atLeast"/>
      <w:outlineLvl w:val="3"/>
    </w:pPr>
    <w:rPr>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firstLineChars="200"/>
    </w:pPr>
  </w:style>
  <w:style w:type="paragraph" w:styleId="6">
    <w:name w:val="Body Text"/>
    <w:basedOn w:val="1"/>
    <w:next w:val="7"/>
    <w:autoRedefine/>
    <w:qFormat/>
    <w:uiPriority w:val="99"/>
    <w:pPr>
      <w:spacing w:after="120"/>
    </w:pPr>
    <w:rPr>
      <w:rFonts w:eastAsia="等线"/>
    </w:rPr>
  </w:style>
  <w:style w:type="paragraph" w:styleId="7">
    <w:name w:val="Body Text First Indent"/>
    <w:basedOn w:val="6"/>
    <w:next w:val="8"/>
    <w:autoRedefine/>
    <w:qFormat/>
    <w:uiPriority w:val="99"/>
    <w:pPr>
      <w:ind w:firstLine="420" w:firstLineChars="100"/>
    </w:pPr>
  </w:style>
  <w:style w:type="paragraph" w:styleId="8">
    <w:name w:val="toc 6"/>
    <w:basedOn w:val="1"/>
    <w:next w:val="1"/>
    <w:autoRedefine/>
    <w:qFormat/>
    <w:uiPriority w:val="39"/>
    <w:pPr>
      <w:ind w:left="1050"/>
    </w:pPr>
    <w:rPr>
      <w:sz w:val="18"/>
    </w:rPr>
  </w:style>
  <w:style w:type="paragraph" w:styleId="9">
    <w:name w:val="Body Text Indent"/>
    <w:basedOn w:val="1"/>
    <w:autoRedefine/>
    <w:qFormat/>
    <w:uiPriority w:val="0"/>
    <w:pPr>
      <w:ind w:left="480" w:hanging="480" w:hangingChars="200"/>
    </w:pPr>
    <w:rPr>
      <w:sz w:val="24"/>
    </w:rPr>
  </w:style>
  <w:style w:type="paragraph" w:styleId="10">
    <w:name w:val="Plain Text"/>
    <w:basedOn w:val="1"/>
    <w:link w:val="24"/>
    <w:autoRedefine/>
    <w:qFormat/>
    <w:uiPriority w:val="0"/>
    <w:rPr>
      <w:rFonts w:ascii="宋体" w:hAnsi="Courier New" w:eastAsia="宋体"/>
    </w:rPr>
  </w:style>
  <w:style w:type="paragraph" w:styleId="11">
    <w:name w:val="footer"/>
    <w:basedOn w:val="1"/>
    <w:link w:val="19"/>
    <w:autoRedefine/>
    <w:unhideWhenUsed/>
    <w:qFormat/>
    <w:uiPriority w:val="99"/>
    <w:pPr>
      <w:tabs>
        <w:tab w:val="center" w:pos="4153"/>
        <w:tab w:val="right" w:pos="8306"/>
      </w:tabs>
      <w:snapToGrid w:val="0"/>
      <w:jc w:val="left"/>
    </w:pPr>
    <w:rPr>
      <w:sz w:val="18"/>
      <w:szCs w:val="18"/>
    </w:rPr>
  </w:style>
  <w:style w:type="paragraph" w:styleId="12">
    <w:name w:val="header"/>
    <w:basedOn w:val="1"/>
    <w:link w:val="1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autoRedefine/>
    <w:qFormat/>
    <w:uiPriority w:val="0"/>
    <w:rPr>
      <w:sz w:val="21"/>
      <w:szCs w:val="21"/>
    </w:rPr>
  </w:style>
  <w:style w:type="character" w:customStyle="1" w:styleId="18">
    <w:name w:val="页眉 字符"/>
    <w:basedOn w:val="16"/>
    <w:link w:val="12"/>
    <w:autoRedefine/>
    <w:qFormat/>
    <w:uiPriority w:val="99"/>
    <w:rPr>
      <w:sz w:val="18"/>
      <w:szCs w:val="18"/>
    </w:rPr>
  </w:style>
  <w:style w:type="character" w:customStyle="1" w:styleId="19">
    <w:name w:val="页脚 字符"/>
    <w:basedOn w:val="16"/>
    <w:link w:val="11"/>
    <w:autoRedefine/>
    <w:qFormat/>
    <w:uiPriority w:val="99"/>
    <w:rPr>
      <w:sz w:val="18"/>
      <w:szCs w:val="18"/>
    </w:rPr>
  </w:style>
  <w:style w:type="paragraph" w:styleId="20">
    <w:name w:val="List Paragraph"/>
    <w:basedOn w:val="1"/>
    <w:autoRedefine/>
    <w:qFormat/>
    <w:uiPriority w:val="34"/>
    <w:pPr>
      <w:ind w:firstLine="420" w:firstLineChars="200"/>
    </w:pPr>
  </w:style>
  <w:style w:type="character" w:customStyle="1" w:styleId="21">
    <w:name w:val="标题 2 字符"/>
    <w:basedOn w:val="16"/>
    <w:autoRedefine/>
    <w:semiHidden/>
    <w:qFormat/>
    <w:uiPriority w:val="9"/>
    <w:rPr>
      <w:rFonts w:asciiTheme="majorHAnsi" w:hAnsiTheme="majorHAnsi" w:eastAsiaTheme="majorEastAsia" w:cstheme="majorBidi"/>
      <w:b/>
      <w:bCs/>
      <w:sz w:val="32"/>
      <w:szCs w:val="32"/>
    </w:rPr>
  </w:style>
  <w:style w:type="character" w:customStyle="1" w:styleId="22">
    <w:name w:val="标题 2 字符1"/>
    <w:link w:val="3"/>
    <w:autoRedefine/>
    <w:qFormat/>
    <w:uiPriority w:val="0"/>
    <w:rPr>
      <w:rFonts w:ascii="Arial" w:hAnsi="Arial" w:eastAsia="黑体" w:cs="Times New Roman"/>
      <w:b/>
      <w:sz w:val="32"/>
      <w:szCs w:val="20"/>
      <w:lang w:val="zh-CN" w:eastAsia="zh-CN"/>
    </w:rPr>
  </w:style>
  <w:style w:type="paragraph" w:customStyle="1" w:styleId="23">
    <w:name w:val="正文段"/>
    <w:basedOn w:val="1"/>
    <w:autoRedefine/>
    <w:qFormat/>
    <w:uiPriority w:val="0"/>
    <w:pPr>
      <w:widowControl/>
      <w:snapToGrid w:val="0"/>
      <w:spacing w:after="50" w:afterLines="50"/>
      <w:ind w:firstLine="200" w:firstLineChars="200"/>
    </w:pPr>
    <w:rPr>
      <w:rFonts w:ascii="Times New Roman" w:hAnsi="Times New Roman" w:eastAsia="宋体" w:cs="Times New Roman"/>
      <w:kern w:val="0"/>
      <w:sz w:val="24"/>
      <w:szCs w:val="20"/>
    </w:rPr>
  </w:style>
  <w:style w:type="character" w:customStyle="1" w:styleId="24">
    <w:name w:val="纯文本 字符1"/>
    <w:link w:val="10"/>
    <w:autoRedefine/>
    <w:qFormat/>
    <w:uiPriority w:val="0"/>
    <w:rPr>
      <w:rFonts w:ascii="宋体" w:hAnsi="Courier New" w:eastAsia="宋体"/>
    </w:rPr>
  </w:style>
  <w:style w:type="character" w:customStyle="1" w:styleId="25">
    <w:name w:val="纯文本 字符"/>
    <w:basedOn w:val="16"/>
    <w:autoRedefine/>
    <w:semiHidden/>
    <w:qFormat/>
    <w:uiPriority w:val="99"/>
    <w:rPr>
      <w:rFonts w:hAnsi="Courier New" w:cs="Courier New" w:asciiTheme="minorEastAsia"/>
    </w:rPr>
  </w:style>
  <w:style w:type="character" w:customStyle="1" w:styleId="26">
    <w:name w:val="页脚 Char"/>
    <w:autoRedefine/>
    <w:qFormat/>
    <w:uiPriority w:val="99"/>
    <w:rPr>
      <w:kern w:val="2"/>
      <w:sz w:val="18"/>
      <w:szCs w:val="18"/>
    </w:rPr>
  </w:style>
  <w:style w:type="paragraph" w:customStyle="1" w:styleId="27">
    <w:name w:val="_Style 19"/>
    <w:basedOn w:val="1"/>
    <w:next w:val="20"/>
    <w:autoRedefine/>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5834</Words>
  <Characters>6094</Characters>
  <Lines>53</Lines>
  <Paragraphs>15</Paragraphs>
  <TotalTime>6</TotalTime>
  <ScaleCrop>false</ScaleCrop>
  <LinksUpToDate>false</LinksUpToDate>
  <CharactersWithSpaces>7540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2023-06-29T06:46:00Z</dcterms:created>
  <dc:creator>user</dc:creator>
  <cp:lastModifiedBy>daizhilei</cp:lastModifiedBy>
  <dcterms:modified xsi:type="dcterms:W3CDTF">2024-03-27T06:32:23Z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550A2AFE35814C9D97AAB37BF567B5B8_13</vt:lpwstr>
  </property>
</Properties>
</file>